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B863" w14:textId="77777777" w:rsidR="00DA4690" w:rsidRPr="007E79A9" w:rsidRDefault="00142442" w:rsidP="00DA4690">
      <w:pPr>
        <w:pStyle w:val="BodyText"/>
        <w:spacing w:after="0" w:line="240" w:lineRule="auto"/>
        <w:jc w:val="center"/>
        <w:rPr>
          <w:b/>
          <w:bCs/>
          <w:sz w:val="28"/>
        </w:rPr>
      </w:pPr>
      <w:r w:rsidRPr="007E79A9">
        <w:rPr>
          <w:b/>
          <w:bCs/>
          <w:sz w:val="28"/>
        </w:rPr>
        <w:t>Document Preparation Profile (DPP)</w:t>
      </w:r>
    </w:p>
    <w:p w14:paraId="615E7D9D" w14:textId="77777777" w:rsidR="003C24C5" w:rsidRPr="00844C28" w:rsidRDefault="003C24C5" w:rsidP="00DA4690">
      <w:pPr>
        <w:pStyle w:val="BodyText"/>
        <w:spacing w:after="0" w:line="240" w:lineRule="auto"/>
        <w:jc w:val="center"/>
        <w:rPr>
          <w:b/>
          <w:bCs/>
          <w:sz w:val="28"/>
        </w:rPr>
      </w:pPr>
      <w:r w:rsidRPr="00844C28">
        <w:rPr>
          <w:b/>
          <w:bCs/>
          <w:sz w:val="28"/>
        </w:rPr>
        <w:t>V</w:t>
      </w:r>
      <w:r w:rsidR="00DF4010" w:rsidRPr="00844C28">
        <w:rPr>
          <w:b/>
          <w:bCs/>
          <w:sz w:val="28"/>
        </w:rPr>
        <w:t>ersion 0</w:t>
      </w:r>
      <w:r w:rsidR="00CA78F8" w:rsidRPr="00844C28">
        <w:rPr>
          <w:b/>
          <w:bCs/>
          <w:sz w:val="28"/>
        </w:rPr>
        <w:t>.</w:t>
      </w:r>
      <w:r w:rsidR="0064085A">
        <w:rPr>
          <w:b/>
          <w:bCs/>
          <w:sz w:val="28"/>
        </w:rPr>
        <w:t>6</w:t>
      </w:r>
      <w:r w:rsidR="0004737A">
        <w:rPr>
          <w:b/>
          <w:bCs/>
          <w:sz w:val="28"/>
        </w:rPr>
        <w:t>,</w:t>
      </w:r>
      <w:r w:rsidR="00F265EF" w:rsidRPr="00844C28">
        <w:rPr>
          <w:b/>
          <w:bCs/>
          <w:sz w:val="28"/>
        </w:rPr>
        <w:t xml:space="preserve"> </w:t>
      </w:r>
      <w:r w:rsidR="00F46F59">
        <w:rPr>
          <w:b/>
          <w:bCs/>
          <w:sz w:val="28"/>
        </w:rPr>
        <w:t>12</w:t>
      </w:r>
      <w:r w:rsidR="00CF3B23">
        <w:rPr>
          <w:b/>
          <w:bCs/>
          <w:sz w:val="28"/>
        </w:rPr>
        <w:t xml:space="preserve"> </w:t>
      </w:r>
      <w:r w:rsidR="00F46F59">
        <w:rPr>
          <w:b/>
          <w:bCs/>
          <w:sz w:val="28"/>
        </w:rPr>
        <w:t>Mar</w:t>
      </w:r>
      <w:r w:rsidR="00DF4010" w:rsidRPr="00844C28">
        <w:rPr>
          <w:b/>
          <w:bCs/>
          <w:sz w:val="28"/>
        </w:rPr>
        <w:t>. 201</w:t>
      </w:r>
      <w:r w:rsidR="00BF68A6" w:rsidRPr="00844C28">
        <w:rPr>
          <w:b/>
          <w:bCs/>
          <w:sz w:val="28"/>
        </w:rPr>
        <w:t>9</w:t>
      </w:r>
    </w:p>
    <w:p w14:paraId="0105CD1A" w14:textId="77777777" w:rsidR="00916868" w:rsidRPr="00A52476" w:rsidRDefault="00916868" w:rsidP="00142442">
      <w:pPr>
        <w:pStyle w:val="BodyText"/>
        <w:jc w:val="center"/>
        <w:rPr>
          <w:b/>
          <w:bCs/>
          <w:sz w:val="28"/>
          <w:lang w:val="fr-FR"/>
        </w:rPr>
      </w:pPr>
    </w:p>
    <w:p w14:paraId="569A027C" w14:textId="77777777" w:rsidR="00142442" w:rsidRPr="00467564" w:rsidRDefault="00142442" w:rsidP="00FA319C">
      <w:pPr>
        <w:pStyle w:val="BodyText"/>
        <w:numPr>
          <w:ilvl w:val="0"/>
          <w:numId w:val="19"/>
        </w:numPr>
        <w:tabs>
          <w:tab w:val="left" w:pos="240"/>
        </w:tabs>
        <w:rPr>
          <w:b/>
          <w:bCs/>
        </w:rPr>
      </w:pPr>
      <w:r w:rsidRPr="00467564">
        <w:rPr>
          <w:b/>
          <w:bCs/>
        </w:rPr>
        <w:t>IDENTIFICATION</w:t>
      </w:r>
    </w:p>
    <w:p w14:paraId="6D5E370C" w14:textId="77777777" w:rsidR="0046657C" w:rsidRPr="00467564" w:rsidRDefault="00142442" w:rsidP="00142442">
      <w:pPr>
        <w:pStyle w:val="BodyText"/>
        <w:ind w:left="2400" w:hanging="2160"/>
        <w:jc w:val="left"/>
        <w:rPr>
          <w:b/>
          <w:bCs/>
        </w:rPr>
      </w:pPr>
      <w:r w:rsidRPr="00467564">
        <w:rPr>
          <w:b/>
          <w:bCs/>
        </w:rPr>
        <w:t>Document Category</w:t>
      </w:r>
      <w:r w:rsidR="00087477" w:rsidRPr="00467564">
        <w:rPr>
          <w:b/>
          <w:bCs/>
        </w:rPr>
        <w:t xml:space="preserve"> or set of </w:t>
      </w:r>
      <w:r w:rsidR="0046657C" w:rsidRPr="00467564">
        <w:rPr>
          <w:b/>
          <w:bCs/>
        </w:rPr>
        <w:t>publications</w:t>
      </w:r>
      <w:r w:rsidR="00087477" w:rsidRPr="00467564">
        <w:rPr>
          <w:b/>
          <w:bCs/>
        </w:rPr>
        <w:t xml:space="preserve"> to be revised in a concomitant manner</w:t>
      </w:r>
    </w:p>
    <w:p w14:paraId="5272B128" w14:textId="77777777" w:rsidR="00142442" w:rsidRPr="00467564" w:rsidRDefault="00574335" w:rsidP="001230D3">
      <w:pPr>
        <w:pStyle w:val="BodyText"/>
        <w:ind w:left="2400"/>
        <w:jc w:val="left"/>
        <w:rPr>
          <w:b/>
          <w:bCs/>
        </w:rPr>
      </w:pPr>
      <w:r w:rsidRPr="00467564">
        <w:rPr>
          <w:b/>
          <w:bCs/>
        </w:rPr>
        <w:t xml:space="preserve">Specific </w:t>
      </w:r>
      <w:r w:rsidR="0039184E" w:rsidRPr="00467564">
        <w:rPr>
          <w:b/>
          <w:bCs/>
        </w:rPr>
        <w:t xml:space="preserve">Safety </w:t>
      </w:r>
      <w:r w:rsidR="00142442" w:rsidRPr="00467564">
        <w:rPr>
          <w:b/>
          <w:bCs/>
        </w:rPr>
        <w:t>Guide</w:t>
      </w:r>
    </w:p>
    <w:p w14:paraId="150337A8" w14:textId="18AF46FA" w:rsidR="00142442" w:rsidRPr="00467564" w:rsidRDefault="00142442" w:rsidP="00142442">
      <w:pPr>
        <w:pStyle w:val="BodyText"/>
        <w:ind w:left="2400" w:hanging="2160"/>
        <w:jc w:val="left"/>
        <w:rPr>
          <w:b/>
          <w:bCs/>
        </w:rPr>
      </w:pPr>
      <w:r w:rsidRPr="00467564">
        <w:rPr>
          <w:b/>
          <w:bCs/>
        </w:rPr>
        <w:t>Working ID:</w:t>
      </w:r>
      <w:r w:rsidRPr="00467564">
        <w:rPr>
          <w:b/>
          <w:bCs/>
        </w:rPr>
        <w:tab/>
      </w:r>
      <w:r w:rsidR="00642D93">
        <w:rPr>
          <w:b/>
          <w:bCs/>
        </w:rPr>
        <w:t>DS522</w:t>
      </w:r>
    </w:p>
    <w:p w14:paraId="377ADFA1" w14:textId="4F78D379" w:rsidR="00B143BF" w:rsidRDefault="00142442" w:rsidP="0084710D">
      <w:pPr>
        <w:pStyle w:val="BodyText"/>
        <w:ind w:left="2400" w:hanging="2160"/>
        <w:rPr>
          <w:b/>
          <w:bCs/>
        </w:rPr>
      </w:pPr>
      <w:r w:rsidRPr="00467564">
        <w:rPr>
          <w:b/>
          <w:bCs/>
        </w:rPr>
        <w:t>Proposed Title:</w:t>
      </w:r>
      <w:r w:rsidRPr="00467564">
        <w:rPr>
          <w:b/>
          <w:bCs/>
        </w:rPr>
        <w:tab/>
      </w:r>
      <w:r w:rsidR="0084710D" w:rsidRPr="0084710D">
        <w:rPr>
          <w:b/>
          <w:bCs/>
        </w:rPr>
        <w:t>Evaluation of Seismic</w:t>
      </w:r>
      <w:r w:rsidR="0084710D">
        <w:rPr>
          <w:b/>
          <w:bCs/>
        </w:rPr>
        <w:t xml:space="preserve"> </w:t>
      </w:r>
      <w:r w:rsidR="0084710D" w:rsidRPr="0084710D">
        <w:rPr>
          <w:b/>
          <w:bCs/>
        </w:rPr>
        <w:t>Safety for Existing</w:t>
      </w:r>
      <w:r w:rsidR="0084710D">
        <w:rPr>
          <w:b/>
          <w:bCs/>
        </w:rPr>
        <w:t xml:space="preserve"> </w:t>
      </w:r>
      <w:r w:rsidR="0084710D" w:rsidRPr="0084710D">
        <w:rPr>
          <w:b/>
          <w:bCs/>
        </w:rPr>
        <w:t>Nuclear Installations</w:t>
      </w:r>
    </w:p>
    <w:p w14:paraId="7FE1F4C8" w14:textId="77777777" w:rsidR="00B02256" w:rsidRPr="00467564" w:rsidRDefault="00142442" w:rsidP="0084710D">
      <w:pPr>
        <w:pStyle w:val="BodyText"/>
        <w:ind w:left="2400" w:hanging="2160"/>
        <w:rPr>
          <w:bCs/>
        </w:rPr>
      </w:pPr>
      <w:r w:rsidRPr="00467564">
        <w:rPr>
          <w:b/>
          <w:bCs/>
        </w:rPr>
        <w:t>Proposed Action:</w:t>
      </w:r>
      <w:r w:rsidRPr="00467564">
        <w:rPr>
          <w:b/>
          <w:bCs/>
        </w:rPr>
        <w:tab/>
      </w:r>
      <w:r w:rsidR="00B02256" w:rsidRPr="00467564">
        <w:rPr>
          <w:b/>
          <w:bCs/>
        </w:rPr>
        <w:t>Revision</w:t>
      </w:r>
      <w:r w:rsidR="00827BF0" w:rsidRPr="00FD0869">
        <w:rPr>
          <w:b/>
          <w:bCs/>
          <w:lang w:val="en-US"/>
        </w:rPr>
        <w:t xml:space="preserve"> of </w:t>
      </w:r>
      <w:r w:rsidR="00827BF0">
        <w:rPr>
          <w:b/>
          <w:bCs/>
          <w:lang w:val="en-US"/>
        </w:rPr>
        <w:t>S</w:t>
      </w:r>
      <w:r w:rsidR="00827BF0" w:rsidRPr="00FD0869">
        <w:rPr>
          <w:b/>
          <w:bCs/>
          <w:lang w:val="en-US"/>
        </w:rPr>
        <w:t xml:space="preserve">afety </w:t>
      </w:r>
      <w:r w:rsidR="00827BF0">
        <w:rPr>
          <w:b/>
          <w:bCs/>
          <w:lang w:val="en-US"/>
        </w:rPr>
        <w:t>Guide</w:t>
      </w:r>
      <w:r w:rsidR="0084710D">
        <w:rPr>
          <w:b/>
          <w:bCs/>
          <w:lang w:val="en-US"/>
        </w:rPr>
        <w:t xml:space="preserve"> NS-G-2.</w:t>
      </w:r>
      <w:r w:rsidR="00827BF0" w:rsidRPr="00FD0869">
        <w:rPr>
          <w:b/>
          <w:bCs/>
          <w:lang w:val="en-US"/>
        </w:rPr>
        <w:t>1</w:t>
      </w:r>
      <w:r w:rsidR="0084710D">
        <w:rPr>
          <w:b/>
          <w:bCs/>
          <w:lang w:val="en-US"/>
        </w:rPr>
        <w:t>3</w:t>
      </w:r>
      <w:r w:rsidR="00827BF0" w:rsidRPr="00FD0869">
        <w:rPr>
          <w:b/>
          <w:bCs/>
          <w:lang w:val="en-US"/>
        </w:rPr>
        <w:t xml:space="preserve">, </w:t>
      </w:r>
      <w:bookmarkStart w:id="0" w:name="_Hlk335710"/>
      <w:r w:rsidR="0084710D" w:rsidRPr="0084710D">
        <w:rPr>
          <w:b/>
          <w:bCs/>
          <w:lang w:val="en-US"/>
        </w:rPr>
        <w:t>Evaluation of Seismic</w:t>
      </w:r>
      <w:r w:rsidR="0084710D">
        <w:rPr>
          <w:b/>
          <w:bCs/>
          <w:lang w:val="en-US"/>
        </w:rPr>
        <w:t xml:space="preserve"> </w:t>
      </w:r>
      <w:r w:rsidR="0084710D" w:rsidRPr="0084710D">
        <w:rPr>
          <w:b/>
          <w:bCs/>
          <w:lang w:val="en-US"/>
        </w:rPr>
        <w:t>Safety for Existing</w:t>
      </w:r>
      <w:r w:rsidR="0084710D">
        <w:rPr>
          <w:b/>
          <w:bCs/>
          <w:lang w:val="en-US"/>
        </w:rPr>
        <w:t xml:space="preserve"> </w:t>
      </w:r>
      <w:r w:rsidR="0084710D" w:rsidRPr="0084710D">
        <w:rPr>
          <w:b/>
          <w:bCs/>
          <w:lang w:val="en-US"/>
        </w:rPr>
        <w:t>Nuclear Installations</w:t>
      </w:r>
      <w:bookmarkEnd w:id="0"/>
      <w:r w:rsidR="0084710D" w:rsidRPr="0084710D">
        <w:rPr>
          <w:b/>
          <w:bCs/>
          <w:lang w:val="en-US"/>
        </w:rPr>
        <w:t xml:space="preserve"> </w:t>
      </w:r>
      <w:r w:rsidR="0084710D">
        <w:rPr>
          <w:b/>
          <w:bCs/>
          <w:lang w:val="en-US"/>
        </w:rPr>
        <w:t>(2009</w:t>
      </w:r>
      <w:r w:rsidR="00827BF0" w:rsidRPr="00FD0869">
        <w:rPr>
          <w:b/>
          <w:bCs/>
          <w:lang w:val="en-US"/>
        </w:rPr>
        <w:t>)</w:t>
      </w:r>
    </w:p>
    <w:p w14:paraId="1A789FEF" w14:textId="77777777" w:rsidR="00142442" w:rsidRPr="00467564" w:rsidRDefault="0039184E" w:rsidP="00B02256">
      <w:pPr>
        <w:pStyle w:val="BodyText"/>
        <w:ind w:left="2400" w:hanging="2160"/>
        <w:jc w:val="left"/>
        <w:rPr>
          <w:b/>
          <w:bCs/>
        </w:rPr>
      </w:pPr>
      <w:r w:rsidRPr="00467564">
        <w:rPr>
          <w:b/>
          <w:bCs/>
        </w:rPr>
        <w:t>Review</w:t>
      </w:r>
      <w:r w:rsidR="00142442" w:rsidRPr="00467564">
        <w:rPr>
          <w:b/>
          <w:bCs/>
        </w:rPr>
        <w:t xml:space="preserve"> Committee(s)</w:t>
      </w:r>
      <w:r w:rsidRPr="00467564">
        <w:rPr>
          <w:b/>
          <w:bCs/>
        </w:rPr>
        <w:t xml:space="preserve"> or Group</w:t>
      </w:r>
      <w:r w:rsidR="00142442" w:rsidRPr="00467564">
        <w:rPr>
          <w:b/>
          <w:bCs/>
        </w:rPr>
        <w:t>:</w:t>
      </w:r>
      <w:r w:rsidR="00142442" w:rsidRPr="00467564">
        <w:rPr>
          <w:b/>
          <w:bCs/>
        </w:rPr>
        <w:tab/>
      </w:r>
      <w:r w:rsidR="0042198F" w:rsidRPr="00467564">
        <w:rPr>
          <w:b/>
          <w:bCs/>
        </w:rPr>
        <w:t>NUSSC</w:t>
      </w:r>
      <w:r w:rsidR="000D26AA">
        <w:rPr>
          <w:b/>
          <w:bCs/>
        </w:rPr>
        <w:t>, WASSC</w:t>
      </w:r>
    </w:p>
    <w:p w14:paraId="209C504B" w14:textId="77777777" w:rsidR="00142442" w:rsidRPr="00467564" w:rsidRDefault="00142442" w:rsidP="00142442">
      <w:pPr>
        <w:pStyle w:val="BodyText"/>
        <w:ind w:left="2400" w:hanging="2160"/>
        <w:jc w:val="left"/>
        <w:rPr>
          <w:b/>
          <w:bCs/>
        </w:rPr>
      </w:pPr>
      <w:r w:rsidRPr="00467564">
        <w:rPr>
          <w:b/>
          <w:bCs/>
        </w:rPr>
        <w:t>Technical Officer(s):</w:t>
      </w:r>
      <w:r w:rsidRPr="00467564">
        <w:rPr>
          <w:b/>
          <w:bCs/>
        </w:rPr>
        <w:tab/>
      </w:r>
      <w:r w:rsidR="007F29A1" w:rsidRPr="007F29A1">
        <w:rPr>
          <w:b/>
          <w:bCs/>
        </w:rPr>
        <w:t>Shin Morita</w:t>
      </w:r>
      <w:r w:rsidR="007F29A1">
        <w:rPr>
          <w:b/>
          <w:bCs/>
        </w:rPr>
        <w:t>,</w:t>
      </w:r>
      <w:r w:rsidR="007F29A1" w:rsidRPr="007F29A1">
        <w:rPr>
          <w:b/>
          <w:bCs/>
        </w:rPr>
        <w:t xml:space="preserve"> </w:t>
      </w:r>
      <w:r w:rsidR="0084710D">
        <w:rPr>
          <w:b/>
          <w:bCs/>
        </w:rPr>
        <w:t>Ovidiu Coman</w:t>
      </w:r>
      <w:r w:rsidR="00092EC6">
        <w:rPr>
          <w:b/>
          <w:bCs/>
        </w:rPr>
        <w:t xml:space="preserve">, </w:t>
      </w:r>
      <w:r w:rsidR="007F29A1">
        <w:rPr>
          <w:b/>
          <w:bCs/>
        </w:rPr>
        <w:t xml:space="preserve">Neda Stoeva </w:t>
      </w:r>
      <w:r w:rsidR="00932750" w:rsidRPr="00467564">
        <w:rPr>
          <w:b/>
          <w:bCs/>
        </w:rPr>
        <w:t>(</w:t>
      </w:r>
      <w:r w:rsidR="00B143BF">
        <w:rPr>
          <w:b/>
          <w:bCs/>
        </w:rPr>
        <w:t>EESS</w:t>
      </w:r>
      <w:r w:rsidR="00932750" w:rsidRPr="00467564">
        <w:rPr>
          <w:b/>
          <w:bCs/>
        </w:rPr>
        <w:t xml:space="preserve">/NSNI) </w:t>
      </w:r>
      <w:r w:rsidRPr="00467564">
        <w:rPr>
          <w:b/>
          <w:bCs/>
        </w:rPr>
        <w:br/>
      </w:r>
    </w:p>
    <w:p w14:paraId="27C11721" w14:textId="77777777" w:rsidR="00FA319C" w:rsidRPr="00FA319C" w:rsidRDefault="00E0263C" w:rsidP="00FA319C">
      <w:pPr>
        <w:pStyle w:val="BodyText"/>
        <w:numPr>
          <w:ilvl w:val="0"/>
          <w:numId w:val="19"/>
        </w:numPr>
        <w:rPr>
          <w:b/>
          <w:bCs/>
          <w:iCs/>
          <w:szCs w:val="22"/>
        </w:rPr>
      </w:pPr>
      <w:r w:rsidRPr="00FA319C">
        <w:rPr>
          <w:b/>
          <w:bCs/>
        </w:rPr>
        <w:t xml:space="preserve">BACKGROUND </w:t>
      </w:r>
    </w:p>
    <w:p w14:paraId="35A10436" w14:textId="6BC71212" w:rsidR="00DD78AA" w:rsidRDefault="00DD78AA" w:rsidP="00A86F15">
      <w:pPr>
        <w:pStyle w:val="BodyText"/>
        <w:rPr>
          <w:iCs/>
          <w:szCs w:val="22"/>
        </w:rPr>
      </w:pPr>
      <w:r>
        <w:rPr>
          <w:iCs/>
          <w:szCs w:val="22"/>
        </w:rPr>
        <w:t xml:space="preserve">In the last </w:t>
      </w:r>
      <w:r w:rsidR="00924CC9">
        <w:rPr>
          <w:iCs/>
          <w:szCs w:val="22"/>
        </w:rPr>
        <w:t>three</w:t>
      </w:r>
      <w:r>
        <w:rPr>
          <w:iCs/>
          <w:szCs w:val="22"/>
        </w:rPr>
        <w:t xml:space="preserve"> decades</w:t>
      </w:r>
      <w:r w:rsidR="00651FDF">
        <w:rPr>
          <w:iCs/>
          <w:szCs w:val="22"/>
        </w:rPr>
        <w:t>,</w:t>
      </w:r>
      <w:r>
        <w:rPr>
          <w:iCs/>
          <w:szCs w:val="22"/>
        </w:rPr>
        <w:t xml:space="preserve"> seismic evaluation programmes have been conducted for a number of existing nuclear installations worldwide. The guidance provided by existing </w:t>
      </w:r>
      <w:r w:rsidR="00651FDF">
        <w:rPr>
          <w:iCs/>
          <w:szCs w:val="22"/>
        </w:rPr>
        <w:t xml:space="preserve">IAEA </w:t>
      </w:r>
      <w:r>
        <w:rPr>
          <w:iCs/>
          <w:szCs w:val="22"/>
        </w:rPr>
        <w:t>publications</w:t>
      </w:r>
      <w:r w:rsidR="00651FDF">
        <w:rPr>
          <w:iCs/>
          <w:szCs w:val="22"/>
        </w:rPr>
        <w:t>,</w:t>
      </w:r>
      <w:r>
        <w:rPr>
          <w:iCs/>
          <w:szCs w:val="22"/>
        </w:rPr>
        <w:t xml:space="preserve"> </w:t>
      </w:r>
      <w:r w:rsidR="00651FDF">
        <w:rPr>
          <w:iCs/>
          <w:szCs w:val="22"/>
        </w:rPr>
        <w:t xml:space="preserve">such as Safety Standards Series No. </w:t>
      </w:r>
      <w:r>
        <w:rPr>
          <w:iCs/>
          <w:szCs w:val="22"/>
        </w:rPr>
        <w:t>NS-G-2.13 and Safety Report</w:t>
      </w:r>
      <w:r w:rsidR="00651FDF">
        <w:rPr>
          <w:iCs/>
          <w:szCs w:val="22"/>
        </w:rPr>
        <w:t>s Series</w:t>
      </w:r>
      <w:r>
        <w:rPr>
          <w:iCs/>
          <w:szCs w:val="22"/>
        </w:rPr>
        <w:t xml:space="preserve"> No. 28</w:t>
      </w:r>
      <w:r w:rsidR="00651FDF">
        <w:rPr>
          <w:iCs/>
          <w:szCs w:val="22"/>
        </w:rPr>
        <w:t>,</w:t>
      </w:r>
      <w:r>
        <w:rPr>
          <w:iCs/>
          <w:szCs w:val="22"/>
        </w:rPr>
        <w:t xml:space="preserve"> has been extensively used in the seismic re-evaluations of existing </w:t>
      </w:r>
      <w:bookmarkStart w:id="1" w:name="_Hlk3911925"/>
      <w:r w:rsidR="007C0567">
        <w:rPr>
          <w:iCs/>
          <w:szCs w:val="22"/>
        </w:rPr>
        <w:t xml:space="preserve">nuclear power </w:t>
      </w:r>
      <w:bookmarkEnd w:id="1"/>
      <w:r>
        <w:rPr>
          <w:iCs/>
          <w:szCs w:val="22"/>
        </w:rPr>
        <w:t>plants</w:t>
      </w:r>
      <w:r w:rsidR="00924CC9">
        <w:rPr>
          <w:iCs/>
          <w:szCs w:val="22"/>
        </w:rPr>
        <w:t xml:space="preserve"> mostly</w:t>
      </w:r>
      <w:r>
        <w:rPr>
          <w:iCs/>
          <w:szCs w:val="22"/>
        </w:rPr>
        <w:t xml:space="preserve"> in eastern and central Europe. More recently, after the Fukushima Daiichi accident (March 2011), seismic safety evaluations for existing NPPs were revisited worldwide using updated methodologies based on accumulated experience.</w:t>
      </w:r>
    </w:p>
    <w:p w14:paraId="7D2B606F" w14:textId="0BCF9A1F" w:rsidR="004659CA" w:rsidRDefault="00906679" w:rsidP="00D81A62">
      <w:pPr>
        <w:pStyle w:val="BodyText"/>
        <w:rPr>
          <w:iCs/>
          <w:szCs w:val="22"/>
        </w:rPr>
      </w:pPr>
      <w:r>
        <w:rPr>
          <w:iCs/>
          <w:szCs w:val="22"/>
        </w:rPr>
        <w:t>NS-G-</w:t>
      </w:r>
      <w:r w:rsidR="000A5A58">
        <w:rPr>
          <w:iCs/>
          <w:szCs w:val="22"/>
        </w:rPr>
        <w:t>2</w:t>
      </w:r>
      <w:r>
        <w:rPr>
          <w:iCs/>
          <w:szCs w:val="22"/>
        </w:rPr>
        <w:t>.1</w:t>
      </w:r>
      <w:r w:rsidR="000A5A58">
        <w:rPr>
          <w:iCs/>
          <w:szCs w:val="22"/>
        </w:rPr>
        <w:t>3</w:t>
      </w:r>
      <w:r>
        <w:rPr>
          <w:iCs/>
          <w:szCs w:val="22"/>
        </w:rPr>
        <w:t xml:space="preserve"> </w:t>
      </w:r>
      <w:r w:rsidR="000A5A58">
        <w:rPr>
          <w:iCs/>
          <w:szCs w:val="22"/>
        </w:rPr>
        <w:t>was published in 2009</w:t>
      </w:r>
      <w:r w:rsidR="00212133" w:rsidRPr="00467564">
        <w:rPr>
          <w:iCs/>
          <w:szCs w:val="22"/>
        </w:rPr>
        <w:t xml:space="preserve"> </w:t>
      </w:r>
      <w:r w:rsidR="00002427">
        <w:rPr>
          <w:iCs/>
          <w:szCs w:val="22"/>
        </w:rPr>
        <w:t xml:space="preserve">and the </w:t>
      </w:r>
      <w:r w:rsidR="00092EC6">
        <w:rPr>
          <w:iCs/>
          <w:szCs w:val="22"/>
        </w:rPr>
        <w:t>applicable</w:t>
      </w:r>
      <w:r w:rsidR="00002427">
        <w:rPr>
          <w:iCs/>
          <w:szCs w:val="22"/>
        </w:rPr>
        <w:t xml:space="preserve"> </w:t>
      </w:r>
      <w:r w:rsidR="000A5A58" w:rsidRPr="000A5A58">
        <w:rPr>
          <w:iCs/>
          <w:szCs w:val="22"/>
        </w:rPr>
        <w:t xml:space="preserve">Safety </w:t>
      </w:r>
      <w:r w:rsidR="000D1186" w:rsidRPr="000A5A58">
        <w:rPr>
          <w:iCs/>
          <w:szCs w:val="22"/>
        </w:rPr>
        <w:t>Requirements</w:t>
      </w:r>
      <w:r w:rsidR="000D1186">
        <w:rPr>
          <w:iCs/>
          <w:szCs w:val="22"/>
        </w:rPr>
        <w:t xml:space="preserve"> </w:t>
      </w:r>
      <w:r w:rsidR="00924CC9">
        <w:rPr>
          <w:iCs/>
          <w:szCs w:val="22"/>
        </w:rPr>
        <w:t>at that time were</w:t>
      </w:r>
      <w:r w:rsidR="00092EC6">
        <w:rPr>
          <w:iCs/>
          <w:szCs w:val="22"/>
        </w:rPr>
        <w:t xml:space="preserve">: </w:t>
      </w:r>
      <w:r w:rsidR="00D81A62">
        <w:rPr>
          <w:iCs/>
          <w:szCs w:val="22"/>
        </w:rPr>
        <w:t xml:space="preserve">NS-R-1 </w:t>
      </w:r>
      <w:r w:rsidR="00D81A62" w:rsidRPr="00467564">
        <w:rPr>
          <w:iCs/>
          <w:szCs w:val="22"/>
        </w:rPr>
        <w:t>“</w:t>
      </w:r>
      <w:r w:rsidR="00D81A62">
        <w:rPr>
          <w:iCs/>
          <w:szCs w:val="22"/>
        </w:rPr>
        <w:t xml:space="preserve">Safety of Nuclear Power Plants: Design” (2000), </w:t>
      </w:r>
      <w:r w:rsidR="000D1186">
        <w:rPr>
          <w:iCs/>
          <w:szCs w:val="22"/>
        </w:rPr>
        <w:t>NS-R-2</w:t>
      </w:r>
      <w:r w:rsidR="00092EC6">
        <w:rPr>
          <w:iCs/>
          <w:szCs w:val="22"/>
        </w:rPr>
        <w:t xml:space="preserve"> </w:t>
      </w:r>
      <w:r w:rsidR="000D1186" w:rsidRPr="00467564">
        <w:rPr>
          <w:iCs/>
          <w:szCs w:val="22"/>
        </w:rPr>
        <w:t>“</w:t>
      </w:r>
      <w:bookmarkStart w:id="2" w:name="_Hlk338761"/>
      <w:r w:rsidR="000A5A58">
        <w:rPr>
          <w:iCs/>
          <w:szCs w:val="22"/>
        </w:rPr>
        <w:t>Saf</w:t>
      </w:r>
      <w:r w:rsidR="00002427">
        <w:rPr>
          <w:iCs/>
          <w:szCs w:val="22"/>
        </w:rPr>
        <w:t>ety</w:t>
      </w:r>
      <w:r w:rsidR="000A5A58">
        <w:rPr>
          <w:iCs/>
          <w:szCs w:val="22"/>
        </w:rPr>
        <w:t xml:space="preserve"> of Nuclear Power Plants: Operation</w:t>
      </w:r>
      <w:bookmarkEnd w:id="2"/>
      <w:r w:rsidR="00002427">
        <w:rPr>
          <w:iCs/>
          <w:szCs w:val="22"/>
        </w:rPr>
        <w:t>”</w:t>
      </w:r>
      <w:r w:rsidR="000A5A58">
        <w:rPr>
          <w:iCs/>
          <w:szCs w:val="22"/>
        </w:rPr>
        <w:t xml:space="preserve"> (2000)</w:t>
      </w:r>
      <w:r w:rsidR="000D1186">
        <w:rPr>
          <w:iCs/>
          <w:szCs w:val="22"/>
        </w:rPr>
        <w:t xml:space="preserve">, </w:t>
      </w:r>
      <w:r w:rsidR="00D81A62">
        <w:rPr>
          <w:iCs/>
          <w:szCs w:val="22"/>
        </w:rPr>
        <w:t>NS-R-3 “</w:t>
      </w:r>
      <w:r w:rsidR="00D81A62" w:rsidRPr="00D81A62">
        <w:rPr>
          <w:iCs/>
          <w:szCs w:val="22"/>
        </w:rPr>
        <w:t>Site Evaluation for</w:t>
      </w:r>
      <w:r w:rsidR="00D81A62">
        <w:rPr>
          <w:iCs/>
          <w:szCs w:val="22"/>
        </w:rPr>
        <w:t xml:space="preserve"> </w:t>
      </w:r>
      <w:r w:rsidR="00D81A62" w:rsidRPr="00D81A62">
        <w:rPr>
          <w:iCs/>
          <w:szCs w:val="22"/>
        </w:rPr>
        <w:t>Nuclear Installations</w:t>
      </w:r>
      <w:r w:rsidR="00D81A62">
        <w:rPr>
          <w:iCs/>
          <w:szCs w:val="22"/>
        </w:rPr>
        <w:t>” (200</w:t>
      </w:r>
      <w:r w:rsidR="00EF26E8">
        <w:rPr>
          <w:iCs/>
          <w:szCs w:val="22"/>
        </w:rPr>
        <w:t>3</w:t>
      </w:r>
      <w:r w:rsidR="00D81A62">
        <w:rPr>
          <w:iCs/>
          <w:szCs w:val="22"/>
        </w:rPr>
        <w:t>)</w:t>
      </w:r>
      <w:r w:rsidR="00D81A62" w:rsidRPr="00D81A62">
        <w:rPr>
          <w:iCs/>
          <w:szCs w:val="22"/>
        </w:rPr>
        <w:t xml:space="preserve">, </w:t>
      </w:r>
      <w:r w:rsidR="00CF3B23">
        <w:rPr>
          <w:iCs/>
          <w:szCs w:val="22"/>
        </w:rPr>
        <w:t>NS-R-4</w:t>
      </w:r>
      <w:r w:rsidR="000D1186">
        <w:rPr>
          <w:iCs/>
          <w:szCs w:val="22"/>
        </w:rPr>
        <w:t xml:space="preserve"> </w:t>
      </w:r>
      <w:r w:rsidR="00D81A62">
        <w:rPr>
          <w:iCs/>
          <w:szCs w:val="22"/>
        </w:rPr>
        <w:t>“</w:t>
      </w:r>
      <w:r w:rsidR="000D1186">
        <w:rPr>
          <w:iCs/>
          <w:szCs w:val="22"/>
        </w:rPr>
        <w:t>Safety of Research Reactors</w:t>
      </w:r>
      <w:r w:rsidR="00D81A62">
        <w:rPr>
          <w:iCs/>
          <w:szCs w:val="22"/>
        </w:rPr>
        <w:t>”</w:t>
      </w:r>
      <w:r w:rsidR="000D1186">
        <w:rPr>
          <w:iCs/>
          <w:szCs w:val="22"/>
        </w:rPr>
        <w:t xml:space="preserve"> (20</w:t>
      </w:r>
      <w:r w:rsidR="00CF3B23">
        <w:rPr>
          <w:iCs/>
          <w:szCs w:val="22"/>
        </w:rPr>
        <w:t>05</w:t>
      </w:r>
      <w:r w:rsidR="000D1186">
        <w:rPr>
          <w:iCs/>
          <w:szCs w:val="22"/>
        </w:rPr>
        <w:t>)</w:t>
      </w:r>
      <w:r w:rsidR="00D81A62">
        <w:rPr>
          <w:iCs/>
          <w:szCs w:val="22"/>
        </w:rPr>
        <w:t>,</w:t>
      </w:r>
      <w:r w:rsidR="000D1186">
        <w:rPr>
          <w:iCs/>
          <w:szCs w:val="22"/>
        </w:rPr>
        <w:t xml:space="preserve"> </w:t>
      </w:r>
      <w:r w:rsidR="00CF3B23">
        <w:rPr>
          <w:iCs/>
          <w:szCs w:val="22"/>
        </w:rPr>
        <w:t xml:space="preserve">NS-R-5 </w:t>
      </w:r>
      <w:r w:rsidR="00D81A62">
        <w:rPr>
          <w:iCs/>
          <w:szCs w:val="22"/>
        </w:rPr>
        <w:t>“</w:t>
      </w:r>
      <w:r w:rsidR="000D1186" w:rsidRPr="000D1186">
        <w:rPr>
          <w:iCs/>
          <w:szCs w:val="22"/>
        </w:rPr>
        <w:t>Safety of Nuclear Fuel</w:t>
      </w:r>
      <w:r w:rsidR="000D1186">
        <w:rPr>
          <w:iCs/>
          <w:szCs w:val="22"/>
        </w:rPr>
        <w:t xml:space="preserve"> </w:t>
      </w:r>
      <w:r w:rsidR="000D1186" w:rsidRPr="000D1186">
        <w:rPr>
          <w:iCs/>
          <w:szCs w:val="22"/>
        </w:rPr>
        <w:t>Cycle Facilities</w:t>
      </w:r>
      <w:r w:rsidR="00D81A62">
        <w:rPr>
          <w:iCs/>
          <w:szCs w:val="22"/>
        </w:rPr>
        <w:t>”</w:t>
      </w:r>
      <w:r w:rsidR="000D1186">
        <w:rPr>
          <w:iCs/>
          <w:szCs w:val="22"/>
        </w:rPr>
        <w:t xml:space="preserve"> (20</w:t>
      </w:r>
      <w:r w:rsidR="00CF3B23">
        <w:rPr>
          <w:iCs/>
          <w:szCs w:val="22"/>
        </w:rPr>
        <w:t>08</w:t>
      </w:r>
      <w:r w:rsidR="000D1186">
        <w:rPr>
          <w:iCs/>
          <w:szCs w:val="22"/>
        </w:rPr>
        <w:t>)</w:t>
      </w:r>
      <w:r w:rsidR="00D81A62">
        <w:rPr>
          <w:iCs/>
          <w:szCs w:val="22"/>
        </w:rPr>
        <w:t xml:space="preserve">, and </w:t>
      </w:r>
      <w:r w:rsidR="00D81A62" w:rsidRPr="00F86E94">
        <w:rPr>
          <w:iCs/>
          <w:szCs w:val="22"/>
        </w:rPr>
        <w:t>GS-R-3</w:t>
      </w:r>
      <w:r w:rsidR="00D81A62">
        <w:rPr>
          <w:iCs/>
          <w:szCs w:val="22"/>
        </w:rPr>
        <w:t xml:space="preserve"> “</w:t>
      </w:r>
      <w:r w:rsidR="00D81A62" w:rsidRPr="00F86E94">
        <w:rPr>
          <w:iCs/>
          <w:szCs w:val="22"/>
        </w:rPr>
        <w:t>The Management System</w:t>
      </w:r>
      <w:r w:rsidR="00D81A62">
        <w:rPr>
          <w:iCs/>
          <w:szCs w:val="22"/>
        </w:rPr>
        <w:t xml:space="preserve"> </w:t>
      </w:r>
      <w:r w:rsidR="00D81A62" w:rsidRPr="00F86E94">
        <w:rPr>
          <w:iCs/>
          <w:szCs w:val="22"/>
        </w:rPr>
        <w:t>for Facilities and Activities</w:t>
      </w:r>
      <w:r w:rsidR="00D81A62">
        <w:rPr>
          <w:iCs/>
          <w:szCs w:val="22"/>
        </w:rPr>
        <w:t>” (2006)</w:t>
      </w:r>
      <w:r w:rsidR="000A5A58">
        <w:rPr>
          <w:iCs/>
          <w:szCs w:val="22"/>
        </w:rPr>
        <w:t>.</w:t>
      </w:r>
      <w:r w:rsidR="00212133" w:rsidRPr="00467564">
        <w:rPr>
          <w:iCs/>
          <w:szCs w:val="22"/>
        </w:rPr>
        <w:t xml:space="preserve"> </w:t>
      </w:r>
      <w:r w:rsidR="00B0550E">
        <w:rPr>
          <w:iCs/>
          <w:szCs w:val="22"/>
        </w:rPr>
        <w:t>A</w:t>
      </w:r>
      <w:r w:rsidR="00F4591A">
        <w:rPr>
          <w:iCs/>
          <w:szCs w:val="22"/>
        </w:rPr>
        <w:t xml:space="preserve">ll of the abovementioned </w:t>
      </w:r>
      <w:r w:rsidR="00B0550E">
        <w:rPr>
          <w:iCs/>
          <w:szCs w:val="22"/>
        </w:rPr>
        <w:t xml:space="preserve">publications </w:t>
      </w:r>
      <w:r w:rsidR="00F4591A">
        <w:rPr>
          <w:iCs/>
          <w:szCs w:val="22"/>
        </w:rPr>
        <w:t xml:space="preserve">have </w:t>
      </w:r>
      <w:r w:rsidR="00B0550E">
        <w:rPr>
          <w:iCs/>
          <w:szCs w:val="22"/>
        </w:rPr>
        <w:t xml:space="preserve">meanwhile </w:t>
      </w:r>
      <w:r w:rsidR="00F4591A">
        <w:rPr>
          <w:iCs/>
          <w:szCs w:val="22"/>
        </w:rPr>
        <w:t xml:space="preserve">been revised and updated. </w:t>
      </w:r>
      <w:r w:rsidR="004659CA">
        <w:rPr>
          <w:iCs/>
          <w:szCs w:val="22"/>
        </w:rPr>
        <w:t>Th</w:t>
      </w:r>
      <w:r w:rsidR="0070077D">
        <w:rPr>
          <w:iCs/>
          <w:szCs w:val="22"/>
        </w:rPr>
        <w:t>is</w:t>
      </w:r>
      <w:r w:rsidR="004659CA">
        <w:rPr>
          <w:iCs/>
          <w:szCs w:val="22"/>
        </w:rPr>
        <w:t xml:space="preserve"> revis</w:t>
      </w:r>
      <w:r w:rsidR="0070077D">
        <w:rPr>
          <w:iCs/>
          <w:szCs w:val="22"/>
        </w:rPr>
        <w:t>ion of NS-G-2.13</w:t>
      </w:r>
      <w:r w:rsidR="004659CA">
        <w:rPr>
          <w:iCs/>
          <w:szCs w:val="22"/>
        </w:rPr>
        <w:t xml:space="preserve"> will provide guidance on using updated seismic safety evaluation methodologies</w:t>
      </w:r>
      <w:r w:rsidR="0070077D">
        <w:rPr>
          <w:iCs/>
          <w:szCs w:val="22"/>
        </w:rPr>
        <w:t xml:space="preserve"> which have been</w:t>
      </w:r>
      <w:r w:rsidR="004659CA">
        <w:rPr>
          <w:iCs/>
          <w:szCs w:val="22"/>
        </w:rPr>
        <w:t xml:space="preserve"> validated by the current international state of practice. </w:t>
      </w:r>
    </w:p>
    <w:p w14:paraId="041F73D8" w14:textId="2D23BF90" w:rsidR="001B6CF9" w:rsidRDefault="00B304D4" w:rsidP="00A86F15">
      <w:pPr>
        <w:pStyle w:val="BodyText"/>
        <w:rPr>
          <w:iCs/>
          <w:szCs w:val="22"/>
        </w:rPr>
      </w:pPr>
      <w:r>
        <w:rPr>
          <w:iCs/>
          <w:szCs w:val="22"/>
        </w:rPr>
        <w:t>This</w:t>
      </w:r>
      <w:r w:rsidRPr="00467564">
        <w:rPr>
          <w:iCs/>
          <w:szCs w:val="22"/>
        </w:rPr>
        <w:t xml:space="preserve"> </w:t>
      </w:r>
      <w:r w:rsidR="00FB259E">
        <w:rPr>
          <w:iCs/>
          <w:szCs w:val="22"/>
        </w:rPr>
        <w:t>revision</w:t>
      </w:r>
      <w:r>
        <w:rPr>
          <w:iCs/>
          <w:szCs w:val="22"/>
        </w:rPr>
        <w:t xml:space="preserve"> will supersede </w:t>
      </w:r>
      <w:r w:rsidR="00651FDF">
        <w:rPr>
          <w:iCs/>
          <w:szCs w:val="22"/>
        </w:rPr>
        <w:t xml:space="preserve">and replace </w:t>
      </w:r>
      <w:r>
        <w:rPr>
          <w:iCs/>
          <w:szCs w:val="22"/>
        </w:rPr>
        <w:t xml:space="preserve">the </w:t>
      </w:r>
      <w:r w:rsidRPr="00467564">
        <w:rPr>
          <w:iCs/>
          <w:szCs w:val="22"/>
        </w:rPr>
        <w:t xml:space="preserve">IAEA </w:t>
      </w:r>
      <w:r w:rsidR="00651FDF">
        <w:rPr>
          <w:iCs/>
          <w:szCs w:val="22"/>
        </w:rPr>
        <w:t>S</w:t>
      </w:r>
      <w:r w:rsidRPr="00467564">
        <w:rPr>
          <w:iCs/>
          <w:szCs w:val="22"/>
        </w:rPr>
        <w:t xml:space="preserve">afety </w:t>
      </w:r>
      <w:r w:rsidR="00651FDF">
        <w:rPr>
          <w:iCs/>
          <w:szCs w:val="22"/>
        </w:rPr>
        <w:t>G</w:t>
      </w:r>
      <w:r w:rsidRPr="00467564">
        <w:rPr>
          <w:iCs/>
          <w:szCs w:val="22"/>
        </w:rPr>
        <w:t xml:space="preserve">uide </w:t>
      </w:r>
      <w:r>
        <w:rPr>
          <w:iCs/>
          <w:szCs w:val="22"/>
        </w:rPr>
        <w:t>NS-G-2.13</w:t>
      </w:r>
      <w:r w:rsidRPr="00467564">
        <w:rPr>
          <w:iCs/>
          <w:szCs w:val="22"/>
        </w:rPr>
        <w:t>, “</w:t>
      </w:r>
      <w:r w:rsidRPr="000A5A58">
        <w:rPr>
          <w:iCs/>
          <w:szCs w:val="22"/>
        </w:rPr>
        <w:t>Evaluation of Seismic Safety for Existing Nuclear Installations</w:t>
      </w:r>
      <w:r>
        <w:rPr>
          <w:iCs/>
          <w:szCs w:val="22"/>
        </w:rPr>
        <w:t>”.</w:t>
      </w:r>
      <w:r w:rsidRPr="00467564">
        <w:rPr>
          <w:iCs/>
          <w:szCs w:val="22"/>
        </w:rPr>
        <w:t xml:space="preserve"> </w:t>
      </w:r>
    </w:p>
    <w:p w14:paraId="45ABE023" w14:textId="77777777" w:rsidR="00E41C8D" w:rsidRPr="00A8216D" w:rsidRDefault="00E41C8D" w:rsidP="00A86F15">
      <w:pPr>
        <w:pStyle w:val="BodyText"/>
        <w:rPr>
          <w:iCs/>
          <w:szCs w:val="22"/>
        </w:rPr>
      </w:pPr>
    </w:p>
    <w:p w14:paraId="6DC2812B" w14:textId="77777777" w:rsidR="00FA319C" w:rsidRDefault="00481A4D" w:rsidP="00FA319C">
      <w:pPr>
        <w:pStyle w:val="BodyText"/>
        <w:numPr>
          <w:ilvl w:val="0"/>
          <w:numId w:val="19"/>
        </w:numPr>
        <w:rPr>
          <w:b/>
          <w:bCs/>
        </w:rPr>
      </w:pPr>
      <w:r w:rsidRPr="00467564">
        <w:rPr>
          <w:b/>
          <w:bCs/>
        </w:rPr>
        <w:t>JUSTIFICATION</w:t>
      </w:r>
      <w:r w:rsidR="009561A5" w:rsidRPr="00467564">
        <w:rPr>
          <w:b/>
          <w:bCs/>
        </w:rPr>
        <w:t xml:space="preserve"> </w:t>
      </w:r>
      <w:r w:rsidR="00E0263C" w:rsidRPr="00467564">
        <w:rPr>
          <w:b/>
          <w:bCs/>
        </w:rPr>
        <w:t xml:space="preserve">FOR THE PRODUCTION OF THE DOCUMENT </w:t>
      </w:r>
    </w:p>
    <w:p w14:paraId="59E24262" w14:textId="3693AEBC" w:rsidR="00DF4010" w:rsidRDefault="00A86F15" w:rsidP="00A86F15">
      <w:pPr>
        <w:pStyle w:val="BodyText"/>
        <w:rPr>
          <w:iCs/>
          <w:szCs w:val="22"/>
        </w:rPr>
      </w:pPr>
      <w:r>
        <w:rPr>
          <w:iCs/>
          <w:szCs w:val="22"/>
        </w:rPr>
        <w:t xml:space="preserve">The </w:t>
      </w:r>
      <w:r w:rsidR="00DF4010">
        <w:rPr>
          <w:iCs/>
          <w:szCs w:val="22"/>
        </w:rPr>
        <w:t xml:space="preserve">revised </w:t>
      </w:r>
      <w:r w:rsidR="00295BF2">
        <w:rPr>
          <w:iCs/>
          <w:szCs w:val="22"/>
        </w:rPr>
        <w:t>S</w:t>
      </w:r>
      <w:r>
        <w:rPr>
          <w:iCs/>
          <w:szCs w:val="22"/>
        </w:rPr>
        <w:t xml:space="preserve">afety </w:t>
      </w:r>
      <w:r w:rsidR="00295BF2">
        <w:rPr>
          <w:iCs/>
          <w:szCs w:val="22"/>
        </w:rPr>
        <w:t>G</w:t>
      </w:r>
      <w:r>
        <w:rPr>
          <w:iCs/>
          <w:szCs w:val="22"/>
        </w:rPr>
        <w:t xml:space="preserve">uide </w:t>
      </w:r>
      <w:r w:rsidR="00DF4010">
        <w:rPr>
          <w:iCs/>
          <w:szCs w:val="22"/>
        </w:rPr>
        <w:t xml:space="preserve">will provide guidance to </w:t>
      </w:r>
      <w:r w:rsidR="00DD0BA0">
        <w:rPr>
          <w:iCs/>
          <w:szCs w:val="22"/>
        </w:rPr>
        <w:t>re-evaluate seismic safety for existing nuclear installation</w:t>
      </w:r>
      <w:r w:rsidR="00F61856">
        <w:rPr>
          <w:iCs/>
          <w:szCs w:val="22"/>
        </w:rPr>
        <w:t>s</w:t>
      </w:r>
      <w:r w:rsidR="00295BF2">
        <w:rPr>
          <w:iCs/>
          <w:szCs w:val="22"/>
        </w:rPr>
        <w:t>,</w:t>
      </w:r>
      <w:r w:rsidR="00DD0BA0">
        <w:rPr>
          <w:iCs/>
          <w:szCs w:val="22"/>
        </w:rPr>
        <w:t xml:space="preserve"> supporting </w:t>
      </w:r>
      <w:r w:rsidR="00924CC9">
        <w:rPr>
          <w:iCs/>
          <w:szCs w:val="22"/>
        </w:rPr>
        <w:t xml:space="preserve">applicable requirements from GSR Part 4 </w:t>
      </w:r>
      <w:r w:rsidR="00295BF2">
        <w:rPr>
          <w:iCs/>
          <w:szCs w:val="22"/>
        </w:rPr>
        <w:t>(</w:t>
      </w:r>
      <w:r w:rsidR="00924CC9">
        <w:rPr>
          <w:iCs/>
          <w:szCs w:val="22"/>
        </w:rPr>
        <w:t>Rev. 1</w:t>
      </w:r>
      <w:r w:rsidR="00295BF2">
        <w:rPr>
          <w:iCs/>
          <w:szCs w:val="22"/>
        </w:rPr>
        <w:t>)</w:t>
      </w:r>
      <w:r w:rsidR="00924CC9">
        <w:rPr>
          <w:iCs/>
          <w:szCs w:val="22"/>
        </w:rPr>
        <w:t xml:space="preserve">, SSR-2/1 </w:t>
      </w:r>
      <w:r w:rsidR="00295BF2">
        <w:rPr>
          <w:iCs/>
          <w:szCs w:val="22"/>
        </w:rPr>
        <w:t>(</w:t>
      </w:r>
      <w:r w:rsidR="00924CC9">
        <w:rPr>
          <w:iCs/>
          <w:szCs w:val="22"/>
        </w:rPr>
        <w:t>Rev. 1</w:t>
      </w:r>
      <w:r w:rsidR="00295BF2">
        <w:rPr>
          <w:iCs/>
          <w:szCs w:val="22"/>
        </w:rPr>
        <w:t>)</w:t>
      </w:r>
      <w:r w:rsidR="00924CC9">
        <w:rPr>
          <w:iCs/>
          <w:szCs w:val="22"/>
        </w:rPr>
        <w:t xml:space="preserve">, SSR-2/2 </w:t>
      </w:r>
      <w:r w:rsidR="00295BF2">
        <w:rPr>
          <w:iCs/>
          <w:szCs w:val="22"/>
        </w:rPr>
        <w:t>(</w:t>
      </w:r>
      <w:r w:rsidR="00924CC9">
        <w:rPr>
          <w:iCs/>
          <w:szCs w:val="22"/>
        </w:rPr>
        <w:t>Rev. 1</w:t>
      </w:r>
      <w:r w:rsidR="00295BF2">
        <w:rPr>
          <w:iCs/>
          <w:szCs w:val="22"/>
        </w:rPr>
        <w:t>)</w:t>
      </w:r>
      <w:r w:rsidR="00924CC9">
        <w:rPr>
          <w:iCs/>
          <w:szCs w:val="22"/>
        </w:rPr>
        <w:t xml:space="preserve">, SSR-3 and </w:t>
      </w:r>
      <w:r w:rsidR="00DD0BA0">
        <w:rPr>
          <w:iCs/>
          <w:szCs w:val="22"/>
        </w:rPr>
        <w:t>SSR-4</w:t>
      </w:r>
      <w:r w:rsidR="009D6189">
        <w:rPr>
          <w:iCs/>
          <w:szCs w:val="22"/>
        </w:rPr>
        <w:t>.</w:t>
      </w:r>
    </w:p>
    <w:p w14:paraId="58199BDE" w14:textId="419A8FA8" w:rsidR="00DF4010" w:rsidRDefault="00DF4010" w:rsidP="00A86F15">
      <w:pPr>
        <w:pStyle w:val="BodyText"/>
        <w:rPr>
          <w:iCs/>
          <w:szCs w:val="22"/>
        </w:rPr>
      </w:pPr>
      <w:r>
        <w:rPr>
          <w:iCs/>
          <w:szCs w:val="22"/>
        </w:rPr>
        <w:t xml:space="preserve">The current </w:t>
      </w:r>
      <w:r w:rsidR="00295BF2">
        <w:rPr>
          <w:iCs/>
          <w:szCs w:val="22"/>
        </w:rPr>
        <w:t>S</w:t>
      </w:r>
      <w:r w:rsidR="003771B1">
        <w:rPr>
          <w:iCs/>
          <w:szCs w:val="22"/>
        </w:rPr>
        <w:t xml:space="preserve">afety </w:t>
      </w:r>
      <w:r w:rsidR="00295BF2">
        <w:rPr>
          <w:iCs/>
          <w:szCs w:val="22"/>
        </w:rPr>
        <w:t>G</w:t>
      </w:r>
      <w:r w:rsidR="003771B1">
        <w:rPr>
          <w:iCs/>
          <w:szCs w:val="22"/>
        </w:rPr>
        <w:t xml:space="preserve">uide </w:t>
      </w:r>
      <w:r w:rsidR="00DD0BA0">
        <w:rPr>
          <w:iCs/>
          <w:szCs w:val="22"/>
        </w:rPr>
        <w:t>NS-G-2</w:t>
      </w:r>
      <w:r>
        <w:rPr>
          <w:iCs/>
          <w:szCs w:val="22"/>
        </w:rPr>
        <w:t>.1</w:t>
      </w:r>
      <w:r w:rsidR="00DD0BA0">
        <w:rPr>
          <w:iCs/>
          <w:szCs w:val="22"/>
        </w:rPr>
        <w:t>3</w:t>
      </w:r>
      <w:r>
        <w:rPr>
          <w:iCs/>
          <w:szCs w:val="22"/>
        </w:rPr>
        <w:t xml:space="preserve"> </w:t>
      </w:r>
      <w:r w:rsidR="00A86F15">
        <w:rPr>
          <w:iCs/>
          <w:szCs w:val="22"/>
        </w:rPr>
        <w:t>is</w:t>
      </w:r>
      <w:r w:rsidR="00A52476">
        <w:rPr>
          <w:iCs/>
          <w:szCs w:val="22"/>
        </w:rPr>
        <w:t>sued in</w:t>
      </w:r>
      <w:r w:rsidR="003771B1">
        <w:rPr>
          <w:iCs/>
          <w:szCs w:val="22"/>
        </w:rPr>
        <w:t xml:space="preserve"> </w:t>
      </w:r>
      <w:r w:rsidR="00DD0BA0">
        <w:rPr>
          <w:iCs/>
          <w:szCs w:val="22"/>
        </w:rPr>
        <w:t>2009</w:t>
      </w:r>
      <w:r>
        <w:rPr>
          <w:iCs/>
          <w:szCs w:val="22"/>
        </w:rPr>
        <w:t xml:space="preserve"> needs </w:t>
      </w:r>
      <w:r w:rsidR="00516F2B">
        <w:rPr>
          <w:iCs/>
          <w:szCs w:val="22"/>
        </w:rPr>
        <w:t xml:space="preserve">an </w:t>
      </w:r>
      <w:r>
        <w:rPr>
          <w:iCs/>
          <w:szCs w:val="22"/>
        </w:rPr>
        <w:t xml:space="preserve">update </w:t>
      </w:r>
      <w:r w:rsidR="00A86F15">
        <w:rPr>
          <w:iCs/>
          <w:szCs w:val="22"/>
        </w:rPr>
        <w:t xml:space="preserve">addressing the </w:t>
      </w:r>
      <w:r>
        <w:rPr>
          <w:iCs/>
          <w:szCs w:val="22"/>
        </w:rPr>
        <w:t>following</w:t>
      </w:r>
      <w:r w:rsidR="003771B1">
        <w:rPr>
          <w:iCs/>
          <w:szCs w:val="22"/>
        </w:rPr>
        <w:t xml:space="preserve"> issues:</w:t>
      </w:r>
    </w:p>
    <w:p w14:paraId="697D6D8F" w14:textId="56A44BD4" w:rsidR="00DF4010" w:rsidRDefault="00924CC9" w:rsidP="00DF4010">
      <w:pPr>
        <w:pStyle w:val="BodyText"/>
        <w:numPr>
          <w:ilvl w:val="0"/>
          <w:numId w:val="21"/>
        </w:numPr>
        <w:rPr>
          <w:iCs/>
          <w:szCs w:val="22"/>
        </w:rPr>
      </w:pPr>
      <w:r>
        <w:rPr>
          <w:iCs/>
          <w:szCs w:val="22"/>
        </w:rPr>
        <w:t>C</w:t>
      </w:r>
      <w:r w:rsidR="00A86F15">
        <w:rPr>
          <w:iCs/>
          <w:szCs w:val="22"/>
        </w:rPr>
        <w:t>hanges in the requirement documents in higher hierarchy (</w:t>
      </w:r>
      <w:r>
        <w:rPr>
          <w:iCs/>
          <w:szCs w:val="22"/>
        </w:rPr>
        <w:t xml:space="preserve">GSR Part 4 </w:t>
      </w:r>
      <w:r w:rsidR="00295BF2">
        <w:rPr>
          <w:iCs/>
          <w:szCs w:val="22"/>
        </w:rPr>
        <w:t>(</w:t>
      </w:r>
      <w:r>
        <w:rPr>
          <w:iCs/>
          <w:szCs w:val="22"/>
        </w:rPr>
        <w:t>Rev. 1</w:t>
      </w:r>
      <w:r w:rsidR="00295BF2">
        <w:rPr>
          <w:iCs/>
          <w:szCs w:val="22"/>
        </w:rPr>
        <w:t>)</w:t>
      </w:r>
      <w:r>
        <w:rPr>
          <w:iCs/>
          <w:szCs w:val="22"/>
        </w:rPr>
        <w:t xml:space="preserve">, </w:t>
      </w:r>
      <w:r w:rsidR="000C55D9">
        <w:rPr>
          <w:iCs/>
          <w:szCs w:val="22"/>
        </w:rPr>
        <w:t xml:space="preserve">SSR-1, </w:t>
      </w:r>
      <w:r>
        <w:rPr>
          <w:iCs/>
          <w:szCs w:val="22"/>
        </w:rPr>
        <w:t xml:space="preserve">SSR-2/1 </w:t>
      </w:r>
      <w:r w:rsidR="00295BF2">
        <w:rPr>
          <w:iCs/>
          <w:szCs w:val="22"/>
        </w:rPr>
        <w:t>(</w:t>
      </w:r>
      <w:r>
        <w:rPr>
          <w:iCs/>
          <w:szCs w:val="22"/>
        </w:rPr>
        <w:t>Rev. 1</w:t>
      </w:r>
      <w:r w:rsidR="00295BF2">
        <w:rPr>
          <w:iCs/>
          <w:szCs w:val="22"/>
        </w:rPr>
        <w:t>)</w:t>
      </w:r>
      <w:r>
        <w:rPr>
          <w:iCs/>
          <w:szCs w:val="22"/>
        </w:rPr>
        <w:t xml:space="preserve">, </w:t>
      </w:r>
      <w:r w:rsidR="00DD0BA0">
        <w:rPr>
          <w:iCs/>
          <w:szCs w:val="22"/>
        </w:rPr>
        <w:t>SSR-2/2</w:t>
      </w:r>
      <w:r w:rsidR="007957C3">
        <w:rPr>
          <w:iCs/>
          <w:szCs w:val="22"/>
        </w:rPr>
        <w:t xml:space="preserve"> </w:t>
      </w:r>
      <w:r w:rsidR="00295BF2">
        <w:rPr>
          <w:iCs/>
          <w:szCs w:val="22"/>
        </w:rPr>
        <w:t>(</w:t>
      </w:r>
      <w:r w:rsidR="007957C3">
        <w:rPr>
          <w:iCs/>
          <w:szCs w:val="22"/>
        </w:rPr>
        <w:t>Rev. 1</w:t>
      </w:r>
      <w:r w:rsidR="00295BF2">
        <w:rPr>
          <w:iCs/>
          <w:szCs w:val="22"/>
        </w:rPr>
        <w:t>)</w:t>
      </w:r>
      <w:r w:rsidR="00DD0BA0">
        <w:rPr>
          <w:iCs/>
          <w:szCs w:val="22"/>
        </w:rPr>
        <w:t>, SSR-3 and SSR-4</w:t>
      </w:r>
      <w:r w:rsidR="00DF4010">
        <w:rPr>
          <w:iCs/>
          <w:szCs w:val="22"/>
        </w:rPr>
        <w:t>);</w:t>
      </w:r>
    </w:p>
    <w:p w14:paraId="0BE105F5" w14:textId="77777777" w:rsidR="00DF4010" w:rsidRDefault="00DF4010" w:rsidP="00DF4010">
      <w:pPr>
        <w:pStyle w:val="BodyText"/>
        <w:numPr>
          <w:ilvl w:val="0"/>
          <w:numId w:val="21"/>
        </w:numPr>
        <w:rPr>
          <w:iCs/>
          <w:szCs w:val="22"/>
        </w:rPr>
      </w:pPr>
      <w:r>
        <w:rPr>
          <w:iCs/>
          <w:szCs w:val="22"/>
        </w:rPr>
        <w:lastRenderedPageBreak/>
        <w:t>Considerations fu</w:t>
      </w:r>
      <w:r w:rsidR="00A86F15">
        <w:rPr>
          <w:iCs/>
          <w:szCs w:val="22"/>
        </w:rPr>
        <w:t>lfil</w:t>
      </w:r>
      <w:r>
        <w:rPr>
          <w:iCs/>
          <w:szCs w:val="22"/>
        </w:rPr>
        <w:t>ling</w:t>
      </w:r>
      <w:r w:rsidR="002C576A">
        <w:rPr>
          <w:iCs/>
          <w:szCs w:val="22"/>
        </w:rPr>
        <w:t xml:space="preserve"> the gap between</w:t>
      </w:r>
      <w:r w:rsidR="00A86F15">
        <w:rPr>
          <w:iCs/>
          <w:szCs w:val="22"/>
        </w:rPr>
        <w:t xml:space="preserve"> the </w:t>
      </w:r>
      <w:r w:rsidR="002C576A">
        <w:rPr>
          <w:iCs/>
          <w:szCs w:val="22"/>
        </w:rPr>
        <w:t xml:space="preserve">existing publication and the </w:t>
      </w:r>
      <w:r w:rsidR="00092EC6">
        <w:rPr>
          <w:iCs/>
          <w:szCs w:val="22"/>
        </w:rPr>
        <w:t>current state of practice</w:t>
      </w:r>
      <w:r w:rsidR="00A86F15">
        <w:rPr>
          <w:iCs/>
          <w:szCs w:val="22"/>
        </w:rPr>
        <w:t xml:space="preserve"> in IAEA Member States</w:t>
      </w:r>
      <w:r>
        <w:rPr>
          <w:iCs/>
          <w:szCs w:val="22"/>
        </w:rPr>
        <w:t>;</w:t>
      </w:r>
    </w:p>
    <w:p w14:paraId="52AE36E9" w14:textId="6D07CD10" w:rsidR="00A86F15" w:rsidRDefault="00DF4010" w:rsidP="00DF4010">
      <w:pPr>
        <w:pStyle w:val="BodyText"/>
        <w:numPr>
          <w:ilvl w:val="0"/>
          <w:numId w:val="21"/>
        </w:numPr>
        <w:rPr>
          <w:iCs/>
          <w:szCs w:val="22"/>
        </w:rPr>
      </w:pPr>
      <w:r>
        <w:rPr>
          <w:iCs/>
          <w:szCs w:val="22"/>
        </w:rPr>
        <w:t>E</w:t>
      </w:r>
      <w:r w:rsidR="00A86F15">
        <w:rPr>
          <w:iCs/>
          <w:szCs w:val="22"/>
        </w:rPr>
        <w:t xml:space="preserve">volution of the techniques and </w:t>
      </w:r>
      <w:r w:rsidR="000C55D9">
        <w:rPr>
          <w:iCs/>
          <w:szCs w:val="22"/>
        </w:rPr>
        <w:t xml:space="preserve">methodology </w:t>
      </w:r>
      <w:r w:rsidR="00DD0BA0">
        <w:rPr>
          <w:iCs/>
          <w:szCs w:val="22"/>
        </w:rPr>
        <w:t>in seismic safety</w:t>
      </w:r>
      <w:r w:rsidR="00A86F15">
        <w:rPr>
          <w:iCs/>
          <w:szCs w:val="22"/>
        </w:rPr>
        <w:t xml:space="preserve"> assessment of</w:t>
      </w:r>
      <w:r w:rsidR="00DD0BA0">
        <w:rPr>
          <w:iCs/>
          <w:szCs w:val="22"/>
        </w:rPr>
        <w:t xml:space="preserve"> nuclear installations</w:t>
      </w:r>
      <w:r w:rsidR="00A86F15">
        <w:rPr>
          <w:iCs/>
          <w:szCs w:val="22"/>
        </w:rPr>
        <w:t xml:space="preserve">. </w:t>
      </w:r>
    </w:p>
    <w:p w14:paraId="007D5740" w14:textId="4AC9CC5A" w:rsidR="00FA319C" w:rsidRDefault="009D6189" w:rsidP="00FA319C">
      <w:pPr>
        <w:pStyle w:val="BodyText"/>
        <w:rPr>
          <w:iCs/>
          <w:szCs w:val="22"/>
        </w:rPr>
      </w:pPr>
      <w:r>
        <w:rPr>
          <w:iCs/>
          <w:szCs w:val="22"/>
        </w:rPr>
        <w:t>The changes mentioned above</w:t>
      </w:r>
      <w:r w:rsidR="00FA319C">
        <w:rPr>
          <w:iCs/>
          <w:szCs w:val="22"/>
        </w:rPr>
        <w:t xml:space="preserve"> incl</w:t>
      </w:r>
      <w:r w:rsidR="00DD0BA0">
        <w:rPr>
          <w:iCs/>
          <w:szCs w:val="22"/>
        </w:rPr>
        <w:t>ude the issues highlighted in</w:t>
      </w:r>
      <w:r w:rsidR="00FA319C">
        <w:rPr>
          <w:iCs/>
          <w:szCs w:val="22"/>
        </w:rPr>
        <w:t xml:space="preserve"> the </w:t>
      </w:r>
      <w:r w:rsidR="00DD0BA0">
        <w:rPr>
          <w:iCs/>
          <w:szCs w:val="22"/>
        </w:rPr>
        <w:t>Director General</w:t>
      </w:r>
      <w:r w:rsidR="00CE3CEF">
        <w:rPr>
          <w:iCs/>
          <w:szCs w:val="22"/>
        </w:rPr>
        <w:t>’s</w:t>
      </w:r>
      <w:r w:rsidR="00DD0BA0">
        <w:rPr>
          <w:iCs/>
          <w:szCs w:val="22"/>
        </w:rPr>
        <w:t xml:space="preserve"> Report on </w:t>
      </w:r>
      <w:r w:rsidR="00445D24">
        <w:rPr>
          <w:iCs/>
          <w:szCs w:val="22"/>
        </w:rPr>
        <w:t xml:space="preserve">the </w:t>
      </w:r>
      <w:r w:rsidR="00FA319C">
        <w:rPr>
          <w:iCs/>
          <w:szCs w:val="22"/>
        </w:rPr>
        <w:t xml:space="preserve">Fukushima Daiichi </w:t>
      </w:r>
      <w:r w:rsidR="00DD0BA0">
        <w:rPr>
          <w:iCs/>
          <w:szCs w:val="22"/>
        </w:rPr>
        <w:t>A</w:t>
      </w:r>
      <w:r w:rsidR="00A738A6">
        <w:rPr>
          <w:iCs/>
          <w:szCs w:val="22"/>
        </w:rPr>
        <w:t>ccident</w:t>
      </w:r>
      <w:r w:rsidR="00445D24">
        <w:rPr>
          <w:iCs/>
          <w:szCs w:val="22"/>
        </w:rPr>
        <w:t xml:space="preserve"> (2015)</w:t>
      </w:r>
      <w:r w:rsidR="00FA319C">
        <w:rPr>
          <w:iCs/>
          <w:szCs w:val="22"/>
        </w:rPr>
        <w:t xml:space="preserve">. For instance, the new </w:t>
      </w:r>
      <w:r w:rsidR="00295BF2">
        <w:rPr>
          <w:iCs/>
          <w:szCs w:val="22"/>
        </w:rPr>
        <w:t>S</w:t>
      </w:r>
      <w:r w:rsidR="00FA319C">
        <w:rPr>
          <w:iCs/>
          <w:szCs w:val="22"/>
        </w:rPr>
        <w:t xml:space="preserve">afety </w:t>
      </w:r>
      <w:r w:rsidR="00295BF2">
        <w:rPr>
          <w:iCs/>
          <w:szCs w:val="22"/>
        </w:rPr>
        <w:t>G</w:t>
      </w:r>
      <w:r w:rsidR="00FA319C">
        <w:rPr>
          <w:iCs/>
          <w:szCs w:val="22"/>
        </w:rPr>
        <w:t xml:space="preserve">uide </w:t>
      </w:r>
      <w:r w:rsidR="00F61856">
        <w:rPr>
          <w:iCs/>
          <w:szCs w:val="22"/>
        </w:rPr>
        <w:t xml:space="preserve">needs to </w:t>
      </w:r>
      <w:r w:rsidR="00092EC6">
        <w:rPr>
          <w:iCs/>
          <w:szCs w:val="22"/>
        </w:rPr>
        <w:t>address</w:t>
      </w:r>
      <w:r w:rsidR="00FA319C">
        <w:rPr>
          <w:iCs/>
          <w:szCs w:val="22"/>
        </w:rPr>
        <w:t xml:space="preserve"> provisions on </w:t>
      </w:r>
      <w:r w:rsidR="00EC74EE">
        <w:rPr>
          <w:iCs/>
          <w:szCs w:val="22"/>
        </w:rPr>
        <w:t>seismic hazard severity</w:t>
      </w:r>
      <w:r w:rsidR="00FA319C">
        <w:rPr>
          <w:iCs/>
          <w:szCs w:val="22"/>
        </w:rPr>
        <w:t xml:space="preserve"> </w:t>
      </w:r>
      <w:r w:rsidR="00EC74EE">
        <w:rPr>
          <w:iCs/>
          <w:szCs w:val="22"/>
        </w:rPr>
        <w:t xml:space="preserve">higher than the one used in design, methodologies that consider explicitly the </w:t>
      </w:r>
      <w:r w:rsidR="00FA319C">
        <w:rPr>
          <w:iCs/>
          <w:szCs w:val="22"/>
        </w:rPr>
        <w:t xml:space="preserve">uncertainties, </w:t>
      </w:r>
      <w:r w:rsidR="0029660D">
        <w:rPr>
          <w:iCs/>
          <w:szCs w:val="22"/>
        </w:rPr>
        <w:t xml:space="preserve">provisions for </w:t>
      </w:r>
      <w:r w:rsidR="00FA319C">
        <w:rPr>
          <w:iCs/>
          <w:szCs w:val="22"/>
        </w:rPr>
        <w:t xml:space="preserve">a site with multiple </w:t>
      </w:r>
      <w:r w:rsidR="00EC74EE">
        <w:rPr>
          <w:iCs/>
          <w:szCs w:val="22"/>
        </w:rPr>
        <w:t xml:space="preserve">nuclear </w:t>
      </w:r>
      <w:r w:rsidR="00FA319C">
        <w:rPr>
          <w:iCs/>
          <w:szCs w:val="22"/>
        </w:rPr>
        <w:t>facilities</w:t>
      </w:r>
      <w:r w:rsidR="00EC74EE">
        <w:rPr>
          <w:iCs/>
          <w:szCs w:val="22"/>
        </w:rPr>
        <w:t>, etc.</w:t>
      </w:r>
      <w:r w:rsidR="00FA319C">
        <w:rPr>
          <w:iCs/>
          <w:szCs w:val="22"/>
        </w:rPr>
        <w:t xml:space="preserve"> </w:t>
      </w:r>
    </w:p>
    <w:p w14:paraId="6388D41E" w14:textId="743B21C0" w:rsidR="00F54AA9" w:rsidRDefault="00F54AA9" w:rsidP="00537926">
      <w:pPr>
        <w:pStyle w:val="BodyText"/>
        <w:rPr>
          <w:iCs/>
          <w:szCs w:val="22"/>
        </w:rPr>
      </w:pPr>
      <w:r w:rsidRPr="00F54AA9">
        <w:rPr>
          <w:iCs/>
          <w:szCs w:val="22"/>
        </w:rPr>
        <w:t xml:space="preserve">Furthermore, the terminology needs to be revised and made consistent with the new definitions in the safety requirements and the </w:t>
      </w:r>
      <w:r w:rsidR="00295BF2">
        <w:rPr>
          <w:iCs/>
          <w:szCs w:val="22"/>
        </w:rPr>
        <w:t>IAEA S</w:t>
      </w:r>
      <w:r w:rsidRPr="00F54AA9">
        <w:rPr>
          <w:iCs/>
          <w:szCs w:val="22"/>
        </w:rPr>
        <w:t xml:space="preserve">afety </w:t>
      </w:r>
      <w:r w:rsidR="00295BF2">
        <w:rPr>
          <w:iCs/>
          <w:szCs w:val="22"/>
        </w:rPr>
        <w:t>G</w:t>
      </w:r>
      <w:r w:rsidRPr="00F54AA9">
        <w:rPr>
          <w:iCs/>
          <w:szCs w:val="22"/>
        </w:rPr>
        <w:t xml:space="preserve">lossary (2016 </w:t>
      </w:r>
      <w:r w:rsidR="00295BF2">
        <w:rPr>
          <w:iCs/>
          <w:szCs w:val="22"/>
        </w:rPr>
        <w:t>E</w:t>
      </w:r>
      <w:r w:rsidRPr="00F54AA9">
        <w:rPr>
          <w:iCs/>
          <w:szCs w:val="22"/>
        </w:rPr>
        <w:t>dition).</w:t>
      </w:r>
    </w:p>
    <w:p w14:paraId="133E60A3" w14:textId="5CBDA678" w:rsidR="00537926" w:rsidRDefault="009D6189" w:rsidP="00537926">
      <w:pPr>
        <w:pStyle w:val="BodyText"/>
        <w:rPr>
          <w:iCs/>
          <w:szCs w:val="22"/>
        </w:rPr>
      </w:pPr>
      <w:r>
        <w:rPr>
          <w:iCs/>
          <w:szCs w:val="22"/>
        </w:rPr>
        <w:t xml:space="preserve">The revision will </w:t>
      </w:r>
      <w:r w:rsidR="00F61856">
        <w:rPr>
          <w:iCs/>
          <w:szCs w:val="22"/>
        </w:rPr>
        <w:t xml:space="preserve">also </w:t>
      </w:r>
      <w:r>
        <w:rPr>
          <w:iCs/>
          <w:szCs w:val="22"/>
        </w:rPr>
        <w:t>take into consideration feedback from</w:t>
      </w:r>
      <w:r w:rsidR="00EC74EE">
        <w:rPr>
          <w:iCs/>
          <w:szCs w:val="22"/>
        </w:rPr>
        <w:t xml:space="preserve"> existing operating experience,</w:t>
      </w:r>
      <w:r>
        <w:rPr>
          <w:iCs/>
          <w:szCs w:val="22"/>
        </w:rPr>
        <w:t xml:space="preserve"> technical safety re</w:t>
      </w:r>
      <w:r w:rsidR="00EC74EE">
        <w:rPr>
          <w:iCs/>
          <w:szCs w:val="22"/>
        </w:rPr>
        <w:t>view services, advisory services and the current state of practice</w:t>
      </w:r>
      <w:r w:rsidR="00154551">
        <w:rPr>
          <w:iCs/>
          <w:szCs w:val="22"/>
        </w:rPr>
        <w:t>.</w:t>
      </w:r>
    </w:p>
    <w:p w14:paraId="5B0E1512" w14:textId="77777777" w:rsidR="001B6CF9" w:rsidRDefault="001B6CF9" w:rsidP="00FA319C">
      <w:pPr>
        <w:pStyle w:val="BodyText"/>
        <w:rPr>
          <w:iCs/>
          <w:szCs w:val="22"/>
        </w:rPr>
      </w:pPr>
    </w:p>
    <w:p w14:paraId="464B34CC" w14:textId="77777777" w:rsidR="00FA319C" w:rsidRDefault="00A17C97" w:rsidP="00FA319C">
      <w:pPr>
        <w:pStyle w:val="BodyText"/>
        <w:numPr>
          <w:ilvl w:val="0"/>
          <w:numId w:val="19"/>
        </w:numPr>
        <w:rPr>
          <w:b/>
          <w:bCs/>
        </w:rPr>
      </w:pPr>
      <w:r w:rsidRPr="00467564">
        <w:rPr>
          <w:b/>
          <w:bCs/>
        </w:rPr>
        <w:t>OBJECTIVE</w:t>
      </w:r>
      <w:r w:rsidR="00E0263C" w:rsidRPr="00467564">
        <w:rPr>
          <w:b/>
          <w:bCs/>
        </w:rPr>
        <w:t xml:space="preserve"> </w:t>
      </w:r>
    </w:p>
    <w:p w14:paraId="4E35471B" w14:textId="47C85F96" w:rsidR="00212133" w:rsidRPr="00467564" w:rsidRDefault="00212133" w:rsidP="00FA319C">
      <w:pPr>
        <w:pStyle w:val="BodyText"/>
        <w:rPr>
          <w:iCs/>
          <w:szCs w:val="22"/>
        </w:rPr>
      </w:pPr>
      <w:r w:rsidRPr="00467564">
        <w:rPr>
          <w:iCs/>
          <w:szCs w:val="22"/>
        </w:rPr>
        <w:t xml:space="preserve">The main objective of the revised </w:t>
      </w:r>
      <w:r w:rsidR="0098350E">
        <w:rPr>
          <w:iCs/>
          <w:szCs w:val="22"/>
        </w:rPr>
        <w:t>S</w:t>
      </w:r>
      <w:r w:rsidRPr="00467564">
        <w:rPr>
          <w:iCs/>
          <w:szCs w:val="22"/>
        </w:rPr>
        <w:t xml:space="preserve">afety </w:t>
      </w:r>
      <w:r w:rsidR="0098350E">
        <w:rPr>
          <w:iCs/>
          <w:szCs w:val="22"/>
        </w:rPr>
        <w:t>G</w:t>
      </w:r>
      <w:r w:rsidRPr="00467564">
        <w:rPr>
          <w:iCs/>
          <w:szCs w:val="22"/>
        </w:rPr>
        <w:t xml:space="preserve">uide is to </w:t>
      </w:r>
      <w:r w:rsidR="00827E12" w:rsidRPr="00827E12">
        <w:rPr>
          <w:iCs/>
          <w:szCs w:val="22"/>
        </w:rPr>
        <w:t>provide recommendations and</w:t>
      </w:r>
      <w:r w:rsidR="00827E12">
        <w:rPr>
          <w:iCs/>
          <w:szCs w:val="22"/>
        </w:rPr>
        <w:t xml:space="preserve"> </w:t>
      </w:r>
      <w:r w:rsidR="00827E12" w:rsidRPr="00827E12">
        <w:rPr>
          <w:iCs/>
          <w:szCs w:val="22"/>
        </w:rPr>
        <w:t xml:space="preserve">guidance on </w:t>
      </w:r>
      <w:r w:rsidR="002C576A">
        <w:rPr>
          <w:iCs/>
          <w:szCs w:val="22"/>
        </w:rPr>
        <w:t>how to meet</w:t>
      </w:r>
      <w:r w:rsidR="00827E12" w:rsidRPr="00827E12">
        <w:rPr>
          <w:iCs/>
          <w:szCs w:val="22"/>
        </w:rPr>
        <w:t xml:space="preserve"> the </w:t>
      </w:r>
      <w:r w:rsidR="00827E12">
        <w:rPr>
          <w:iCs/>
          <w:szCs w:val="22"/>
        </w:rPr>
        <w:t xml:space="preserve">applicable </w:t>
      </w:r>
      <w:r w:rsidR="002C576A">
        <w:rPr>
          <w:iCs/>
          <w:szCs w:val="22"/>
        </w:rPr>
        <w:t>requirements</w:t>
      </w:r>
      <w:r w:rsidR="00154551">
        <w:rPr>
          <w:iCs/>
          <w:szCs w:val="22"/>
        </w:rPr>
        <w:t xml:space="preserve"> </w:t>
      </w:r>
      <w:r w:rsidR="00D07CE6">
        <w:rPr>
          <w:iCs/>
          <w:szCs w:val="22"/>
        </w:rPr>
        <w:t>from GSR</w:t>
      </w:r>
      <w:r w:rsidR="0070077D">
        <w:rPr>
          <w:iCs/>
          <w:szCs w:val="22"/>
        </w:rPr>
        <w:t xml:space="preserve"> </w:t>
      </w:r>
      <w:r w:rsidR="00D07CE6">
        <w:rPr>
          <w:iCs/>
          <w:szCs w:val="22"/>
        </w:rPr>
        <w:t xml:space="preserve">Part 4 </w:t>
      </w:r>
      <w:r w:rsidR="0098350E">
        <w:rPr>
          <w:iCs/>
          <w:szCs w:val="22"/>
        </w:rPr>
        <w:t>(</w:t>
      </w:r>
      <w:r w:rsidR="00D07CE6">
        <w:rPr>
          <w:iCs/>
          <w:szCs w:val="22"/>
        </w:rPr>
        <w:t>Rev. 1</w:t>
      </w:r>
      <w:r w:rsidR="0098350E">
        <w:rPr>
          <w:iCs/>
          <w:szCs w:val="22"/>
        </w:rPr>
        <w:t>)</w:t>
      </w:r>
      <w:r w:rsidR="00D07CE6">
        <w:rPr>
          <w:iCs/>
          <w:szCs w:val="22"/>
        </w:rPr>
        <w:t xml:space="preserve">, </w:t>
      </w:r>
      <w:r w:rsidR="000C55D9">
        <w:rPr>
          <w:iCs/>
          <w:szCs w:val="22"/>
        </w:rPr>
        <w:t xml:space="preserve">SSR-1, </w:t>
      </w:r>
      <w:r w:rsidR="00D07CE6">
        <w:rPr>
          <w:iCs/>
          <w:szCs w:val="22"/>
        </w:rPr>
        <w:t xml:space="preserve">SSR-2/1 </w:t>
      </w:r>
      <w:r w:rsidR="0098350E">
        <w:rPr>
          <w:iCs/>
          <w:szCs w:val="22"/>
        </w:rPr>
        <w:t>(</w:t>
      </w:r>
      <w:r w:rsidR="00D07CE6">
        <w:rPr>
          <w:iCs/>
          <w:szCs w:val="22"/>
        </w:rPr>
        <w:t>Rev. 1</w:t>
      </w:r>
      <w:r w:rsidR="0098350E">
        <w:rPr>
          <w:iCs/>
          <w:szCs w:val="22"/>
        </w:rPr>
        <w:t>)</w:t>
      </w:r>
      <w:r w:rsidR="00D07CE6">
        <w:rPr>
          <w:iCs/>
          <w:szCs w:val="22"/>
        </w:rPr>
        <w:t>, SSR</w:t>
      </w:r>
      <w:r w:rsidR="0098350E">
        <w:rPr>
          <w:iCs/>
          <w:szCs w:val="22"/>
        </w:rPr>
        <w:t>-</w:t>
      </w:r>
      <w:r w:rsidR="00D07CE6">
        <w:rPr>
          <w:iCs/>
          <w:szCs w:val="22"/>
        </w:rPr>
        <w:t xml:space="preserve">2/2 </w:t>
      </w:r>
      <w:r w:rsidR="0098350E">
        <w:rPr>
          <w:iCs/>
          <w:szCs w:val="22"/>
        </w:rPr>
        <w:t>(</w:t>
      </w:r>
      <w:r w:rsidR="00D07CE6">
        <w:rPr>
          <w:iCs/>
          <w:szCs w:val="22"/>
        </w:rPr>
        <w:t>Rev. 1</w:t>
      </w:r>
      <w:r w:rsidR="0098350E">
        <w:rPr>
          <w:iCs/>
          <w:szCs w:val="22"/>
        </w:rPr>
        <w:t>)</w:t>
      </w:r>
      <w:r w:rsidR="00D07CE6">
        <w:rPr>
          <w:iCs/>
          <w:szCs w:val="22"/>
        </w:rPr>
        <w:t>, SSR-3 and SSR-4, related to</w:t>
      </w:r>
      <w:r w:rsidR="00154551">
        <w:rPr>
          <w:iCs/>
          <w:szCs w:val="22"/>
        </w:rPr>
        <w:t xml:space="preserve"> </w:t>
      </w:r>
      <w:r w:rsidR="0098350E">
        <w:rPr>
          <w:iCs/>
          <w:szCs w:val="22"/>
        </w:rPr>
        <w:t>s</w:t>
      </w:r>
      <w:r w:rsidR="00FA7159">
        <w:rPr>
          <w:iCs/>
          <w:szCs w:val="22"/>
        </w:rPr>
        <w:t xml:space="preserve">eismic </w:t>
      </w:r>
      <w:r w:rsidR="0098350E">
        <w:rPr>
          <w:iCs/>
          <w:szCs w:val="22"/>
        </w:rPr>
        <w:t>s</w:t>
      </w:r>
      <w:r w:rsidR="00FA7159">
        <w:rPr>
          <w:iCs/>
          <w:szCs w:val="22"/>
        </w:rPr>
        <w:t xml:space="preserve">afety </w:t>
      </w:r>
      <w:r w:rsidR="0098350E">
        <w:rPr>
          <w:iCs/>
          <w:szCs w:val="22"/>
        </w:rPr>
        <w:t>a</w:t>
      </w:r>
      <w:r w:rsidR="00FA7159">
        <w:rPr>
          <w:iCs/>
          <w:szCs w:val="22"/>
        </w:rPr>
        <w:t>ssessment</w:t>
      </w:r>
      <w:r w:rsidR="00CE3CEF">
        <w:rPr>
          <w:iCs/>
          <w:szCs w:val="22"/>
        </w:rPr>
        <w:t xml:space="preserve"> for existing </w:t>
      </w:r>
      <w:r w:rsidR="00FA7159">
        <w:rPr>
          <w:iCs/>
          <w:szCs w:val="22"/>
        </w:rPr>
        <w:t>nuclear installations</w:t>
      </w:r>
      <w:r w:rsidR="00827E12">
        <w:rPr>
          <w:iCs/>
          <w:szCs w:val="22"/>
        </w:rPr>
        <w:t xml:space="preserve">. </w:t>
      </w:r>
      <w:r w:rsidR="00516F2B">
        <w:rPr>
          <w:iCs/>
          <w:szCs w:val="22"/>
        </w:rPr>
        <w:t>The s</w:t>
      </w:r>
      <w:r w:rsidR="00827E12">
        <w:rPr>
          <w:iCs/>
          <w:szCs w:val="22"/>
        </w:rPr>
        <w:t xml:space="preserve">econd objective is to </w:t>
      </w:r>
      <w:r w:rsidR="00E77246" w:rsidRPr="00467564">
        <w:rPr>
          <w:iCs/>
          <w:szCs w:val="22"/>
        </w:rPr>
        <w:t xml:space="preserve">align the guidance to the current international state of practice </w:t>
      </w:r>
      <w:r w:rsidR="002C576A">
        <w:rPr>
          <w:iCs/>
          <w:szCs w:val="22"/>
        </w:rPr>
        <w:t xml:space="preserve">in IAEA Member States. </w:t>
      </w:r>
    </w:p>
    <w:p w14:paraId="6CF5BE35" w14:textId="77777777" w:rsidR="00A17C97" w:rsidRPr="00467564" w:rsidRDefault="00A17C97" w:rsidP="00212133">
      <w:pPr>
        <w:pStyle w:val="BodyText"/>
        <w:rPr>
          <w:iCs/>
          <w:szCs w:val="22"/>
        </w:rPr>
      </w:pPr>
    </w:p>
    <w:p w14:paraId="2A8EEA92" w14:textId="77777777" w:rsidR="00FA319C" w:rsidRDefault="00C710DB" w:rsidP="00FA319C">
      <w:pPr>
        <w:pStyle w:val="BodyText"/>
        <w:numPr>
          <w:ilvl w:val="0"/>
          <w:numId w:val="19"/>
        </w:numPr>
        <w:rPr>
          <w:b/>
          <w:bCs/>
        </w:rPr>
      </w:pPr>
      <w:r w:rsidRPr="00467564">
        <w:rPr>
          <w:b/>
          <w:bCs/>
        </w:rPr>
        <w:t xml:space="preserve">SCOPE </w:t>
      </w:r>
    </w:p>
    <w:p w14:paraId="47C9AB7F" w14:textId="6ED1AEE4" w:rsidR="00154551" w:rsidRDefault="00C603EA" w:rsidP="001C326D">
      <w:pPr>
        <w:pStyle w:val="BodyText"/>
        <w:rPr>
          <w:iCs/>
          <w:szCs w:val="22"/>
        </w:rPr>
      </w:pPr>
      <w:r>
        <w:rPr>
          <w:iCs/>
          <w:szCs w:val="22"/>
        </w:rPr>
        <w:t xml:space="preserve">The scope </w:t>
      </w:r>
      <w:r w:rsidRPr="00C603EA">
        <w:rPr>
          <w:iCs/>
          <w:szCs w:val="22"/>
        </w:rPr>
        <w:t>addresses an extended range of existing nuclear</w:t>
      </w:r>
      <w:r>
        <w:rPr>
          <w:iCs/>
          <w:szCs w:val="22"/>
        </w:rPr>
        <w:t xml:space="preserve"> </w:t>
      </w:r>
      <w:r w:rsidRPr="00C603EA">
        <w:rPr>
          <w:iCs/>
          <w:szCs w:val="22"/>
        </w:rPr>
        <w:t>installations, as defined in</w:t>
      </w:r>
      <w:r>
        <w:rPr>
          <w:iCs/>
          <w:szCs w:val="22"/>
        </w:rPr>
        <w:t xml:space="preserve"> the </w:t>
      </w:r>
      <w:r w:rsidR="007046A0">
        <w:rPr>
          <w:iCs/>
          <w:szCs w:val="22"/>
        </w:rPr>
        <w:t xml:space="preserve">IAEA </w:t>
      </w:r>
      <w:r>
        <w:rPr>
          <w:iCs/>
          <w:szCs w:val="22"/>
        </w:rPr>
        <w:t>Safety Glossary</w:t>
      </w:r>
      <w:r w:rsidR="00A54573">
        <w:rPr>
          <w:iCs/>
          <w:szCs w:val="22"/>
        </w:rPr>
        <w:t>.</w:t>
      </w:r>
      <w:r w:rsidR="00A6797D">
        <w:rPr>
          <w:iCs/>
          <w:szCs w:val="22"/>
        </w:rPr>
        <w:t xml:space="preserve"> </w:t>
      </w:r>
      <w:r w:rsidR="00A6797D" w:rsidRPr="00A6797D">
        <w:rPr>
          <w:iCs/>
          <w:szCs w:val="22"/>
        </w:rPr>
        <w:t xml:space="preserve">The </w:t>
      </w:r>
      <w:r w:rsidR="00A6797D">
        <w:rPr>
          <w:iCs/>
          <w:szCs w:val="22"/>
        </w:rPr>
        <w:t xml:space="preserve">seismic safety evaluation </w:t>
      </w:r>
      <w:r w:rsidR="00A6797D" w:rsidRPr="00A6797D">
        <w:rPr>
          <w:iCs/>
          <w:szCs w:val="22"/>
        </w:rPr>
        <w:t>methodologies developed for nuclear</w:t>
      </w:r>
      <w:r w:rsidR="00A6797D">
        <w:rPr>
          <w:iCs/>
          <w:szCs w:val="22"/>
        </w:rPr>
        <w:t xml:space="preserve"> </w:t>
      </w:r>
      <w:r w:rsidR="00A6797D" w:rsidRPr="00A6797D">
        <w:rPr>
          <w:iCs/>
          <w:szCs w:val="22"/>
        </w:rPr>
        <w:t>power plants are also applicable to other nuclear installations through a graded</w:t>
      </w:r>
      <w:r w:rsidR="00A6797D">
        <w:rPr>
          <w:iCs/>
          <w:szCs w:val="22"/>
        </w:rPr>
        <w:t xml:space="preserve"> </w:t>
      </w:r>
      <w:r w:rsidR="00A6797D" w:rsidRPr="00A6797D">
        <w:rPr>
          <w:iCs/>
          <w:szCs w:val="22"/>
        </w:rPr>
        <w:t>approach</w:t>
      </w:r>
      <w:r w:rsidR="00A6797D">
        <w:rPr>
          <w:iCs/>
          <w:szCs w:val="22"/>
        </w:rPr>
        <w:t>.</w:t>
      </w:r>
      <w:r w:rsidR="001C326D">
        <w:rPr>
          <w:iCs/>
          <w:szCs w:val="22"/>
        </w:rPr>
        <w:t xml:space="preserve"> </w:t>
      </w:r>
      <w:r w:rsidR="001C326D" w:rsidRPr="001C326D">
        <w:rPr>
          <w:iCs/>
          <w:szCs w:val="22"/>
        </w:rPr>
        <w:t>Two methodologies are discussed in detail: the</w:t>
      </w:r>
      <w:r w:rsidR="001C326D">
        <w:rPr>
          <w:iCs/>
          <w:szCs w:val="22"/>
        </w:rPr>
        <w:t xml:space="preserve"> </w:t>
      </w:r>
      <w:r w:rsidR="001C326D" w:rsidRPr="001C326D">
        <w:rPr>
          <w:iCs/>
          <w:szCs w:val="22"/>
        </w:rPr>
        <w:t>determinis</w:t>
      </w:r>
      <w:bookmarkStart w:id="3" w:name="_GoBack"/>
      <w:bookmarkEnd w:id="3"/>
      <w:r w:rsidR="001C326D" w:rsidRPr="001C326D">
        <w:rPr>
          <w:iCs/>
          <w:szCs w:val="22"/>
        </w:rPr>
        <w:t>tic approach generally represented by seismic margin assessment</w:t>
      </w:r>
      <w:r w:rsidR="001C326D">
        <w:rPr>
          <w:iCs/>
          <w:szCs w:val="22"/>
        </w:rPr>
        <w:t xml:space="preserve"> </w:t>
      </w:r>
      <w:r w:rsidR="001C326D" w:rsidRPr="001C326D">
        <w:rPr>
          <w:iCs/>
          <w:szCs w:val="22"/>
        </w:rPr>
        <w:t xml:space="preserve">(SMA) and the seismic probabilistic safety assessment (SPSA). </w:t>
      </w:r>
      <w:r w:rsidR="001C326D">
        <w:rPr>
          <w:iCs/>
          <w:szCs w:val="22"/>
        </w:rPr>
        <w:t>V</w:t>
      </w:r>
      <w:r w:rsidR="001C326D" w:rsidRPr="001C326D">
        <w:rPr>
          <w:iCs/>
          <w:szCs w:val="22"/>
        </w:rPr>
        <w:t>ariations of</w:t>
      </w:r>
      <w:r w:rsidR="001C326D">
        <w:rPr>
          <w:iCs/>
          <w:szCs w:val="22"/>
        </w:rPr>
        <w:t xml:space="preserve"> </w:t>
      </w:r>
      <w:r w:rsidR="001C326D" w:rsidRPr="001C326D">
        <w:rPr>
          <w:iCs/>
          <w:szCs w:val="22"/>
        </w:rPr>
        <w:t xml:space="preserve">these approaches or alternative approaches </w:t>
      </w:r>
      <w:r w:rsidR="00730477">
        <w:rPr>
          <w:iCs/>
          <w:szCs w:val="22"/>
        </w:rPr>
        <w:t>should</w:t>
      </w:r>
      <w:r w:rsidR="001C326D" w:rsidRPr="001C326D">
        <w:rPr>
          <w:iCs/>
          <w:szCs w:val="22"/>
        </w:rPr>
        <w:t xml:space="preserve"> be demonstrated to be</w:t>
      </w:r>
      <w:r w:rsidR="001C326D">
        <w:rPr>
          <w:iCs/>
          <w:szCs w:val="22"/>
        </w:rPr>
        <w:t xml:space="preserve"> </w:t>
      </w:r>
      <w:r w:rsidR="001C326D" w:rsidRPr="001C326D">
        <w:rPr>
          <w:iCs/>
          <w:szCs w:val="22"/>
        </w:rPr>
        <w:t>acceptable.</w:t>
      </w:r>
    </w:p>
    <w:p w14:paraId="1EC4F36B" w14:textId="77777777" w:rsidR="00212133" w:rsidRPr="00467564" w:rsidRDefault="00212133" w:rsidP="00212133">
      <w:pPr>
        <w:pStyle w:val="BodyText"/>
        <w:jc w:val="left"/>
        <w:rPr>
          <w:iCs/>
          <w:sz w:val="24"/>
          <w:szCs w:val="22"/>
        </w:rPr>
      </w:pPr>
    </w:p>
    <w:p w14:paraId="04BAFFE7" w14:textId="77777777" w:rsidR="00FA319C" w:rsidRPr="00FA319C" w:rsidRDefault="00481A4D" w:rsidP="00FA319C">
      <w:pPr>
        <w:pStyle w:val="BodyText"/>
        <w:numPr>
          <w:ilvl w:val="0"/>
          <w:numId w:val="19"/>
        </w:numPr>
        <w:rPr>
          <w:iCs/>
          <w:szCs w:val="22"/>
        </w:rPr>
      </w:pPr>
      <w:r w:rsidRPr="00467564">
        <w:rPr>
          <w:b/>
          <w:bCs/>
        </w:rPr>
        <w:t>P</w:t>
      </w:r>
      <w:r w:rsidR="008347F7" w:rsidRPr="00467564">
        <w:rPr>
          <w:b/>
          <w:bCs/>
        </w:rPr>
        <w:t>LACE</w:t>
      </w:r>
      <w:r w:rsidRPr="00467564">
        <w:rPr>
          <w:b/>
          <w:bCs/>
        </w:rPr>
        <w:t xml:space="preserve"> IN THE OVERALL STRUCTURE OF </w:t>
      </w:r>
      <w:r w:rsidR="0017772C" w:rsidRPr="00467564">
        <w:rPr>
          <w:b/>
          <w:bCs/>
        </w:rPr>
        <w:t>THE RELEVANT SERIES</w:t>
      </w:r>
      <w:r w:rsidRPr="00467564">
        <w:rPr>
          <w:b/>
          <w:bCs/>
        </w:rPr>
        <w:t xml:space="preserve"> AND </w:t>
      </w:r>
      <w:r w:rsidR="00142442" w:rsidRPr="00467564">
        <w:rPr>
          <w:b/>
          <w:bCs/>
        </w:rPr>
        <w:t>INTERFACES</w:t>
      </w:r>
      <w:r w:rsidRPr="00467564">
        <w:rPr>
          <w:b/>
          <w:bCs/>
        </w:rPr>
        <w:t xml:space="preserve"> WITH EXISTING AND/OR PLANNED </w:t>
      </w:r>
      <w:r w:rsidR="008347F7" w:rsidRPr="00467564">
        <w:rPr>
          <w:b/>
          <w:bCs/>
        </w:rPr>
        <w:t xml:space="preserve">PUBLICATIONS </w:t>
      </w:r>
    </w:p>
    <w:p w14:paraId="14F804F5" w14:textId="63847384" w:rsidR="00212133" w:rsidRDefault="0013654B" w:rsidP="00FA319C">
      <w:pPr>
        <w:pStyle w:val="BodyText"/>
        <w:rPr>
          <w:iCs/>
          <w:szCs w:val="22"/>
        </w:rPr>
      </w:pPr>
      <w:r w:rsidRPr="00F43E4F">
        <w:rPr>
          <w:iCs/>
          <w:szCs w:val="22"/>
        </w:rPr>
        <w:t>The proposed</w:t>
      </w:r>
      <w:r w:rsidR="00212133" w:rsidRPr="00F43E4F">
        <w:rPr>
          <w:iCs/>
          <w:szCs w:val="22"/>
        </w:rPr>
        <w:t xml:space="preserve"> </w:t>
      </w:r>
      <w:r w:rsidR="0098350E">
        <w:rPr>
          <w:iCs/>
          <w:szCs w:val="22"/>
        </w:rPr>
        <w:t>S</w:t>
      </w:r>
      <w:r w:rsidR="00212133" w:rsidRPr="00F43E4F">
        <w:rPr>
          <w:iCs/>
          <w:szCs w:val="22"/>
        </w:rPr>
        <w:t xml:space="preserve">afety </w:t>
      </w:r>
      <w:r w:rsidR="0098350E">
        <w:rPr>
          <w:iCs/>
          <w:szCs w:val="22"/>
        </w:rPr>
        <w:t>G</w:t>
      </w:r>
      <w:r w:rsidR="00212133" w:rsidRPr="00F43E4F">
        <w:rPr>
          <w:iCs/>
          <w:szCs w:val="22"/>
        </w:rPr>
        <w:t xml:space="preserve">uide </w:t>
      </w:r>
      <w:r w:rsidR="0055418D" w:rsidRPr="0055418D">
        <w:rPr>
          <w:iCs/>
          <w:szCs w:val="22"/>
        </w:rPr>
        <w:t xml:space="preserve">falls within the thematic area of </w:t>
      </w:r>
      <w:r w:rsidR="00F95018">
        <w:rPr>
          <w:iCs/>
          <w:szCs w:val="22"/>
        </w:rPr>
        <w:t>safety</w:t>
      </w:r>
      <w:r w:rsidR="0055418D" w:rsidRPr="0055418D">
        <w:rPr>
          <w:iCs/>
          <w:szCs w:val="22"/>
        </w:rPr>
        <w:t xml:space="preserve"> evaluation and will interface with the following IAEA Safety Standards and other publications (this is not, and cannot be, regarded as an exclusive or exhaustive list)</w:t>
      </w:r>
      <w:r w:rsidR="003C4108">
        <w:rPr>
          <w:rStyle w:val="FootnoteReference"/>
          <w:iCs/>
          <w:szCs w:val="22"/>
        </w:rPr>
        <w:footnoteReference w:id="2"/>
      </w:r>
      <w:r w:rsidR="00A52476">
        <w:rPr>
          <w:iCs/>
          <w:szCs w:val="22"/>
        </w:rPr>
        <w:t>:</w:t>
      </w:r>
    </w:p>
    <w:p w14:paraId="09E2DBC9" w14:textId="06E1BFA3" w:rsidR="00D07CE6" w:rsidRPr="00CB1B97" w:rsidRDefault="002B2A51" w:rsidP="00E41C8D">
      <w:pPr>
        <w:numPr>
          <w:ilvl w:val="0"/>
          <w:numId w:val="12"/>
        </w:numPr>
        <w:spacing w:after="170" w:line="280" w:lineRule="atLeast"/>
        <w:jc w:val="both"/>
        <w:rPr>
          <w:iCs/>
          <w:szCs w:val="22"/>
        </w:rPr>
      </w:pPr>
      <w:r w:rsidRPr="002B2A51">
        <w:rPr>
          <w:iCs/>
          <w:sz w:val="22"/>
          <w:szCs w:val="22"/>
          <w:lang w:val="en-GB"/>
        </w:rPr>
        <w:t xml:space="preserve">SSR-2/1 (Rev. 1), </w:t>
      </w:r>
      <w:r w:rsidR="00D07CE6" w:rsidRPr="00D75410">
        <w:rPr>
          <w:iCs/>
          <w:sz w:val="22"/>
          <w:szCs w:val="22"/>
          <w:lang w:val="en-GB"/>
        </w:rPr>
        <w:t>Safety of</w:t>
      </w:r>
      <w:r w:rsidR="00D07CE6">
        <w:rPr>
          <w:iCs/>
          <w:sz w:val="22"/>
          <w:szCs w:val="22"/>
          <w:lang w:val="en-GB"/>
        </w:rPr>
        <w:t xml:space="preserve"> Nuclear Power Plants: Design</w:t>
      </w:r>
      <w:r w:rsidR="00BA5776">
        <w:rPr>
          <w:iCs/>
          <w:sz w:val="22"/>
          <w:szCs w:val="22"/>
          <w:lang w:val="en-GB"/>
        </w:rPr>
        <w:t xml:space="preserve"> (2016)</w:t>
      </w:r>
    </w:p>
    <w:p w14:paraId="5F166B02" w14:textId="16E29FD4" w:rsidR="00FE260D" w:rsidRPr="00F43E4F" w:rsidRDefault="002B2A51" w:rsidP="00F95018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r w:rsidRPr="002B2A51">
        <w:rPr>
          <w:iCs/>
          <w:sz w:val="22"/>
          <w:szCs w:val="22"/>
          <w:lang w:val="en-GB"/>
        </w:rPr>
        <w:t>SSR-2/</w:t>
      </w:r>
      <w:r>
        <w:rPr>
          <w:iCs/>
          <w:sz w:val="22"/>
          <w:szCs w:val="22"/>
          <w:lang w:val="en-GB"/>
        </w:rPr>
        <w:t>2</w:t>
      </w:r>
      <w:r w:rsidRPr="002B2A51">
        <w:rPr>
          <w:iCs/>
          <w:sz w:val="22"/>
          <w:szCs w:val="22"/>
          <w:lang w:val="en-GB"/>
        </w:rPr>
        <w:t xml:space="preserve"> (Rev. 1), </w:t>
      </w:r>
      <w:r w:rsidR="00F95018" w:rsidRPr="00F95018">
        <w:rPr>
          <w:iCs/>
          <w:sz w:val="22"/>
          <w:szCs w:val="22"/>
          <w:lang w:val="en-GB"/>
        </w:rPr>
        <w:t>Safety of Nuclear Power Plants: Operation</w:t>
      </w:r>
      <w:r w:rsidR="00BA5776">
        <w:rPr>
          <w:iCs/>
          <w:sz w:val="22"/>
          <w:szCs w:val="22"/>
          <w:lang w:val="en-GB"/>
        </w:rPr>
        <w:t xml:space="preserve"> (2016)</w:t>
      </w:r>
    </w:p>
    <w:p w14:paraId="7A142662" w14:textId="15E5E48F" w:rsidR="00A738A6" w:rsidRDefault="002B2A51" w:rsidP="00A738A6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bookmarkStart w:id="4" w:name="_Hlk3996347"/>
      <w:r>
        <w:rPr>
          <w:iCs/>
          <w:sz w:val="22"/>
          <w:szCs w:val="22"/>
          <w:lang w:val="en-GB"/>
        </w:rPr>
        <w:t xml:space="preserve">SSR-3, </w:t>
      </w:r>
      <w:bookmarkEnd w:id="4"/>
      <w:r w:rsidR="00A738A6" w:rsidRPr="00A738A6">
        <w:rPr>
          <w:iCs/>
          <w:sz w:val="22"/>
          <w:szCs w:val="22"/>
          <w:lang w:val="en-GB"/>
        </w:rPr>
        <w:t>Safety o</w:t>
      </w:r>
      <w:r w:rsidR="00F95018">
        <w:rPr>
          <w:iCs/>
          <w:sz w:val="22"/>
          <w:szCs w:val="22"/>
          <w:lang w:val="en-GB"/>
        </w:rPr>
        <w:t>f Research Reactors</w:t>
      </w:r>
      <w:r w:rsidR="00BA5776">
        <w:rPr>
          <w:iCs/>
          <w:sz w:val="22"/>
          <w:szCs w:val="22"/>
          <w:lang w:val="en-GB"/>
        </w:rPr>
        <w:t xml:space="preserve"> (2016)</w:t>
      </w:r>
    </w:p>
    <w:p w14:paraId="721164B3" w14:textId="2F7E1040" w:rsidR="00A738A6" w:rsidRDefault="002B2A51" w:rsidP="00A738A6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SSR-4, </w:t>
      </w:r>
      <w:r w:rsidR="00A738A6" w:rsidRPr="00A738A6">
        <w:rPr>
          <w:iCs/>
          <w:sz w:val="22"/>
          <w:szCs w:val="22"/>
          <w:lang w:val="en-GB"/>
        </w:rPr>
        <w:t>Safety of Nuclear Fuel Cycle Facilities</w:t>
      </w:r>
      <w:r w:rsidR="00BA5776">
        <w:rPr>
          <w:iCs/>
          <w:sz w:val="22"/>
          <w:szCs w:val="22"/>
          <w:lang w:val="en-GB"/>
        </w:rPr>
        <w:t xml:space="preserve"> (2017)</w:t>
      </w:r>
    </w:p>
    <w:p w14:paraId="205124D6" w14:textId="124239F9" w:rsidR="0013654B" w:rsidRDefault="002B2A51" w:rsidP="00212133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lastRenderedPageBreak/>
        <w:t xml:space="preserve">GSR Part 2, </w:t>
      </w:r>
      <w:r w:rsidR="0013654B" w:rsidRPr="00F43E4F">
        <w:rPr>
          <w:iCs/>
          <w:sz w:val="22"/>
          <w:szCs w:val="22"/>
          <w:lang w:val="en-GB"/>
        </w:rPr>
        <w:t>Leadership and Management for Safety</w:t>
      </w:r>
      <w:r w:rsidR="00BA5776">
        <w:rPr>
          <w:iCs/>
          <w:sz w:val="22"/>
          <w:szCs w:val="22"/>
          <w:lang w:val="en-GB"/>
        </w:rPr>
        <w:t xml:space="preserve"> (2016)</w:t>
      </w:r>
    </w:p>
    <w:p w14:paraId="63FED851" w14:textId="3DCD6DBD" w:rsidR="00F95018" w:rsidRPr="00F43E4F" w:rsidRDefault="00BA5776" w:rsidP="00212133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SSR-1, </w:t>
      </w:r>
      <w:r w:rsidR="00F95018">
        <w:rPr>
          <w:iCs/>
          <w:sz w:val="22"/>
          <w:szCs w:val="22"/>
          <w:lang w:val="en-GB"/>
        </w:rPr>
        <w:t xml:space="preserve">Site Evaluation </w:t>
      </w:r>
      <w:r>
        <w:rPr>
          <w:iCs/>
          <w:sz w:val="22"/>
          <w:szCs w:val="22"/>
          <w:lang w:val="en-GB"/>
        </w:rPr>
        <w:t xml:space="preserve">for Nuclear Installations </w:t>
      </w:r>
    </w:p>
    <w:p w14:paraId="42BD8C91" w14:textId="114BC76C" w:rsidR="00212133" w:rsidRPr="00F43E4F" w:rsidRDefault="002B2A51" w:rsidP="00212133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r w:rsidRPr="002B2A51">
        <w:rPr>
          <w:iCs/>
          <w:sz w:val="22"/>
          <w:szCs w:val="22"/>
          <w:lang w:val="en-GB"/>
        </w:rPr>
        <w:t xml:space="preserve">GSR Part 4 (Rev. 1), </w:t>
      </w:r>
      <w:r w:rsidR="00212133" w:rsidRPr="00F43E4F">
        <w:rPr>
          <w:iCs/>
          <w:sz w:val="22"/>
          <w:szCs w:val="22"/>
          <w:lang w:val="en-GB"/>
        </w:rPr>
        <w:t>Safety Assessment for Facili</w:t>
      </w:r>
      <w:r w:rsidR="0013654B" w:rsidRPr="00F43E4F">
        <w:rPr>
          <w:iCs/>
          <w:sz w:val="22"/>
          <w:szCs w:val="22"/>
          <w:lang w:val="en-GB"/>
        </w:rPr>
        <w:t>ties and Activities</w:t>
      </w:r>
      <w:r w:rsidR="00BA5776">
        <w:rPr>
          <w:iCs/>
          <w:sz w:val="22"/>
          <w:szCs w:val="22"/>
          <w:lang w:val="en-GB"/>
        </w:rPr>
        <w:t xml:space="preserve"> (2016)</w:t>
      </w:r>
    </w:p>
    <w:p w14:paraId="7CC67B27" w14:textId="232E4730" w:rsidR="00857D32" w:rsidRPr="00F43E4F" w:rsidRDefault="000B2F8C" w:rsidP="00212133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DS507</w:t>
      </w:r>
      <w:r w:rsidR="002B2A51">
        <w:rPr>
          <w:iCs/>
          <w:sz w:val="22"/>
          <w:szCs w:val="22"/>
          <w:lang w:val="en-GB"/>
        </w:rPr>
        <w:t xml:space="preserve">, </w:t>
      </w:r>
      <w:r w:rsidR="00857D32" w:rsidRPr="00F43E4F">
        <w:rPr>
          <w:iCs/>
          <w:sz w:val="22"/>
          <w:szCs w:val="22"/>
          <w:lang w:val="en-GB"/>
        </w:rPr>
        <w:t>Seismic Hazards in Site Evaluation for Nuclear Installations (</w:t>
      </w:r>
      <w:r w:rsidR="00534198">
        <w:rPr>
          <w:iCs/>
          <w:sz w:val="22"/>
          <w:szCs w:val="22"/>
          <w:lang w:val="en-GB"/>
        </w:rPr>
        <w:t xml:space="preserve">revision of </w:t>
      </w:r>
      <w:r w:rsidR="00857D32" w:rsidRPr="00F43E4F">
        <w:rPr>
          <w:iCs/>
          <w:sz w:val="22"/>
          <w:szCs w:val="22"/>
          <w:lang w:val="en-GB"/>
        </w:rPr>
        <w:t>SSG-9)</w:t>
      </w:r>
    </w:p>
    <w:p w14:paraId="656F7742" w14:textId="5F969388" w:rsidR="00EC707E" w:rsidRDefault="000B2F8C" w:rsidP="00EC707E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DS490</w:t>
      </w:r>
      <w:r w:rsidR="002B2A51">
        <w:rPr>
          <w:iCs/>
          <w:sz w:val="22"/>
          <w:szCs w:val="22"/>
          <w:lang w:val="en-GB"/>
        </w:rPr>
        <w:t xml:space="preserve">, </w:t>
      </w:r>
      <w:r w:rsidR="00F95018">
        <w:rPr>
          <w:iCs/>
          <w:sz w:val="22"/>
          <w:szCs w:val="22"/>
          <w:lang w:val="en-GB"/>
        </w:rPr>
        <w:t xml:space="preserve">Seismic Design </w:t>
      </w:r>
      <w:r w:rsidR="00BA5776">
        <w:rPr>
          <w:iCs/>
          <w:sz w:val="22"/>
          <w:szCs w:val="22"/>
          <w:lang w:val="en-GB"/>
        </w:rPr>
        <w:t xml:space="preserve">of Nuclear Installations </w:t>
      </w:r>
      <w:r w:rsidR="009973DA">
        <w:rPr>
          <w:iCs/>
          <w:sz w:val="22"/>
          <w:szCs w:val="22"/>
          <w:lang w:val="en-GB"/>
        </w:rPr>
        <w:t>(</w:t>
      </w:r>
      <w:r w:rsidR="00BA5776">
        <w:rPr>
          <w:iCs/>
          <w:sz w:val="22"/>
          <w:szCs w:val="22"/>
          <w:lang w:val="en-GB"/>
        </w:rPr>
        <w:t xml:space="preserve">revision of </w:t>
      </w:r>
      <w:r w:rsidR="009973DA">
        <w:rPr>
          <w:iCs/>
          <w:sz w:val="22"/>
          <w:szCs w:val="22"/>
          <w:lang w:val="en-GB"/>
        </w:rPr>
        <w:t>NS-G-1.6)</w:t>
      </w:r>
    </w:p>
    <w:p w14:paraId="003F14FE" w14:textId="6E3A0292" w:rsidR="00857D32" w:rsidRDefault="002B2A51" w:rsidP="00BD1AD8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SSG-3, </w:t>
      </w:r>
      <w:r w:rsidR="002D25D8" w:rsidRPr="002D25D8">
        <w:rPr>
          <w:iCs/>
          <w:sz w:val="22"/>
          <w:szCs w:val="22"/>
          <w:lang w:val="en-GB"/>
        </w:rPr>
        <w:t>Development and Application of Level 1 Probabilistic Safety Assessment for</w:t>
      </w:r>
      <w:r w:rsidR="002D25D8">
        <w:rPr>
          <w:iCs/>
          <w:sz w:val="22"/>
          <w:szCs w:val="22"/>
          <w:lang w:val="en-GB"/>
        </w:rPr>
        <w:t xml:space="preserve"> </w:t>
      </w:r>
      <w:r w:rsidR="002D25D8" w:rsidRPr="002D25D8">
        <w:rPr>
          <w:iCs/>
          <w:sz w:val="22"/>
          <w:szCs w:val="22"/>
          <w:lang w:val="en-GB"/>
        </w:rPr>
        <w:t>Nuclear Power Plants</w:t>
      </w:r>
      <w:r w:rsidR="00BA5776">
        <w:rPr>
          <w:iCs/>
          <w:sz w:val="22"/>
          <w:szCs w:val="22"/>
          <w:lang w:val="en-GB"/>
        </w:rPr>
        <w:t xml:space="preserve"> (2010)</w:t>
      </w:r>
    </w:p>
    <w:p w14:paraId="0F150AF9" w14:textId="7F925DAF" w:rsidR="00CE3CEF" w:rsidRDefault="002B2A51" w:rsidP="00BD1AD8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SSG-25, </w:t>
      </w:r>
      <w:r w:rsidR="003D521F">
        <w:rPr>
          <w:iCs/>
          <w:sz w:val="22"/>
          <w:szCs w:val="22"/>
          <w:lang w:val="en-GB"/>
        </w:rPr>
        <w:t>Periodic Safety Review for Nuclear Power Plants</w:t>
      </w:r>
      <w:r w:rsidR="00BA5776">
        <w:rPr>
          <w:iCs/>
          <w:sz w:val="22"/>
          <w:szCs w:val="22"/>
          <w:lang w:val="en-GB"/>
        </w:rPr>
        <w:t xml:space="preserve"> (2013)</w:t>
      </w:r>
    </w:p>
    <w:p w14:paraId="3552BCDD" w14:textId="5FA90C1F" w:rsidR="002D25D8" w:rsidRPr="002D25D8" w:rsidRDefault="00BC426E" w:rsidP="00E41C8D">
      <w:pPr>
        <w:pStyle w:val="ListParagraph"/>
        <w:numPr>
          <w:ilvl w:val="0"/>
          <w:numId w:val="12"/>
        </w:numPr>
        <w:spacing w:after="170"/>
        <w:ind w:left="833" w:hanging="357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Safety Report</w:t>
      </w:r>
      <w:r w:rsidR="000B2F8C">
        <w:rPr>
          <w:iCs/>
          <w:sz w:val="22"/>
          <w:szCs w:val="22"/>
          <w:lang w:val="en-GB"/>
        </w:rPr>
        <w:t>s Series No.</w:t>
      </w:r>
      <w:r w:rsidR="002D25D8" w:rsidRPr="002D25D8">
        <w:rPr>
          <w:iCs/>
          <w:sz w:val="22"/>
          <w:szCs w:val="22"/>
          <w:lang w:val="en-GB"/>
        </w:rPr>
        <w:t xml:space="preserve"> 28</w:t>
      </w:r>
      <w:r w:rsidR="000B2F8C">
        <w:rPr>
          <w:iCs/>
          <w:sz w:val="22"/>
          <w:szCs w:val="22"/>
          <w:lang w:val="en-GB"/>
        </w:rPr>
        <w:t>,</w:t>
      </w:r>
      <w:r w:rsidR="002D25D8" w:rsidRPr="002D25D8">
        <w:rPr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Seismic Evaluation of Existing Nuclear Power Plants (</w:t>
      </w:r>
      <w:r w:rsidR="002D25D8" w:rsidRPr="002D25D8">
        <w:rPr>
          <w:iCs/>
          <w:sz w:val="22"/>
          <w:szCs w:val="22"/>
          <w:lang w:val="en-GB"/>
        </w:rPr>
        <w:t>revision</w:t>
      </w:r>
      <w:r>
        <w:rPr>
          <w:iCs/>
          <w:sz w:val="22"/>
          <w:szCs w:val="22"/>
          <w:lang w:val="en-GB"/>
        </w:rPr>
        <w:t xml:space="preserve"> is in </w:t>
      </w:r>
      <w:r w:rsidR="00794EEE">
        <w:rPr>
          <w:iCs/>
          <w:sz w:val="22"/>
          <w:szCs w:val="22"/>
          <w:lang w:val="en-GB"/>
        </w:rPr>
        <w:t xml:space="preserve">process of </w:t>
      </w:r>
      <w:r>
        <w:rPr>
          <w:iCs/>
          <w:sz w:val="22"/>
          <w:szCs w:val="22"/>
          <w:lang w:val="en-GB"/>
        </w:rPr>
        <w:t>publication</w:t>
      </w:r>
      <w:r w:rsidR="000B2F8C">
        <w:rPr>
          <w:iCs/>
          <w:sz w:val="22"/>
          <w:szCs w:val="22"/>
          <w:lang w:val="en-GB"/>
        </w:rPr>
        <w:t>,</w:t>
      </w:r>
      <w:r>
        <w:rPr>
          <w:iCs/>
          <w:sz w:val="22"/>
          <w:szCs w:val="22"/>
          <w:lang w:val="en-GB"/>
        </w:rPr>
        <w:t xml:space="preserve"> P</w:t>
      </w:r>
      <w:r w:rsidR="002D25D8" w:rsidRPr="002D25D8">
        <w:rPr>
          <w:iCs/>
          <w:sz w:val="22"/>
          <w:szCs w:val="22"/>
          <w:lang w:val="en-GB"/>
        </w:rPr>
        <w:t>C8381</w:t>
      </w:r>
      <w:r>
        <w:rPr>
          <w:iCs/>
          <w:sz w:val="22"/>
          <w:szCs w:val="22"/>
          <w:lang w:val="en-GB"/>
        </w:rPr>
        <w:t>)</w:t>
      </w:r>
      <w:r w:rsidR="002D25D8" w:rsidRPr="002D25D8">
        <w:rPr>
          <w:iCs/>
          <w:sz w:val="22"/>
          <w:szCs w:val="22"/>
          <w:lang w:val="en-GB"/>
        </w:rPr>
        <w:t xml:space="preserve"> </w:t>
      </w:r>
    </w:p>
    <w:p w14:paraId="42243A4A" w14:textId="415FBCA8" w:rsidR="00F43E4F" w:rsidRDefault="002C2398" w:rsidP="002C2398">
      <w:pPr>
        <w:numPr>
          <w:ilvl w:val="0"/>
          <w:numId w:val="12"/>
        </w:numPr>
        <w:spacing w:after="170" w:line="280" w:lineRule="atLeast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Safety Report</w:t>
      </w:r>
      <w:r w:rsidR="000B2F8C">
        <w:rPr>
          <w:iCs/>
          <w:sz w:val="22"/>
          <w:szCs w:val="22"/>
          <w:lang w:val="en-GB"/>
        </w:rPr>
        <w:t>s Series No.</w:t>
      </w:r>
      <w:r>
        <w:rPr>
          <w:iCs/>
          <w:sz w:val="22"/>
          <w:szCs w:val="22"/>
          <w:lang w:val="en-GB"/>
        </w:rPr>
        <w:t xml:space="preserve"> </w:t>
      </w:r>
      <w:r w:rsidR="002D25D8">
        <w:rPr>
          <w:iCs/>
          <w:sz w:val="22"/>
          <w:szCs w:val="22"/>
          <w:lang w:val="en-GB"/>
        </w:rPr>
        <w:t>94</w:t>
      </w:r>
      <w:r w:rsidR="000B2F8C">
        <w:rPr>
          <w:iCs/>
          <w:sz w:val="22"/>
          <w:szCs w:val="22"/>
          <w:lang w:val="en-GB"/>
        </w:rPr>
        <w:t>,</w:t>
      </w:r>
      <w:r w:rsidR="002D25D8">
        <w:rPr>
          <w:iCs/>
          <w:sz w:val="22"/>
          <w:szCs w:val="22"/>
          <w:lang w:val="en-GB"/>
        </w:rPr>
        <w:t xml:space="preserve"> </w:t>
      </w:r>
      <w:r w:rsidRPr="002C2398">
        <w:rPr>
          <w:iCs/>
          <w:sz w:val="22"/>
          <w:szCs w:val="22"/>
          <w:lang w:val="en-GB"/>
        </w:rPr>
        <w:t>Approaches to Safety Evaluation of New and Existing Research Reactor Facilities in Relation to External Events</w:t>
      </w:r>
      <w:r w:rsidR="00BC426E">
        <w:rPr>
          <w:iCs/>
          <w:sz w:val="22"/>
          <w:szCs w:val="22"/>
          <w:lang w:val="en-GB"/>
        </w:rPr>
        <w:t xml:space="preserve"> (revision is in </w:t>
      </w:r>
      <w:r w:rsidR="00794EEE">
        <w:rPr>
          <w:iCs/>
          <w:sz w:val="22"/>
          <w:szCs w:val="22"/>
          <w:lang w:val="en-GB"/>
        </w:rPr>
        <w:t xml:space="preserve">process of </w:t>
      </w:r>
      <w:r w:rsidR="00BC426E">
        <w:rPr>
          <w:iCs/>
          <w:sz w:val="22"/>
          <w:szCs w:val="22"/>
          <w:lang w:val="en-GB"/>
        </w:rPr>
        <w:t>publication</w:t>
      </w:r>
      <w:r w:rsidR="000B2F8C">
        <w:rPr>
          <w:iCs/>
          <w:sz w:val="22"/>
          <w:szCs w:val="22"/>
          <w:lang w:val="en-GB"/>
        </w:rPr>
        <w:t>,</w:t>
      </w:r>
      <w:r w:rsidR="00BC426E">
        <w:rPr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PC6172)</w:t>
      </w:r>
      <w:r w:rsidR="002D25D8">
        <w:rPr>
          <w:iCs/>
          <w:sz w:val="22"/>
          <w:szCs w:val="22"/>
          <w:lang w:val="en-GB"/>
        </w:rPr>
        <w:t>.</w:t>
      </w:r>
    </w:p>
    <w:p w14:paraId="02DD0A4B" w14:textId="77777777" w:rsidR="00FA319C" w:rsidRDefault="008347F7" w:rsidP="00FA319C">
      <w:pPr>
        <w:pStyle w:val="BodyText"/>
        <w:numPr>
          <w:ilvl w:val="0"/>
          <w:numId w:val="19"/>
        </w:numPr>
        <w:rPr>
          <w:b/>
          <w:bCs/>
        </w:rPr>
      </w:pPr>
      <w:r w:rsidRPr="00467564">
        <w:rPr>
          <w:b/>
          <w:bCs/>
        </w:rPr>
        <w:t xml:space="preserve">OVERVIEW </w:t>
      </w:r>
    </w:p>
    <w:p w14:paraId="74E097D0" w14:textId="69AD68AE" w:rsidR="00CB3737" w:rsidRDefault="00F43E4F" w:rsidP="00FA319C">
      <w:pPr>
        <w:pStyle w:val="BodyText"/>
        <w:rPr>
          <w:iCs/>
          <w:szCs w:val="22"/>
        </w:rPr>
      </w:pPr>
      <w:r>
        <w:rPr>
          <w:iCs/>
          <w:szCs w:val="22"/>
        </w:rPr>
        <w:t>The proposed</w:t>
      </w:r>
      <w:r w:rsidR="00CB3737">
        <w:rPr>
          <w:iCs/>
          <w:szCs w:val="22"/>
        </w:rPr>
        <w:t xml:space="preserve"> </w:t>
      </w:r>
      <w:r w:rsidR="00FC6C8A">
        <w:rPr>
          <w:iCs/>
          <w:szCs w:val="22"/>
        </w:rPr>
        <w:t>S</w:t>
      </w:r>
      <w:r w:rsidR="00CB3737">
        <w:rPr>
          <w:iCs/>
          <w:szCs w:val="22"/>
        </w:rPr>
        <w:t xml:space="preserve">afety </w:t>
      </w:r>
      <w:r w:rsidR="00FC6C8A">
        <w:rPr>
          <w:iCs/>
          <w:szCs w:val="22"/>
        </w:rPr>
        <w:t>G</w:t>
      </w:r>
      <w:r w:rsidR="00CB3737">
        <w:rPr>
          <w:iCs/>
          <w:szCs w:val="22"/>
        </w:rPr>
        <w:t xml:space="preserve">uide will have a structure </w:t>
      </w:r>
      <w:r w:rsidR="00987AEE">
        <w:rPr>
          <w:iCs/>
          <w:szCs w:val="22"/>
        </w:rPr>
        <w:t>consisting of general recommendations</w:t>
      </w:r>
      <w:r w:rsidR="00C4446E">
        <w:rPr>
          <w:iCs/>
          <w:szCs w:val="22"/>
        </w:rPr>
        <w:t xml:space="preserve"> for planning and conducting seismic safety eva</w:t>
      </w:r>
      <w:r w:rsidR="009973DA">
        <w:rPr>
          <w:iCs/>
          <w:szCs w:val="22"/>
        </w:rPr>
        <w:t>luation for</w:t>
      </w:r>
      <w:r w:rsidR="00C4446E">
        <w:rPr>
          <w:iCs/>
          <w:szCs w:val="22"/>
        </w:rPr>
        <w:t xml:space="preserve"> existing nuclear installations. </w:t>
      </w:r>
    </w:p>
    <w:p w14:paraId="672D0C16" w14:textId="5BE1453F" w:rsidR="00F14829" w:rsidRDefault="00F14829" w:rsidP="00FA319C">
      <w:pPr>
        <w:pStyle w:val="BodyText"/>
        <w:rPr>
          <w:iCs/>
          <w:szCs w:val="22"/>
        </w:rPr>
      </w:pPr>
      <w:r>
        <w:rPr>
          <w:iCs/>
          <w:szCs w:val="22"/>
        </w:rPr>
        <w:t xml:space="preserve">As for general aspects, the proposed </w:t>
      </w:r>
      <w:r w:rsidR="00FC6C8A">
        <w:rPr>
          <w:iCs/>
          <w:szCs w:val="22"/>
        </w:rPr>
        <w:t>S</w:t>
      </w:r>
      <w:r>
        <w:rPr>
          <w:iCs/>
          <w:szCs w:val="22"/>
        </w:rPr>
        <w:t xml:space="preserve">afety </w:t>
      </w:r>
      <w:r w:rsidR="00FC6C8A">
        <w:rPr>
          <w:iCs/>
          <w:szCs w:val="22"/>
        </w:rPr>
        <w:t>G</w:t>
      </w:r>
      <w:r>
        <w:rPr>
          <w:iCs/>
          <w:szCs w:val="22"/>
        </w:rPr>
        <w:t>uide will address or consider the following</w:t>
      </w:r>
      <w:r w:rsidR="00A52476">
        <w:rPr>
          <w:iCs/>
          <w:szCs w:val="22"/>
        </w:rPr>
        <w:t>:</w:t>
      </w:r>
    </w:p>
    <w:p w14:paraId="46358CC5" w14:textId="45600856" w:rsidR="00CB3737" w:rsidRPr="00226952" w:rsidRDefault="00C4446E" w:rsidP="00CB3737">
      <w:pPr>
        <w:numPr>
          <w:ilvl w:val="0"/>
          <w:numId w:val="11"/>
        </w:numPr>
        <w:spacing w:after="170" w:line="280" w:lineRule="atLeast"/>
        <w:ind w:left="600"/>
        <w:jc w:val="both"/>
        <w:rPr>
          <w:b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The existing recommendations </w:t>
      </w:r>
      <w:r w:rsidR="00F14829">
        <w:rPr>
          <w:iCs/>
          <w:sz w:val="22"/>
          <w:szCs w:val="22"/>
          <w:lang w:val="en-GB"/>
        </w:rPr>
        <w:t>of NS-G-</w:t>
      </w:r>
      <w:r>
        <w:rPr>
          <w:iCs/>
          <w:sz w:val="22"/>
          <w:szCs w:val="22"/>
          <w:lang w:val="en-GB"/>
        </w:rPr>
        <w:t>2</w:t>
      </w:r>
      <w:r w:rsidR="00F14829">
        <w:rPr>
          <w:iCs/>
          <w:sz w:val="22"/>
          <w:szCs w:val="22"/>
          <w:lang w:val="en-GB"/>
        </w:rPr>
        <w:t>.1</w:t>
      </w:r>
      <w:r>
        <w:rPr>
          <w:iCs/>
          <w:sz w:val="22"/>
          <w:szCs w:val="22"/>
          <w:lang w:val="en-GB"/>
        </w:rPr>
        <w:t>3</w:t>
      </w:r>
      <w:r w:rsidR="00F14829">
        <w:rPr>
          <w:iCs/>
          <w:sz w:val="22"/>
          <w:szCs w:val="22"/>
          <w:lang w:val="en-GB"/>
        </w:rPr>
        <w:t xml:space="preserve"> will be revised</w:t>
      </w:r>
      <w:r w:rsidR="00CB3737" w:rsidRPr="00467564">
        <w:rPr>
          <w:iCs/>
          <w:sz w:val="22"/>
          <w:szCs w:val="22"/>
          <w:lang w:val="en-GB"/>
        </w:rPr>
        <w:t xml:space="preserve"> to ensure consistency with </w:t>
      </w:r>
      <w:r w:rsidRPr="00467564">
        <w:rPr>
          <w:iCs/>
          <w:sz w:val="22"/>
          <w:szCs w:val="22"/>
          <w:lang w:val="en-GB"/>
        </w:rPr>
        <w:t xml:space="preserve">the </w:t>
      </w:r>
      <w:r>
        <w:rPr>
          <w:iCs/>
          <w:sz w:val="22"/>
          <w:szCs w:val="22"/>
          <w:lang w:val="en-GB"/>
        </w:rPr>
        <w:t xml:space="preserve">applicable </w:t>
      </w:r>
      <w:r w:rsidR="00CB3737" w:rsidRPr="00467564">
        <w:rPr>
          <w:iCs/>
          <w:sz w:val="22"/>
          <w:szCs w:val="22"/>
          <w:lang w:val="en-GB"/>
        </w:rPr>
        <w:t xml:space="preserve">Safety Requirements </w:t>
      </w:r>
      <w:r w:rsidR="00102677">
        <w:rPr>
          <w:iCs/>
          <w:sz w:val="22"/>
          <w:szCs w:val="22"/>
          <w:lang w:val="en-GB"/>
        </w:rPr>
        <w:t xml:space="preserve">publications </w:t>
      </w:r>
      <w:r>
        <w:rPr>
          <w:iCs/>
          <w:sz w:val="22"/>
          <w:szCs w:val="22"/>
          <w:lang w:val="en-GB"/>
        </w:rPr>
        <w:t>(</w:t>
      </w:r>
      <w:r w:rsidR="00924CC9">
        <w:rPr>
          <w:iCs/>
          <w:sz w:val="22"/>
          <w:szCs w:val="22"/>
          <w:lang w:val="en-GB"/>
        </w:rPr>
        <w:t xml:space="preserve">GSR Part 4 </w:t>
      </w:r>
      <w:r w:rsidR="00102677">
        <w:rPr>
          <w:iCs/>
          <w:sz w:val="22"/>
          <w:szCs w:val="22"/>
          <w:lang w:val="en-GB"/>
        </w:rPr>
        <w:t>(</w:t>
      </w:r>
      <w:r w:rsidR="00924CC9">
        <w:rPr>
          <w:iCs/>
          <w:sz w:val="22"/>
          <w:szCs w:val="22"/>
          <w:lang w:val="en-GB"/>
        </w:rPr>
        <w:t>Rev. 1</w:t>
      </w:r>
      <w:r w:rsidR="00102677">
        <w:rPr>
          <w:iCs/>
          <w:sz w:val="22"/>
          <w:szCs w:val="22"/>
          <w:lang w:val="en-GB"/>
        </w:rPr>
        <w:t>)</w:t>
      </w:r>
      <w:r w:rsidR="00924CC9">
        <w:rPr>
          <w:iCs/>
          <w:sz w:val="22"/>
          <w:szCs w:val="22"/>
          <w:lang w:val="en-GB"/>
        </w:rPr>
        <w:t xml:space="preserve">, </w:t>
      </w:r>
      <w:r w:rsidR="000C55D9">
        <w:rPr>
          <w:iCs/>
          <w:sz w:val="22"/>
          <w:szCs w:val="22"/>
          <w:lang w:val="en-GB"/>
        </w:rPr>
        <w:t xml:space="preserve">SSR-1, </w:t>
      </w:r>
      <w:r w:rsidR="00924CC9">
        <w:rPr>
          <w:iCs/>
          <w:sz w:val="22"/>
          <w:szCs w:val="22"/>
          <w:lang w:val="en-GB"/>
        </w:rPr>
        <w:t xml:space="preserve">SSR-2/1 </w:t>
      </w:r>
      <w:r w:rsidR="00102677">
        <w:rPr>
          <w:iCs/>
          <w:sz w:val="22"/>
          <w:szCs w:val="22"/>
          <w:lang w:val="en-GB"/>
        </w:rPr>
        <w:t>(</w:t>
      </w:r>
      <w:r w:rsidR="00924CC9">
        <w:rPr>
          <w:iCs/>
          <w:sz w:val="22"/>
          <w:szCs w:val="22"/>
          <w:lang w:val="en-GB"/>
        </w:rPr>
        <w:t>Rev. 1</w:t>
      </w:r>
      <w:r w:rsidR="00102677">
        <w:rPr>
          <w:iCs/>
          <w:sz w:val="22"/>
          <w:szCs w:val="22"/>
          <w:lang w:val="en-GB"/>
        </w:rPr>
        <w:t>)</w:t>
      </w:r>
      <w:r w:rsidR="00924CC9">
        <w:rPr>
          <w:iCs/>
          <w:sz w:val="22"/>
          <w:szCs w:val="22"/>
          <w:lang w:val="en-GB"/>
        </w:rPr>
        <w:t xml:space="preserve">, </w:t>
      </w:r>
      <w:r>
        <w:rPr>
          <w:iCs/>
          <w:sz w:val="22"/>
          <w:szCs w:val="22"/>
          <w:lang w:val="en-GB"/>
        </w:rPr>
        <w:t>SSR-2/2</w:t>
      </w:r>
      <w:r w:rsidR="007957C3">
        <w:rPr>
          <w:iCs/>
          <w:sz w:val="22"/>
          <w:szCs w:val="22"/>
          <w:lang w:val="en-GB"/>
        </w:rPr>
        <w:t xml:space="preserve"> </w:t>
      </w:r>
      <w:r w:rsidR="00102677">
        <w:rPr>
          <w:iCs/>
          <w:sz w:val="22"/>
          <w:szCs w:val="22"/>
          <w:lang w:val="en-GB"/>
        </w:rPr>
        <w:t>(</w:t>
      </w:r>
      <w:r w:rsidR="007957C3">
        <w:rPr>
          <w:iCs/>
          <w:sz w:val="22"/>
          <w:szCs w:val="22"/>
          <w:lang w:val="en-GB"/>
        </w:rPr>
        <w:t>Rev. 1</w:t>
      </w:r>
      <w:r w:rsidR="00102677">
        <w:rPr>
          <w:iCs/>
          <w:sz w:val="22"/>
          <w:szCs w:val="22"/>
          <w:lang w:val="en-GB"/>
        </w:rPr>
        <w:t>)</w:t>
      </w:r>
      <w:r>
        <w:rPr>
          <w:iCs/>
          <w:sz w:val="22"/>
          <w:szCs w:val="22"/>
          <w:lang w:val="en-GB"/>
        </w:rPr>
        <w:t xml:space="preserve">, </w:t>
      </w:r>
      <w:r w:rsidR="00F61856">
        <w:rPr>
          <w:iCs/>
          <w:sz w:val="22"/>
          <w:szCs w:val="22"/>
          <w:lang w:val="en-GB"/>
        </w:rPr>
        <w:t>SSR</w:t>
      </w:r>
      <w:r>
        <w:rPr>
          <w:iCs/>
          <w:sz w:val="22"/>
          <w:szCs w:val="22"/>
          <w:lang w:val="en-GB"/>
        </w:rPr>
        <w:t>-3 and SS</w:t>
      </w:r>
      <w:r w:rsidR="00F61856">
        <w:rPr>
          <w:iCs/>
          <w:sz w:val="22"/>
          <w:szCs w:val="22"/>
          <w:lang w:val="en-GB"/>
        </w:rPr>
        <w:t>R</w:t>
      </w:r>
      <w:r>
        <w:rPr>
          <w:iCs/>
          <w:sz w:val="22"/>
          <w:szCs w:val="22"/>
          <w:lang w:val="en-GB"/>
        </w:rPr>
        <w:t>-4</w:t>
      </w:r>
      <w:r w:rsidR="00F14829">
        <w:rPr>
          <w:iCs/>
          <w:sz w:val="22"/>
          <w:szCs w:val="22"/>
          <w:lang w:val="en-GB"/>
        </w:rPr>
        <w:t>)</w:t>
      </w:r>
      <w:r w:rsidR="00A52476">
        <w:rPr>
          <w:iCs/>
          <w:sz w:val="22"/>
          <w:szCs w:val="22"/>
          <w:lang w:val="en-GB"/>
        </w:rPr>
        <w:t>;</w:t>
      </w:r>
    </w:p>
    <w:p w14:paraId="0F66472C" w14:textId="5F49B89D" w:rsidR="00226952" w:rsidRPr="00CB3737" w:rsidRDefault="00102677" w:rsidP="00226952">
      <w:pPr>
        <w:numPr>
          <w:ilvl w:val="0"/>
          <w:numId w:val="11"/>
        </w:numPr>
        <w:spacing w:after="170" w:line="280" w:lineRule="atLeast"/>
        <w:ind w:left="60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The a</w:t>
      </w:r>
      <w:r w:rsidR="00226952" w:rsidRPr="00CB3737">
        <w:rPr>
          <w:iCs/>
          <w:sz w:val="22"/>
          <w:szCs w:val="22"/>
          <w:lang w:val="en-GB"/>
        </w:rPr>
        <w:t xml:space="preserve">pplication of </w:t>
      </w:r>
      <w:r w:rsidR="00552E3C">
        <w:rPr>
          <w:iCs/>
          <w:sz w:val="22"/>
          <w:szCs w:val="22"/>
          <w:lang w:val="en-GB"/>
        </w:rPr>
        <w:t xml:space="preserve">the </w:t>
      </w:r>
      <w:r w:rsidR="00226952" w:rsidRPr="00CB3737">
        <w:rPr>
          <w:iCs/>
          <w:sz w:val="22"/>
          <w:szCs w:val="22"/>
          <w:lang w:val="en-GB"/>
        </w:rPr>
        <w:t>management system</w:t>
      </w:r>
      <w:r w:rsidR="009973DA">
        <w:rPr>
          <w:iCs/>
          <w:sz w:val="22"/>
          <w:szCs w:val="22"/>
          <w:lang w:val="en-GB"/>
        </w:rPr>
        <w:t xml:space="preserve"> will be revised to ensure </w:t>
      </w:r>
      <w:r w:rsidR="00924CC9">
        <w:rPr>
          <w:iCs/>
          <w:sz w:val="22"/>
          <w:szCs w:val="22"/>
          <w:lang w:val="en-GB"/>
        </w:rPr>
        <w:t>consistency</w:t>
      </w:r>
      <w:r w:rsidR="009973DA">
        <w:rPr>
          <w:iCs/>
          <w:sz w:val="22"/>
          <w:szCs w:val="22"/>
          <w:lang w:val="en-GB"/>
        </w:rPr>
        <w:t xml:space="preserve"> with </w:t>
      </w:r>
      <w:r w:rsidR="009973DA" w:rsidRPr="00F43E4F">
        <w:rPr>
          <w:iCs/>
          <w:sz w:val="22"/>
          <w:szCs w:val="22"/>
          <w:lang w:val="en-GB"/>
        </w:rPr>
        <w:t>GSR Part 2</w:t>
      </w:r>
      <w:r w:rsidR="00A52476">
        <w:rPr>
          <w:iCs/>
          <w:sz w:val="22"/>
          <w:szCs w:val="22"/>
          <w:lang w:val="en-GB"/>
        </w:rPr>
        <w:t>.</w:t>
      </w:r>
    </w:p>
    <w:p w14:paraId="61C52226" w14:textId="6547650F" w:rsidR="00F14829" w:rsidRPr="00CB3737" w:rsidRDefault="00F14829" w:rsidP="00F14829">
      <w:pPr>
        <w:spacing w:after="170" w:line="280" w:lineRule="atLeast"/>
        <w:jc w:val="both"/>
        <w:rPr>
          <w:b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As for technical aspects, the proposed </w:t>
      </w:r>
      <w:r w:rsidR="00FC6C8A">
        <w:rPr>
          <w:iCs/>
          <w:sz w:val="22"/>
          <w:szCs w:val="22"/>
          <w:lang w:val="en-GB"/>
        </w:rPr>
        <w:t>S</w:t>
      </w:r>
      <w:r>
        <w:rPr>
          <w:iCs/>
          <w:sz w:val="22"/>
          <w:szCs w:val="22"/>
          <w:lang w:val="en-GB"/>
        </w:rPr>
        <w:t xml:space="preserve">afety </w:t>
      </w:r>
      <w:r w:rsidR="00FC6C8A">
        <w:rPr>
          <w:iCs/>
          <w:sz w:val="22"/>
          <w:szCs w:val="22"/>
          <w:lang w:val="en-GB"/>
        </w:rPr>
        <w:t>G</w:t>
      </w:r>
      <w:r>
        <w:rPr>
          <w:iCs/>
          <w:sz w:val="22"/>
          <w:szCs w:val="22"/>
          <w:lang w:val="en-GB"/>
        </w:rPr>
        <w:t>uide will address or consider the following</w:t>
      </w:r>
      <w:r w:rsidR="00A52476">
        <w:rPr>
          <w:iCs/>
          <w:sz w:val="22"/>
          <w:szCs w:val="22"/>
          <w:lang w:val="en-GB"/>
        </w:rPr>
        <w:t>:</w:t>
      </w:r>
    </w:p>
    <w:p w14:paraId="62BBEA5D" w14:textId="77777777" w:rsidR="00CB3737" w:rsidRPr="00CB3737" w:rsidRDefault="00C4446E" w:rsidP="00CB3737">
      <w:pPr>
        <w:numPr>
          <w:ilvl w:val="0"/>
          <w:numId w:val="11"/>
        </w:numPr>
        <w:spacing w:after="170" w:line="280" w:lineRule="atLeast"/>
        <w:ind w:left="60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The recent updates in seismic hazard assessment in site evaluation for nuclear installations (DS5</w:t>
      </w:r>
      <w:r w:rsidR="00CE3CEF">
        <w:rPr>
          <w:iCs/>
          <w:sz w:val="22"/>
          <w:szCs w:val="22"/>
          <w:lang w:val="en-GB"/>
        </w:rPr>
        <w:t>0</w:t>
      </w:r>
      <w:r>
        <w:rPr>
          <w:iCs/>
          <w:sz w:val="22"/>
          <w:szCs w:val="22"/>
          <w:lang w:val="en-GB"/>
        </w:rPr>
        <w:t>7);</w:t>
      </w:r>
    </w:p>
    <w:p w14:paraId="5E1AD477" w14:textId="47169A72" w:rsidR="00226952" w:rsidRPr="00CB3737" w:rsidRDefault="009973DA" w:rsidP="00226952">
      <w:pPr>
        <w:numPr>
          <w:ilvl w:val="0"/>
          <w:numId w:val="11"/>
        </w:numPr>
        <w:spacing w:after="170" w:line="280" w:lineRule="atLeast"/>
        <w:ind w:left="60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Applicable p</w:t>
      </w:r>
      <w:r w:rsidR="00226952" w:rsidRPr="00CB3737">
        <w:rPr>
          <w:iCs/>
          <w:sz w:val="22"/>
          <w:szCs w:val="22"/>
          <w:lang w:val="en-GB"/>
        </w:rPr>
        <w:t xml:space="preserve">rovisions of </w:t>
      </w:r>
      <w:r w:rsidR="00C4446E">
        <w:rPr>
          <w:iCs/>
          <w:sz w:val="22"/>
          <w:szCs w:val="22"/>
          <w:lang w:val="en-GB"/>
        </w:rPr>
        <w:t xml:space="preserve">the </w:t>
      </w:r>
      <w:r w:rsidR="00102677">
        <w:rPr>
          <w:iCs/>
          <w:sz w:val="22"/>
          <w:szCs w:val="22"/>
          <w:lang w:val="en-GB"/>
        </w:rPr>
        <w:t>S</w:t>
      </w:r>
      <w:r w:rsidR="00C4446E">
        <w:rPr>
          <w:iCs/>
          <w:sz w:val="22"/>
          <w:szCs w:val="22"/>
          <w:lang w:val="en-GB"/>
        </w:rPr>
        <w:t xml:space="preserve">afety </w:t>
      </w:r>
      <w:r w:rsidR="00102677">
        <w:rPr>
          <w:iCs/>
          <w:sz w:val="22"/>
          <w:szCs w:val="22"/>
          <w:lang w:val="en-GB"/>
        </w:rPr>
        <w:t>G</w:t>
      </w:r>
      <w:r>
        <w:rPr>
          <w:iCs/>
          <w:sz w:val="22"/>
          <w:szCs w:val="22"/>
          <w:lang w:val="en-GB"/>
        </w:rPr>
        <w:t>uide on Periodic Safety R</w:t>
      </w:r>
      <w:r w:rsidR="00C4446E">
        <w:rPr>
          <w:iCs/>
          <w:sz w:val="22"/>
          <w:szCs w:val="22"/>
          <w:lang w:val="en-GB"/>
        </w:rPr>
        <w:t xml:space="preserve">eview </w:t>
      </w:r>
      <w:r w:rsidR="00102677" w:rsidRPr="00FC6C8A">
        <w:rPr>
          <w:iCs/>
          <w:sz w:val="22"/>
          <w:szCs w:val="22"/>
          <w:lang w:val="en-GB"/>
        </w:rPr>
        <w:t xml:space="preserve">for Nuclear Power Plants </w:t>
      </w:r>
      <w:r w:rsidR="00C4446E">
        <w:rPr>
          <w:iCs/>
          <w:sz w:val="22"/>
          <w:szCs w:val="22"/>
          <w:lang w:val="en-GB"/>
        </w:rPr>
        <w:t>(SSG-25)</w:t>
      </w:r>
      <w:r w:rsidR="00A52476">
        <w:rPr>
          <w:iCs/>
          <w:sz w:val="22"/>
          <w:szCs w:val="22"/>
          <w:lang w:val="en-GB"/>
        </w:rPr>
        <w:t>;</w:t>
      </w:r>
    </w:p>
    <w:p w14:paraId="4655BB89" w14:textId="5E9F0428" w:rsidR="00CB3737" w:rsidRPr="00CB3737" w:rsidRDefault="00F80C69" w:rsidP="00CB3737">
      <w:pPr>
        <w:numPr>
          <w:ilvl w:val="0"/>
          <w:numId w:val="11"/>
        </w:numPr>
        <w:spacing w:after="170" w:line="280" w:lineRule="atLeast"/>
        <w:ind w:left="60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Updated </w:t>
      </w:r>
      <w:r w:rsidR="00226952">
        <w:rPr>
          <w:iCs/>
          <w:sz w:val="22"/>
          <w:szCs w:val="22"/>
          <w:lang w:val="en-GB"/>
        </w:rPr>
        <w:t>methodologie</w:t>
      </w:r>
      <w:r w:rsidR="009973DA">
        <w:rPr>
          <w:iCs/>
          <w:sz w:val="22"/>
          <w:szCs w:val="22"/>
          <w:lang w:val="en-GB"/>
        </w:rPr>
        <w:t xml:space="preserve">s for </w:t>
      </w:r>
      <w:r w:rsidR="00102677">
        <w:rPr>
          <w:iCs/>
          <w:sz w:val="22"/>
          <w:szCs w:val="22"/>
          <w:lang w:val="en-GB"/>
        </w:rPr>
        <w:t>s</w:t>
      </w:r>
      <w:r w:rsidR="009973DA">
        <w:rPr>
          <w:iCs/>
          <w:sz w:val="22"/>
          <w:szCs w:val="22"/>
          <w:lang w:val="en-GB"/>
        </w:rPr>
        <w:t xml:space="preserve">eismic </w:t>
      </w:r>
      <w:r w:rsidR="00102677">
        <w:rPr>
          <w:iCs/>
          <w:sz w:val="22"/>
          <w:szCs w:val="22"/>
          <w:lang w:val="en-GB"/>
        </w:rPr>
        <w:t>m</w:t>
      </w:r>
      <w:r w:rsidR="009973DA">
        <w:rPr>
          <w:iCs/>
          <w:sz w:val="22"/>
          <w:szCs w:val="22"/>
          <w:lang w:val="en-GB"/>
        </w:rPr>
        <w:t xml:space="preserve">argin </w:t>
      </w:r>
      <w:r w:rsidR="00102677">
        <w:rPr>
          <w:iCs/>
          <w:sz w:val="22"/>
          <w:szCs w:val="22"/>
          <w:lang w:val="en-GB"/>
        </w:rPr>
        <w:t>a</w:t>
      </w:r>
      <w:r>
        <w:rPr>
          <w:iCs/>
          <w:sz w:val="22"/>
          <w:szCs w:val="22"/>
          <w:lang w:val="en-GB"/>
        </w:rPr>
        <w:t>ssessment and seismic PSA</w:t>
      </w:r>
      <w:r w:rsidR="00A52476">
        <w:rPr>
          <w:iCs/>
          <w:sz w:val="22"/>
          <w:szCs w:val="22"/>
          <w:lang w:val="en-GB"/>
        </w:rPr>
        <w:t>;</w:t>
      </w:r>
    </w:p>
    <w:p w14:paraId="62085C98" w14:textId="156F6D1E" w:rsidR="00CB3737" w:rsidRPr="00F80C69" w:rsidRDefault="00226952" w:rsidP="00F80C69">
      <w:pPr>
        <w:numPr>
          <w:ilvl w:val="0"/>
          <w:numId w:val="11"/>
        </w:numPr>
        <w:spacing w:after="170" w:line="280" w:lineRule="atLeast"/>
        <w:ind w:left="600"/>
        <w:jc w:val="both"/>
        <w:rPr>
          <w:iCs/>
          <w:sz w:val="22"/>
          <w:szCs w:val="22"/>
          <w:lang w:val="en-GB"/>
        </w:rPr>
      </w:pPr>
      <w:r w:rsidRPr="00F80C69">
        <w:rPr>
          <w:iCs/>
          <w:sz w:val="22"/>
          <w:szCs w:val="22"/>
          <w:lang w:val="en-GB"/>
        </w:rPr>
        <w:t xml:space="preserve">A </w:t>
      </w:r>
      <w:r w:rsidR="00F80C69" w:rsidRPr="00F80C69">
        <w:rPr>
          <w:iCs/>
          <w:sz w:val="22"/>
          <w:szCs w:val="22"/>
          <w:lang w:val="en-GB"/>
        </w:rPr>
        <w:t xml:space="preserve">performance based </w:t>
      </w:r>
      <w:r w:rsidRPr="00F80C69">
        <w:rPr>
          <w:iCs/>
          <w:sz w:val="22"/>
          <w:szCs w:val="22"/>
          <w:lang w:val="en-GB"/>
        </w:rPr>
        <w:t>g</w:t>
      </w:r>
      <w:r w:rsidR="00CB3737" w:rsidRPr="00F80C69">
        <w:rPr>
          <w:iCs/>
          <w:sz w:val="22"/>
          <w:szCs w:val="22"/>
          <w:lang w:val="en-GB"/>
        </w:rPr>
        <w:t>raded approach</w:t>
      </w:r>
      <w:r w:rsidRPr="00F80C69">
        <w:rPr>
          <w:iCs/>
          <w:sz w:val="22"/>
          <w:szCs w:val="22"/>
          <w:lang w:val="en-GB"/>
        </w:rPr>
        <w:t xml:space="preserve"> for </w:t>
      </w:r>
      <w:bookmarkStart w:id="5" w:name="_Hlk4000845"/>
      <w:r w:rsidR="00102677">
        <w:rPr>
          <w:iCs/>
          <w:sz w:val="22"/>
          <w:szCs w:val="22"/>
          <w:lang w:val="en-GB"/>
        </w:rPr>
        <w:t xml:space="preserve">moderate and </w:t>
      </w:r>
      <w:bookmarkEnd w:id="5"/>
      <w:r w:rsidR="00924CC9">
        <w:rPr>
          <w:iCs/>
          <w:sz w:val="22"/>
          <w:szCs w:val="22"/>
          <w:lang w:val="en-GB"/>
        </w:rPr>
        <w:t xml:space="preserve">low hazard </w:t>
      </w:r>
      <w:r w:rsidRPr="00F80C69">
        <w:rPr>
          <w:iCs/>
          <w:sz w:val="22"/>
          <w:szCs w:val="22"/>
          <w:lang w:val="en-GB"/>
        </w:rPr>
        <w:t xml:space="preserve">nuclear installations will </w:t>
      </w:r>
      <w:r w:rsidR="00F80C69" w:rsidRPr="00F80C69">
        <w:rPr>
          <w:iCs/>
          <w:sz w:val="22"/>
          <w:szCs w:val="22"/>
          <w:lang w:val="en-GB"/>
        </w:rPr>
        <w:t>update the chapter</w:t>
      </w:r>
      <w:r w:rsidR="00F61856">
        <w:rPr>
          <w:iCs/>
          <w:sz w:val="22"/>
          <w:szCs w:val="22"/>
          <w:lang w:val="en-GB"/>
        </w:rPr>
        <w:t xml:space="preserve"> on</w:t>
      </w:r>
      <w:r w:rsidR="00F80C69" w:rsidRPr="00F80C69">
        <w:rPr>
          <w:iCs/>
          <w:sz w:val="22"/>
          <w:szCs w:val="22"/>
          <w:lang w:val="en-GB"/>
        </w:rPr>
        <w:t xml:space="preserve"> </w:t>
      </w:r>
      <w:r w:rsidR="00F80C69">
        <w:rPr>
          <w:iCs/>
          <w:sz w:val="22"/>
          <w:szCs w:val="22"/>
          <w:lang w:val="en-GB"/>
        </w:rPr>
        <w:t>“N</w:t>
      </w:r>
      <w:r w:rsidR="00F80C69" w:rsidRPr="00F80C69">
        <w:rPr>
          <w:iCs/>
          <w:sz w:val="22"/>
          <w:szCs w:val="22"/>
          <w:lang w:val="en-GB"/>
        </w:rPr>
        <w:t>u</w:t>
      </w:r>
      <w:r w:rsidR="00F80C69">
        <w:rPr>
          <w:iCs/>
          <w:sz w:val="22"/>
          <w:szCs w:val="22"/>
          <w:lang w:val="en-GB"/>
        </w:rPr>
        <w:t>clear installations other than Power P</w:t>
      </w:r>
      <w:r w:rsidR="00F80C69" w:rsidRPr="00F80C69">
        <w:rPr>
          <w:iCs/>
          <w:sz w:val="22"/>
          <w:szCs w:val="22"/>
          <w:lang w:val="en-GB"/>
        </w:rPr>
        <w:t>lants</w:t>
      </w:r>
      <w:r w:rsidR="00F80C69">
        <w:rPr>
          <w:iCs/>
          <w:sz w:val="22"/>
          <w:szCs w:val="22"/>
          <w:lang w:val="en-GB"/>
        </w:rPr>
        <w:t>”</w:t>
      </w:r>
      <w:r w:rsidRPr="00F80C69">
        <w:rPr>
          <w:iCs/>
          <w:sz w:val="22"/>
          <w:szCs w:val="22"/>
          <w:lang w:val="en-GB"/>
        </w:rPr>
        <w:t xml:space="preserve">. </w:t>
      </w:r>
    </w:p>
    <w:p w14:paraId="75D52DA6" w14:textId="2B4DB5F1" w:rsidR="00CB3737" w:rsidRDefault="00F43E4F" w:rsidP="00FA319C">
      <w:pPr>
        <w:pStyle w:val="BodyText"/>
        <w:rPr>
          <w:iCs/>
          <w:szCs w:val="22"/>
        </w:rPr>
      </w:pPr>
      <w:r>
        <w:rPr>
          <w:iCs/>
          <w:szCs w:val="22"/>
        </w:rPr>
        <w:t xml:space="preserve">The contents of the proposed </w:t>
      </w:r>
      <w:r w:rsidR="00F555A7">
        <w:rPr>
          <w:iCs/>
          <w:szCs w:val="22"/>
        </w:rPr>
        <w:t>S</w:t>
      </w:r>
      <w:r>
        <w:rPr>
          <w:iCs/>
          <w:szCs w:val="22"/>
        </w:rPr>
        <w:t xml:space="preserve">afety </w:t>
      </w:r>
      <w:r w:rsidR="00F555A7">
        <w:rPr>
          <w:iCs/>
          <w:szCs w:val="22"/>
        </w:rPr>
        <w:t>G</w:t>
      </w:r>
      <w:r>
        <w:rPr>
          <w:iCs/>
          <w:szCs w:val="22"/>
        </w:rPr>
        <w:t xml:space="preserve">uide will be </w:t>
      </w:r>
      <w:r w:rsidR="00516F2B">
        <w:rPr>
          <w:iCs/>
          <w:szCs w:val="22"/>
        </w:rPr>
        <w:t xml:space="preserve">similar to </w:t>
      </w:r>
      <w:r>
        <w:rPr>
          <w:iCs/>
          <w:szCs w:val="22"/>
        </w:rPr>
        <w:t xml:space="preserve">the existing </w:t>
      </w:r>
      <w:r w:rsidR="00F555A7">
        <w:rPr>
          <w:iCs/>
          <w:szCs w:val="22"/>
        </w:rPr>
        <w:t>S</w:t>
      </w:r>
      <w:r>
        <w:rPr>
          <w:iCs/>
          <w:szCs w:val="22"/>
        </w:rPr>
        <w:t xml:space="preserve">afety </w:t>
      </w:r>
      <w:r w:rsidR="00F555A7">
        <w:rPr>
          <w:iCs/>
          <w:szCs w:val="22"/>
        </w:rPr>
        <w:t>G</w:t>
      </w:r>
      <w:r>
        <w:rPr>
          <w:iCs/>
          <w:szCs w:val="22"/>
        </w:rPr>
        <w:t>uide</w:t>
      </w:r>
      <w:r w:rsidR="00F555A7" w:rsidRPr="00F555A7">
        <w:rPr>
          <w:iCs/>
          <w:szCs w:val="22"/>
        </w:rPr>
        <w:t xml:space="preserve"> </w:t>
      </w:r>
      <w:r w:rsidR="00F555A7">
        <w:rPr>
          <w:iCs/>
          <w:szCs w:val="22"/>
        </w:rPr>
        <w:t>NS-G-2.13</w:t>
      </w:r>
      <w:r>
        <w:rPr>
          <w:iCs/>
          <w:szCs w:val="22"/>
        </w:rPr>
        <w:t xml:space="preserve">, with some amendments. </w:t>
      </w:r>
      <w:r w:rsidR="00940765">
        <w:rPr>
          <w:iCs/>
          <w:szCs w:val="22"/>
        </w:rPr>
        <w:t>The planned table of contents is as follows</w:t>
      </w:r>
      <w:r w:rsidR="00A52476">
        <w:rPr>
          <w:iCs/>
          <w:szCs w:val="22"/>
        </w:rPr>
        <w:t>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43E4F" w14:paraId="5D7FBBFA" w14:textId="77777777" w:rsidTr="00940765">
        <w:tc>
          <w:tcPr>
            <w:tcW w:w="7513" w:type="dxa"/>
          </w:tcPr>
          <w:p w14:paraId="0E4531DE" w14:textId="77777777" w:rsidR="00F43E4F" w:rsidRDefault="00F43E4F" w:rsidP="00A52476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Introduction</w:t>
            </w:r>
          </w:p>
          <w:p w14:paraId="0F96CF2B" w14:textId="77777777" w:rsidR="00F43E4F" w:rsidRDefault="00F43E4F" w:rsidP="00A52476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General </w:t>
            </w:r>
            <w:r w:rsidR="00D64328">
              <w:rPr>
                <w:iCs/>
                <w:szCs w:val="22"/>
              </w:rPr>
              <w:t>recommendations</w:t>
            </w:r>
          </w:p>
          <w:p w14:paraId="27965CF8" w14:textId="77777777" w:rsidR="00F80C69" w:rsidRDefault="00F80C69" w:rsidP="00A52476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Selection of the Seismic Safety Evaluation Methodology</w:t>
            </w:r>
          </w:p>
          <w:p w14:paraId="4E796059" w14:textId="77777777" w:rsidR="009973DA" w:rsidRDefault="009973DA" w:rsidP="009973DA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Definition of the Review Level Earthquake</w:t>
            </w:r>
          </w:p>
          <w:p w14:paraId="21721066" w14:textId="77777777" w:rsidR="00F43E4F" w:rsidRDefault="00F80C69" w:rsidP="00A52476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Data Collection and I</w:t>
            </w:r>
            <w:r w:rsidR="00F43E4F">
              <w:rPr>
                <w:iCs/>
                <w:szCs w:val="22"/>
              </w:rPr>
              <w:t>nvestigations</w:t>
            </w:r>
          </w:p>
          <w:p w14:paraId="2FEBD945" w14:textId="77777777" w:rsidR="00F43E4F" w:rsidRDefault="00F80C69" w:rsidP="00A52476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Seismic Margin Assessment</w:t>
            </w:r>
          </w:p>
          <w:p w14:paraId="05FAF919" w14:textId="77777777" w:rsidR="00137008" w:rsidRDefault="00F80C69" w:rsidP="00A52476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Seismic Probabilistic Safety Assessment</w:t>
            </w:r>
          </w:p>
          <w:p w14:paraId="0832DD12" w14:textId="77777777" w:rsidR="00CC7025" w:rsidRDefault="00CC7025" w:rsidP="00CC7025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Moderate a</w:t>
            </w:r>
            <w:r w:rsidRPr="00CC7025">
              <w:rPr>
                <w:iCs/>
                <w:szCs w:val="22"/>
              </w:rPr>
              <w:t>nd Low Hazard Installations</w:t>
            </w:r>
          </w:p>
          <w:p w14:paraId="2257BCBB" w14:textId="77777777" w:rsidR="00CC7025" w:rsidRPr="00CC7025" w:rsidRDefault="00CC7025" w:rsidP="00CC7025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Considerations f</w:t>
            </w:r>
            <w:r w:rsidRPr="00CC7025">
              <w:rPr>
                <w:iCs/>
                <w:szCs w:val="22"/>
              </w:rPr>
              <w:t>or Upgrading</w:t>
            </w:r>
          </w:p>
          <w:p w14:paraId="1AF00676" w14:textId="77777777" w:rsidR="00F80C69" w:rsidRDefault="00F80C69" w:rsidP="00A52476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Peer Review</w:t>
            </w:r>
          </w:p>
          <w:p w14:paraId="05349D02" w14:textId="77777777" w:rsidR="00F80C69" w:rsidRDefault="00F80C69" w:rsidP="00A52476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Documentation</w:t>
            </w:r>
          </w:p>
          <w:p w14:paraId="4E781BC9" w14:textId="0FDC7B59" w:rsidR="00F43E4F" w:rsidRDefault="000C7F31" w:rsidP="00A52476">
            <w:pPr>
              <w:pStyle w:val="BodyText"/>
              <w:numPr>
                <w:ilvl w:val="0"/>
                <w:numId w:val="20"/>
              </w:numPr>
              <w:spacing w:after="120" w:line="240" w:lineRule="auto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Application of the </w:t>
            </w:r>
            <w:r w:rsidR="001A23A2">
              <w:rPr>
                <w:iCs/>
                <w:szCs w:val="22"/>
              </w:rPr>
              <w:t>M</w:t>
            </w:r>
            <w:r w:rsidR="00137008">
              <w:rPr>
                <w:iCs/>
                <w:szCs w:val="22"/>
              </w:rPr>
              <w:t>anagement</w:t>
            </w:r>
            <w:r>
              <w:rPr>
                <w:iCs/>
                <w:szCs w:val="22"/>
              </w:rPr>
              <w:t xml:space="preserve"> </w:t>
            </w:r>
            <w:r w:rsidR="001A23A2">
              <w:rPr>
                <w:iCs/>
                <w:szCs w:val="22"/>
              </w:rPr>
              <w:t>S</w:t>
            </w:r>
            <w:r>
              <w:rPr>
                <w:iCs/>
                <w:szCs w:val="22"/>
              </w:rPr>
              <w:t>ystem</w:t>
            </w:r>
          </w:p>
          <w:p w14:paraId="70CEC17D" w14:textId="77777777" w:rsidR="00F43E4F" w:rsidRDefault="00F43E4F" w:rsidP="00A52476">
            <w:pPr>
              <w:pStyle w:val="BodyText"/>
              <w:spacing w:after="120" w:line="240" w:lineRule="auto"/>
              <w:ind w:left="360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References</w:t>
            </w:r>
          </w:p>
          <w:p w14:paraId="46E1BF96" w14:textId="77777777" w:rsidR="00F80C69" w:rsidRPr="00F43E4F" w:rsidRDefault="00F80C69" w:rsidP="00A52476">
            <w:pPr>
              <w:pStyle w:val="BodyText"/>
              <w:spacing w:after="120" w:line="240" w:lineRule="auto"/>
              <w:ind w:left="360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Appendices </w:t>
            </w:r>
          </w:p>
        </w:tc>
      </w:tr>
    </w:tbl>
    <w:p w14:paraId="085B4189" w14:textId="77777777" w:rsidR="0064085A" w:rsidRDefault="0064085A">
      <w:pPr>
        <w:rPr>
          <w:iCs/>
          <w:sz w:val="22"/>
          <w:szCs w:val="22"/>
          <w:lang w:val="en-GB"/>
        </w:rPr>
      </w:pPr>
    </w:p>
    <w:p w14:paraId="2FEDE4D6" w14:textId="77777777" w:rsidR="00CB3737" w:rsidRDefault="00CB3737" w:rsidP="00FA319C">
      <w:pPr>
        <w:pStyle w:val="BodyText"/>
        <w:rPr>
          <w:iCs/>
          <w:szCs w:val="22"/>
        </w:rPr>
      </w:pPr>
    </w:p>
    <w:p w14:paraId="5470A4D5" w14:textId="77777777" w:rsidR="00FA319C" w:rsidRDefault="00142442" w:rsidP="00FA319C">
      <w:pPr>
        <w:pStyle w:val="BodyText"/>
        <w:numPr>
          <w:ilvl w:val="0"/>
          <w:numId w:val="19"/>
        </w:numPr>
        <w:spacing w:line="220" w:lineRule="atLeast"/>
        <w:jc w:val="left"/>
        <w:rPr>
          <w:b/>
          <w:bCs/>
        </w:rPr>
      </w:pPr>
      <w:r w:rsidRPr="00467564">
        <w:rPr>
          <w:b/>
          <w:bCs/>
        </w:rPr>
        <w:t>PRODUCTION</w:t>
      </w:r>
      <w:r w:rsidR="00C7358B" w:rsidRPr="00467564">
        <w:rPr>
          <w:b/>
          <w:bCs/>
        </w:rPr>
        <w:t xml:space="preserve"> SCHEDULE</w:t>
      </w:r>
      <w:r w:rsidRPr="00467564">
        <w:rPr>
          <w:b/>
          <w:bCs/>
        </w:rPr>
        <w:t xml:space="preserve">: </w:t>
      </w:r>
    </w:p>
    <w:p w14:paraId="007056F9" w14:textId="77777777" w:rsidR="00142442" w:rsidRPr="00467564" w:rsidRDefault="00142442" w:rsidP="00FA319C">
      <w:pPr>
        <w:pStyle w:val="BodyText"/>
        <w:spacing w:line="220" w:lineRule="atLeast"/>
        <w:jc w:val="left"/>
        <w:rPr>
          <w:sz w:val="20"/>
        </w:rPr>
      </w:pPr>
      <w:r w:rsidRPr="00467564">
        <w:rPr>
          <w:sz w:val="20"/>
        </w:rPr>
        <w:t xml:space="preserve">Provisional schedule for preparation of the document, outlining </w:t>
      </w:r>
      <w:r w:rsidR="009F2AA1" w:rsidRPr="00467564">
        <w:rPr>
          <w:sz w:val="20"/>
        </w:rPr>
        <w:t xml:space="preserve">realistic </w:t>
      </w:r>
      <w:r w:rsidR="00D34F6B" w:rsidRPr="00467564">
        <w:rPr>
          <w:sz w:val="20"/>
        </w:rPr>
        <w:t xml:space="preserve">expected </w:t>
      </w:r>
      <w:r w:rsidRPr="00467564">
        <w:rPr>
          <w:sz w:val="20"/>
        </w:rPr>
        <w:t>dates for</w:t>
      </w:r>
      <w:r w:rsidR="003157DB" w:rsidRPr="00467564">
        <w:rPr>
          <w:sz w:val="20"/>
        </w:rPr>
        <w:t xml:space="preserve"> </w:t>
      </w:r>
      <w:r w:rsidR="0046657C" w:rsidRPr="00467564">
        <w:rPr>
          <w:sz w:val="20"/>
        </w:rPr>
        <w:t>each step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1384"/>
        <w:gridCol w:w="1385"/>
        <w:gridCol w:w="1385"/>
      </w:tblGrid>
      <w:tr w:rsidR="003157DB" w:rsidRPr="00467564" w14:paraId="6B99F3B5" w14:textId="77777777" w:rsidTr="00940765">
        <w:tc>
          <w:tcPr>
            <w:tcW w:w="4885" w:type="dxa"/>
            <w:shd w:val="clear" w:color="auto" w:fill="auto"/>
          </w:tcPr>
          <w:p w14:paraId="70C54EE5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5C70891F" w14:textId="77777777" w:rsidR="003157DB" w:rsidRPr="00467564" w:rsidRDefault="008638E8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18"/>
                <w:szCs w:val="18"/>
              </w:rPr>
            </w:pPr>
            <w:r w:rsidRPr="00467564">
              <w:rPr>
                <w:color w:val="000000"/>
                <w:sz w:val="18"/>
                <w:szCs w:val="18"/>
              </w:rPr>
              <w:t>A</w:t>
            </w:r>
            <w:r w:rsidR="003157DB" w:rsidRPr="00467564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385" w:type="dxa"/>
            <w:shd w:val="clear" w:color="auto" w:fill="auto"/>
          </w:tcPr>
          <w:p w14:paraId="64495F39" w14:textId="77777777" w:rsidR="003157DB" w:rsidRPr="00467564" w:rsidRDefault="008638E8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18"/>
                <w:szCs w:val="18"/>
              </w:rPr>
            </w:pPr>
            <w:r w:rsidRPr="00467564">
              <w:rPr>
                <w:color w:val="000000"/>
                <w:sz w:val="18"/>
                <w:szCs w:val="18"/>
              </w:rPr>
              <w:t>B</w:t>
            </w:r>
            <w:r w:rsidR="003157DB" w:rsidRPr="00467564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385" w:type="dxa"/>
            <w:shd w:val="clear" w:color="auto" w:fill="auto"/>
          </w:tcPr>
          <w:p w14:paraId="6DD6FC4C" w14:textId="77777777" w:rsidR="003157DB" w:rsidRPr="00467564" w:rsidRDefault="008638E8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18"/>
                <w:szCs w:val="18"/>
              </w:rPr>
            </w:pPr>
            <w:r w:rsidRPr="00467564">
              <w:rPr>
                <w:color w:val="000000"/>
                <w:sz w:val="18"/>
                <w:szCs w:val="18"/>
              </w:rPr>
              <w:t>C</w:t>
            </w:r>
            <w:r w:rsidR="003157DB" w:rsidRPr="00467564">
              <w:rPr>
                <w:color w:val="000000"/>
                <w:sz w:val="18"/>
                <w:szCs w:val="18"/>
              </w:rPr>
              <w:t>*</w:t>
            </w:r>
          </w:p>
        </w:tc>
      </w:tr>
      <w:tr w:rsidR="003157DB" w:rsidRPr="00467564" w14:paraId="150E7747" w14:textId="77777777" w:rsidTr="00940765">
        <w:tc>
          <w:tcPr>
            <w:tcW w:w="4885" w:type="dxa"/>
            <w:shd w:val="clear" w:color="auto" w:fill="auto"/>
          </w:tcPr>
          <w:p w14:paraId="0C274996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>STEP 1: Preparing a DPP</w:t>
            </w:r>
          </w:p>
        </w:tc>
        <w:tc>
          <w:tcPr>
            <w:tcW w:w="1384" w:type="dxa"/>
            <w:shd w:val="clear" w:color="auto" w:fill="auto"/>
          </w:tcPr>
          <w:p w14:paraId="5A3EC972" w14:textId="77777777" w:rsidR="003157DB" w:rsidRPr="00467564" w:rsidRDefault="00FE7FDA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March 2019</w:t>
            </w:r>
          </w:p>
        </w:tc>
        <w:tc>
          <w:tcPr>
            <w:tcW w:w="1385" w:type="dxa"/>
            <w:shd w:val="clear" w:color="auto" w:fill="auto"/>
          </w:tcPr>
          <w:p w14:paraId="35C2FEF8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14BC40CB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638FDDBD" w14:textId="77777777" w:rsidTr="00940765">
        <w:tc>
          <w:tcPr>
            <w:tcW w:w="4885" w:type="dxa"/>
            <w:shd w:val="clear" w:color="auto" w:fill="auto"/>
          </w:tcPr>
          <w:p w14:paraId="670295DD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 xml:space="preserve">STEP 2: </w:t>
            </w:r>
            <w:r w:rsidRPr="00467564">
              <w:rPr>
                <w:sz w:val="20"/>
              </w:rPr>
              <w:t>Approval of DPP by the Coordination Committee</w:t>
            </w:r>
          </w:p>
        </w:tc>
        <w:tc>
          <w:tcPr>
            <w:tcW w:w="1384" w:type="dxa"/>
            <w:shd w:val="clear" w:color="auto" w:fill="auto"/>
          </w:tcPr>
          <w:p w14:paraId="693C2C87" w14:textId="77777777" w:rsidR="003157DB" w:rsidRPr="00467564" w:rsidRDefault="00FE7FDA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April 2019</w:t>
            </w:r>
          </w:p>
        </w:tc>
        <w:tc>
          <w:tcPr>
            <w:tcW w:w="1385" w:type="dxa"/>
            <w:shd w:val="clear" w:color="auto" w:fill="auto"/>
          </w:tcPr>
          <w:p w14:paraId="448530CD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4AE08AE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14260F31" w14:textId="77777777" w:rsidTr="00940765">
        <w:tc>
          <w:tcPr>
            <w:tcW w:w="4885" w:type="dxa"/>
            <w:shd w:val="clear" w:color="auto" w:fill="auto"/>
          </w:tcPr>
          <w:p w14:paraId="213A9665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>STEP 3: Approval</w:t>
            </w:r>
            <w:r w:rsidRPr="00467564">
              <w:rPr>
                <w:sz w:val="20"/>
              </w:rPr>
              <w:t xml:space="preserve"> of DPP by the </w:t>
            </w:r>
            <w:r w:rsidR="00A17C97" w:rsidRPr="00467564">
              <w:rPr>
                <w:sz w:val="20"/>
              </w:rPr>
              <w:t>relevant review</w:t>
            </w:r>
            <w:r w:rsidRPr="00467564">
              <w:rPr>
                <w:sz w:val="20"/>
              </w:rPr>
              <w:t xml:space="preserve"> Committees </w:t>
            </w:r>
          </w:p>
        </w:tc>
        <w:tc>
          <w:tcPr>
            <w:tcW w:w="1384" w:type="dxa"/>
            <w:shd w:val="clear" w:color="auto" w:fill="auto"/>
          </w:tcPr>
          <w:p w14:paraId="5FA86865" w14:textId="77777777" w:rsidR="003157DB" w:rsidRPr="00467564" w:rsidRDefault="004F20A7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June 2019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AB9E460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606060"/>
          </w:tcPr>
          <w:p w14:paraId="287B101E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47D958E1" w14:textId="77777777" w:rsidTr="00940765">
        <w:tc>
          <w:tcPr>
            <w:tcW w:w="4885" w:type="dxa"/>
            <w:shd w:val="clear" w:color="auto" w:fill="auto"/>
          </w:tcPr>
          <w:p w14:paraId="1321786F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 xml:space="preserve">STEP 4: </w:t>
            </w:r>
            <w:r w:rsidRPr="00467564">
              <w:rPr>
                <w:sz w:val="20"/>
              </w:rPr>
              <w:t>Approval of DPP by the CSS</w:t>
            </w:r>
          </w:p>
        </w:tc>
        <w:tc>
          <w:tcPr>
            <w:tcW w:w="1384" w:type="dxa"/>
            <w:shd w:val="clear" w:color="auto" w:fill="auto"/>
          </w:tcPr>
          <w:p w14:paraId="0616058E" w14:textId="77777777" w:rsidR="003157DB" w:rsidRPr="00467564" w:rsidRDefault="00DF0E38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December</w:t>
            </w:r>
            <w:r w:rsidR="004F20A7">
              <w:rPr>
                <w:color w:val="000000"/>
                <w:sz w:val="20"/>
              </w:rPr>
              <w:t xml:space="preserve"> 2019</w:t>
            </w:r>
          </w:p>
        </w:tc>
        <w:tc>
          <w:tcPr>
            <w:tcW w:w="1385" w:type="dxa"/>
            <w:shd w:val="clear" w:color="auto" w:fill="606060"/>
          </w:tcPr>
          <w:p w14:paraId="15DFDA27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606060"/>
          </w:tcPr>
          <w:p w14:paraId="47C0BB2C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7D95C96F" w14:textId="77777777" w:rsidTr="00940765">
        <w:tc>
          <w:tcPr>
            <w:tcW w:w="4885" w:type="dxa"/>
            <w:shd w:val="clear" w:color="auto" w:fill="auto"/>
          </w:tcPr>
          <w:p w14:paraId="78339E08" w14:textId="77777777" w:rsidR="003C633C" w:rsidRDefault="003157DB" w:rsidP="004F20A7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>STEP 5: Preparing the draft</w:t>
            </w:r>
          </w:p>
          <w:p w14:paraId="6F428121" w14:textId="77777777" w:rsidR="007F7569" w:rsidRPr="00467564" w:rsidRDefault="007F7569" w:rsidP="004F20A7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Indicate as to whether a TM is expected to be organized for the preparation of the draft</w:t>
            </w:r>
          </w:p>
        </w:tc>
        <w:tc>
          <w:tcPr>
            <w:tcW w:w="1384" w:type="dxa"/>
            <w:shd w:val="clear" w:color="auto" w:fill="auto"/>
          </w:tcPr>
          <w:p w14:paraId="6560C24D" w14:textId="5AE55C0A" w:rsidR="00B00521" w:rsidRDefault="00B00521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TM </w:t>
            </w:r>
            <w:r w:rsidR="00D31778">
              <w:rPr>
                <w:color w:val="000000"/>
                <w:sz w:val="20"/>
              </w:rPr>
              <w:t>October</w:t>
            </w:r>
            <w:r w:rsidR="00FE7FDA">
              <w:rPr>
                <w:color w:val="000000"/>
                <w:sz w:val="20"/>
              </w:rPr>
              <w:t xml:space="preserve"> 2020</w:t>
            </w:r>
          </w:p>
          <w:p w14:paraId="4C0AF2CB" w14:textId="2C08BF41" w:rsidR="003157DB" w:rsidRPr="00467564" w:rsidRDefault="00B00521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Complete Final Draft </w:t>
            </w:r>
            <w:r w:rsidR="00D31778">
              <w:rPr>
                <w:color w:val="000000"/>
                <w:sz w:val="20"/>
              </w:rPr>
              <w:t>4</w:t>
            </w:r>
            <w:r w:rsidR="0059057E">
              <w:rPr>
                <w:color w:val="000000"/>
                <w:sz w:val="20"/>
              </w:rPr>
              <w:t>Q</w:t>
            </w:r>
            <w:r w:rsidR="00940765">
              <w:rPr>
                <w:color w:val="000000"/>
                <w:sz w:val="20"/>
              </w:rPr>
              <w:t xml:space="preserve"> 2020</w:t>
            </w:r>
          </w:p>
        </w:tc>
        <w:tc>
          <w:tcPr>
            <w:tcW w:w="1385" w:type="dxa"/>
            <w:shd w:val="clear" w:color="auto" w:fill="auto"/>
          </w:tcPr>
          <w:p w14:paraId="5B112206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606060"/>
          </w:tcPr>
          <w:p w14:paraId="3B531693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5085E139" w14:textId="77777777" w:rsidTr="00940765">
        <w:tc>
          <w:tcPr>
            <w:tcW w:w="4885" w:type="dxa"/>
            <w:shd w:val="clear" w:color="auto" w:fill="auto"/>
          </w:tcPr>
          <w:p w14:paraId="765DA4D3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 xml:space="preserve">STEP 6: </w:t>
            </w:r>
            <w:r w:rsidRPr="00467564">
              <w:rPr>
                <w:sz w:val="20"/>
              </w:rPr>
              <w:t>Approval of draft by the Coordination Committee</w:t>
            </w:r>
          </w:p>
        </w:tc>
        <w:tc>
          <w:tcPr>
            <w:tcW w:w="1384" w:type="dxa"/>
            <w:shd w:val="clear" w:color="auto" w:fill="auto"/>
          </w:tcPr>
          <w:p w14:paraId="01893C73" w14:textId="77777777" w:rsidR="003157DB" w:rsidRPr="00467564" w:rsidRDefault="000F179E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9057E">
              <w:rPr>
                <w:color w:val="000000"/>
                <w:sz w:val="20"/>
              </w:rPr>
              <w:t xml:space="preserve">Q </w:t>
            </w:r>
            <w:r w:rsidR="00940765">
              <w:rPr>
                <w:color w:val="000000"/>
                <w:sz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14:paraId="08E0BCC1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606060"/>
          </w:tcPr>
          <w:p w14:paraId="30B5FBB3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7C8D113C" w14:textId="77777777" w:rsidTr="00940765">
        <w:tc>
          <w:tcPr>
            <w:tcW w:w="4885" w:type="dxa"/>
            <w:shd w:val="clear" w:color="auto" w:fill="auto"/>
          </w:tcPr>
          <w:p w14:paraId="3B1E2C13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 xml:space="preserve">STEP 7: </w:t>
            </w:r>
            <w:r w:rsidRPr="00467564">
              <w:rPr>
                <w:sz w:val="20"/>
              </w:rPr>
              <w:t xml:space="preserve">Approval by the </w:t>
            </w:r>
            <w:r w:rsidR="00A17C97" w:rsidRPr="00467564">
              <w:rPr>
                <w:sz w:val="20"/>
              </w:rPr>
              <w:t>relevant review</w:t>
            </w:r>
            <w:r w:rsidRPr="00467564">
              <w:rPr>
                <w:sz w:val="20"/>
              </w:rPr>
              <w:t xml:space="preserve"> Committees for submission to Member States for comments</w:t>
            </w:r>
          </w:p>
        </w:tc>
        <w:tc>
          <w:tcPr>
            <w:tcW w:w="1384" w:type="dxa"/>
            <w:shd w:val="clear" w:color="auto" w:fill="auto"/>
          </w:tcPr>
          <w:p w14:paraId="0F8DA754" w14:textId="1C100380" w:rsidR="003157DB" w:rsidRPr="00467564" w:rsidRDefault="0064085A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59057E">
              <w:rPr>
                <w:color w:val="000000"/>
                <w:sz w:val="20"/>
              </w:rPr>
              <w:t>Q</w:t>
            </w:r>
            <w:r w:rsidR="00F15C1D">
              <w:rPr>
                <w:color w:val="000000"/>
                <w:sz w:val="20"/>
              </w:rPr>
              <w:t xml:space="preserve"> </w:t>
            </w:r>
            <w:r w:rsidR="004F20A7">
              <w:rPr>
                <w:color w:val="000000"/>
                <w:sz w:val="20"/>
              </w:rPr>
              <w:t>202</w:t>
            </w:r>
            <w:r w:rsidR="000F179E">
              <w:rPr>
                <w:color w:val="000000"/>
                <w:sz w:val="20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14:paraId="4858ED80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606060"/>
          </w:tcPr>
          <w:p w14:paraId="169C12E1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17B71BEF" w14:textId="77777777" w:rsidTr="00940765">
        <w:tc>
          <w:tcPr>
            <w:tcW w:w="4885" w:type="dxa"/>
            <w:shd w:val="clear" w:color="auto" w:fill="auto"/>
          </w:tcPr>
          <w:p w14:paraId="4ADB2049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>STEP 8: Soliciting comments by Member States</w:t>
            </w:r>
          </w:p>
        </w:tc>
        <w:tc>
          <w:tcPr>
            <w:tcW w:w="1384" w:type="dxa"/>
            <w:shd w:val="clear" w:color="auto" w:fill="auto"/>
          </w:tcPr>
          <w:p w14:paraId="5372632A" w14:textId="1075D49D" w:rsidR="003157DB" w:rsidRPr="00467564" w:rsidRDefault="00F15C1D" w:rsidP="00823900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59057E">
              <w:rPr>
                <w:color w:val="000000"/>
                <w:sz w:val="20"/>
              </w:rPr>
              <w:t xml:space="preserve">Q </w:t>
            </w:r>
            <w:r w:rsidR="00940765">
              <w:rPr>
                <w:color w:val="000000"/>
                <w:sz w:val="20"/>
              </w:rPr>
              <w:t>202</w:t>
            </w:r>
            <w:r w:rsidR="000F179E">
              <w:rPr>
                <w:color w:val="000000"/>
                <w:sz w:val="20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14:paraId="66532982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606060"/>
          </w:tcPr>
          <w:p w14:paraId="1F6C459B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6DE31BB1" w14:textId="77777777" w:rsidTr="00940765">
        <w:tc>
          <w:tcPr>
            <w:tcW w:w="4885" w:type="dxa"/>
            <w:shd w:val="clear" w:color="auto" w:fill="auto"/>
          </w:tcPr>
          <w:p w14:paraId="66B76462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>STEP 9: Addressing comments by Member States</w:t>
            </w:r>
          </w:p>
        </w:tc>
        <w:tc>
          <w:tcPr>
            <w:tcW w:w="1384" w:type="dxa"/>
            <w:shd w:val="clear" w:color="auto" w:fill="auto"/>
          </w:tcPr>
          <w:p w14:paraId="2492E529" w14:textId="77777777" w:rsidR="003157DB" w:rsidRPr="00467564" w:rsidRDefault="000F179E" w:rsidP="00823900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9057E">
              <w:rPr>
                <w:color w:val="000000"/>
                <w:sz w:val="20"/>
              </w:rPr>
              <w:t xml:space="preserve">Q </w:t>
            </w:r>
            <w:r w:rsidR="00940765">
              <w:rPr>
                <w:color w:val="000000"/>
                <w:sz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14:paraId="326E1C67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606060"/>
          </w:tcPr>
          <w:p w14:paraId="45447256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799B808E" w14:textId="77777777" w:rsidTr="00940765">
        <w:tc>
          <w:tcPr>
            <w:tcW w:w="4885" w:type="dxa"/>
            <w:shd w:val="clear" w:color="auto" w:fill="auto"/>
          </w:tcPr>
          <w:p w14:paraId="3CAA35F5" w14:textId="77777777" w:rsidR="003157DB" w:rsidRDefault="003157DB" w:rsidP="001F54DD">
            <w:pPr>
              <w:pStyle w:val="BodyText"/>
              <w:spacing w:after="0" w:line="220" w:lineRule="atLeast"/>
              <w:jc w:val="left"/>
              <w:rPr>
                <w:sz w:val="20"/>
              </w:rPr>
            </w:pPr>
            <w:r w:rsidRPr="00467564">
              <w:rPr>
                <w:color w:val="000000"/>
                <w:sz w:val="20"/>
              </w:rPr>
              <w:t xml:space="preserve">STEP 10: </w:t>
            </w:r>
            <w:r w:rsidRPr="00467564">
              <w:rPr>
                <w:sz w:val="20"/>
              </w:rPr>
              <w:t>Approval of the revised draft by the Coordination Committee</w:t>
            </w:r>
          </w:p>
          <w:p w14:paraId="68E4DE21" w14:textId="77777777" w:rsidR="00B00521" w:rsidRPr="00467564" w:rsidRDefault="00B00521" w:rsidP="001F54DD">
            <w:pPr>
              <w:pStyle w:val="BodyText"/>
              <w:spacing w:after="0" w:line="220" w:lineRule="atLeast"/>
              <w:jc w:val="left"/>
              <w:rPr>
                <w:sz w:val="20"/>
              </w:rPr>
            </w:pPr>
            <w:r w:rsidRPr="00B00521">
              <w:rPr>
                <w:sz w:val="20"/>
              </w:rPr>
              <w:t>Review in NSOC-SGDS (Technical Editorial review)</w:t>
            </w:r>
          </w:p>
        </w:tc>
        <w:tc>
          <w:tcPr>
            <w:tcW w:w="1384" w:type="dxa"/>
            <w:shd w:val="clear" w:color="auto" w:fill="auto"/>
          </w:tcPr>
          <w:p w14:paraId="2F2A87EF" w14:textId="77777777" w:rsidR="003157DB" w:rsidRPr="00467564" w:rsidRDefault="000F179E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9057E">
              <w:rPr>
                <w:color w:val="000000"/>
                <w:sz w:val="20"/>
              </w:rPr>
              <w:t xml:space="preserve">Q </w:t>
            </w:r>
            <w:r w:rsidR="004F20A7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0DAD9D8A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606060"/>
          </w:tcPr>
          <w:p w14:paraId="58817612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4020A985" w14:textId="77777777" w:rsidTr="00940765">
        <w:tc>
          <w:tcPr>
            <w:tcW w:w="4885" w:type="dxa"/>
            <w:shd w:val="clear" w:color="auto" w:fill="auto"/>
          </w:tcPr>
          <w:p w14:paraId="5D9FB6A1" w14:textId="77777777" w:rsidR="003157DB" w:rsidRPr="00467564" w:rsidRDefault="003157DB" w:rsidP="00E8447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 xml:space="preserve">STEP 11: </w:t>
            </w:r>
            <w:r w:rsidRPr="00467564">
              <w:rPr>
                <w:sz w:val="20"/>
              </w:rPr>
              <w:t xml:space="preserve">Approval by the </w:t>
            </w:r>
            <w:r w:rsidR="00A17C97" w:rsidRPr="00467564">
              <w:rPr>
                <w:sz w:val="20"/>
              </w:rPr>
              <w:t>relevant review</w:t>
            </w:r>
            <w:r w:rsidRPr="00467564">
              <w:rPr>
                <w:sz w:val="20"/>
              </w:rPr>
              <w:t xml:space="preserve"> Committees</w:t>
            </w:r>
          </w:p>
        </w:tc>
        <w:tc>
          <w:tcPr>
            <w:tcW w:w="1384" w:type="dxa"/>
            <w:shd w:val="clear" w:color="auto" w:fill="auto"/>
          </w:tcPr>
          <w:p w14:paraId="532E1FD2" w14:textId="77777777" w:rsidR="003157DB" w:rsidRPr="00467564" w:rsidRDefault="000F179E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59057E">
              <w:rPr>
                <w:color w:val="000000"/>
                <w:sz w:val="20"/>
              </w:rPr>
              <w:t xml:space="preserve">Q </w:t>
            </w:r>
            <w:r w:rsidR="004F20A7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2B879342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606060"/>
          </w:tcPr>
          <w:p w14:paraId="0B2907E6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38621738" w14:textId="77777777" w:rsidTr="00940765">
        <w:tc>
          <w:tcPr>
            <w:tcW w:w="4885" w:type="dxa"/>
            <w:shd w:val="clear" w:color="auto" w:fill="auto"/>
          </w:tcPr>
          <w:p w14:paraId="31629126" w14:textId="77777777" w:rsidR="00F15C1D" w:rsidRDefault="003157DB" w:rsidP="007F7569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 xml:space="preserve">STEP 12: </w:t>
            </w:r>
          </w:p>
          <w:p w14:paraId="4014182D" w14:textId="6C67DE70" w:rsidR="007F7569" w:rsidRDefault="00F15C1D" w:rsidP="007F7569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7F7569">
              <w:rPr>
                <w:color w:val="000000"/>
                <w:sz w:val="20"/>
              </w:rPr>
              <w:t xml:space="preserve">Submission to the CSS </w:t>
            </w:r>
          </w:p>
          <w:p w14:paraId="5DF04D6A" w14:textId="77777777" w:rsidR="007F7569" w:rsidRDefault="007F7569" w:rsidP="007F7569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Submission in parallel and approval by the Publications Committee</w:t>
            </w:r>
          </w:p>
          <w:p w14:paraId="66D6B7E4" w14:textId="77777777" w:rsidR="007F7569" w:rsidRDefault="007F7569" w:rsidP="007F7569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MTCD Editing</w:t>
            </w:r>
          </w:p>
          <w:p w14:paraId="5659A49B" w14:textId="77777777" w:rsidR="003157DB" w:rsidRPr="00467564" w:rsidRDefault="007F7569" w:rsidP="007F7569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- </w:t>
            </w:r>
            <w:r w:rsidRPr="001F54DD">
              <w:rPr>
                <w:sz w:val="20"/>
              </w:rPr>
              <w:t xml:space="preserve">Endorsement </w:t>
            </w:r>
            <w:r>
              <w:rPr>
                <w:sz w:val="20"/>
              </w:rPr>
              <w:t xml:space="preserve">of the edited version </w:t>
            </w:r>
            <w:r w:rsidRPr="001F54DD">
              <w:rPr>
                <w:sz w:val="20"/>
              </w:rPr>
              <w:t>by the CSS</w:t>
            </w:r>
          </w:p>
        </w:tc>
        <w:tc>
          <w:tcPr>
            <w:tcW w:w="1384" w:type="dxa"/>
            <w:shd w:val="clear" w:color="auto" w:fill="auto"/>
          </w:tcPr>
          <w:p w14:paraId="480CB509" w14:textId="136A4A0E" w:rsidR="003157DB" w:rsidRPr="00467564" w:rsidRDefault="00F15C1D" w:rsidP="00823900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B36317">
              <w:rPr>
                <w:color w:val="000000"/>
                <w:sz w:val="20"/>
              </w:rPr>
              <w:t xml:space="preserve">Q </w:t>
            </w:r>
            <w:r w:rsidR="004F20A7">
              <w:rPr>
                <w:color w:val="000000"/>
                <w:sz w:val="20"/>
              </w:rPr>
              <w:t>2022</w:t>
            </w:r>
          </w:p>
        </w:tc>
        <w:tc>
          <w:tcPr>
            <w:tcW w:w="1385" w:type="dxa"/>
            <w:shd w:val="clear" w:color="auto" w:fill="606060"/>
          </w:tcPr>
          <w:p w14:paraId="2A89F53C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606060"/>
          </w:tcPr>
          <w:p w14:paraId="0991C5E8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5983D96B" w14:textId="77777777" w:rsidTr="00940765">
        <w:tc>
          <w:tcPr>
            <w:tcW w:w="4885" w:type="dxa"/>
            <w:shd w:val="clear" w:color="auto" w:fill="auto"/>
          </w:tcPr>
          <w:p w14:paraId="26219331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>STEP 13: Establishment by the Publications Committee and/or Board of Governors (for SF and SR only))</w:t>
            </w:r>
          </w:p>
        </w:tc>
        <w:tc>
          <w:tcPr>
            <w:tcW w:w="1384" w:type="dxa"/>
            <w:shd w:val="clear" w:color="auto" w:fill="auto"/>
          </w:tcPr>
          <w:p w14:paraId="71187C17" w14:textId="31770F0E" w:rsidR="003157DB" w:rsidRPr="00467564" w:rsidRDefault="00F15C1D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1385" w:type="dxa"/>
            <w:shd w:val="clear" w:color="auto" w:fill="auto"/>
          </w:tcPr>
          <w:p w14:paraId="535D6E86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4265E15F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3157DB" w:rsidRPr="00467564" w14:paraId="7523E2BE" w14:textId="77777777" w:rsidTr="00940765">
        <w:tc>
          <w:tcPr>
            <w:tcW w:w="4885" w:type="dxa"/>
            <w:shd w:val="clear" w:color="auto" w:fill="auto"/>
          </w:tcPr>
          <w:p w14:paraId="3238CAE5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67564">
              <w:rPr>
                <w:color w:val="000000"/>
                <w:sz w:val="20"/>
              </w:rPr>
              <w:t xml:space="preserve">STEP 14: </w:t>
            </w:r>
            <w:r w:rsidRPr="00467564">
              <w:rPr>
                <w:sz w:val="20"/>
              </w:rPr>
              <w:t>Target publication date</w:t>
            </w:r>
          </w:p>
        </w:tc>
        <w:tc>
          <w:tcPr>
            <w:tcW w:w="1384" w:type="dxa"/>
            <w:shd w:val="clear" w:color="auto" w:fill="auto"/>
          </w:tcPr>
          <w:p w14:paraId="47CC71AE" w14:textId="0D7F0BE5" w:rsidR="003157DB" w:rsidRPr="00467564" w:rsidRDefault="00F15C1D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4F20A7">
              <w:rPr>
                <w:color w:val="000000"/>
                <w:sz w:val="20"/>
              </w:rPr>
              <w:t>Q 202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14:paraId="09320CC9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60213610" w14:textId="77777777" w:rsidR="003157DB" w:rsidRPr="00467564" w:rsidRDefault="003157DB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</w:tbl>
    <w:p w14:paraId="7CBE988B" w14:textId="77777777" w:rsidR="00E0263C" w:rsidRPr="00940765" w:rsidRDefault="00AA2803" w:rsidP="00142442">
      <w:pPr>
        <w:pStyle w:val="BodyText"/>
        <w:spacing w:after="0" w:line="220" w:lineRule="atLeast"/>
        <w:ind w:left="238"/>
        <w:jc w:val="left"/>
        <w:rPr>
          <w:iCs/>
        </w:rPr>
      </w:pPr>
      <w:r>
        <w:rPr>
          <w:iCs/>
        </w:rPr>
        <w:t>*</w:t>
      </w:r>
    </w:p>
    <w:p w14:paraId="36EF00B6" w14:textId="77777777" w:rsidR="00B00521" w:rsidRDefault="00B00521" w:rsidP="00B00521">
      <w:pPr>
        <w:pStyle w:val="BodyText"/>
        <w:numPr>
          <w:ilvl w:val="0"/>
          <w:numId w:val="10"/>
        </w:numPr>
        <w:spacing w:after="0" w:line="220" w:lineRule="atLeast"/>
        <w:jc w:val="left"/>
        <w:rPr>
          <w:i/>
        </w:rPr>
      </w:pPr>
      <w:r>
        <w:rPr>
          <w:i/>
        </w:rPr>
        <w:t>Column A for Safety Fundamentals, Safety Requirements and Safety Guides.</w:t>
      </w:r>
    </w:p>
    <w:p w14:paraId="09FB1578" w14:textId="77777777" w:rsidR="00B00521" w:rsidRDefault="00B00521" w:rsidP="00B00521">
      <w:pPr>
        <w:pStyle w:val="BodyText"/>
        <w:numPr>
          <w:ilvl w:val="0"/>
          <w:numId w:val="10"/>
        </w:numPr>
        <w:spacing w:after="0" w:line="220" w:lineRule="atLeast"/>
        <w:jc w:val="left"/>
        <w:rPr>
          <w:i/>
        </w:rPr>
      </w:pPr>
      <w:r>
        <w:rPr>
          <w:i/>
        </w:rPr>
        <w:t>Column B for Nuclear Security Series publications</w:t>
      </w:r>
    </w:p>
    <w:p w14:paraId="00735DC9" w14:textId="77777777" w:rsidR="00B00521" w:rsidRPr="008A1A24" w:rsidRDefault="00B00521" w:rsidP="00B00521">
      <w:pPr>
        <w:pStyle w:val="BodyText"/>
        <w:numPr>
          <w:ilvl w:val="0"/>
          <w:numId w:val="10"/>
        </w:numPr>
        <w:spacing w:after="0" w:line="220" w:lineRule="atLeast"/>
        <w:jc w:val="left"/>
        <w:rPr>
          <w:i/>
        </w:rPr>
      </w:pPr>
      <w:r>
        <w:rPr>
          <w:i/>
        </w:rPr>
        <w:t>Column C for TECDOCs, safety reports and other publications</w:t>
      </w:r>
      <w:r w:rsidRPr="008A1A24">
        <w:rPr>
          <w:i/>
        </w:rPr>
        <w:t xml:space="preserve"> </w:t>
      </w:r>
    </w:p>
    <w:p w14:paraId="64E19C8B" w14:textId="77777777" w:rsidR="00142442" w:rsidRPr="00467564" w:rsidRDefault="00142442">
      <w:pPr>
        <w:pStyle w:val="BodyText"/>
      </w:pPr>
    </w:p>
    <w:p w14:paraId="3E3F6700" w14:textId="77777777" w:rsidR="00FA319C" w:rsidRDefault="00916868" w:rsidP="00FA319C">
      <w:pPr>
        <w:pStyle w:val="BodyText"/>
        <w:numPr>
          <w:ilvl w:val="0"/>
          <w:numId w:val="19"/>
        </w:numPr>
        <w:rPr>
          <w:b/>
          <w:bCs/>
        </w:rPr>
      </w:pPr>
      <w:r w:rsidRPr="00467564">
        <w:rPr>
          <w:b/>
          <w:bCs/>
        </w:rPr>
        <w:lastRenderedPageBreak/>
        <w:t>RESOURCES</w:t>
      </w:r>
    </w:p>
    <w:p w14:paraId="2E5BC674" w14:textId="201517F0" w:rsidR="00747E15" w:rsidRPr="00467564" w:rsidRDefault="00516F2B" w:rsidP="00747E15">
      <w:pPr>
        <w:pStyle w:val="BodyText"/>
        <w:ind w:left="360"/>
      </w:pPr>
      <w:r>
        <w:rPr>
          <w:sz w:val="20"/>
        </w:rPr>
        <w:t xml:space="preserve">20 staff-weeks </w:t>
      </w:r>
      <w:r w:rsidR="00940765">
        <w:rPr>
          <w:sz w:val="20"/>
        </w:rPr>
        <w:t xml:space="preserve">of professional staff plus 80 thousand Euros for </w:t>
      </w:r>
      <w:r w:rsidR="00C64C75">
        <w:rPr>
          <w:sz w:val="20"/>
        </w:rPr>
        <w:t xml:space="preserve">a </w:t>
      </w:r>
      <w:r w:rsidR="00940765">
        <w:rPr>
          <w:sz w:val="20"/>
        </w:rPr>
        <w:t>T</w:t>
      </w:r>
      <w:r w:rsidR="00C64C75">
        <w:rPr>
          <w:sz w:val="20"/>
        </w:rPr>
        <w:t xml:space="preserve">echnical </w:t>
      </w:r>
      <w:r w:rsidR="00940765">
        <w:rPr>
          <w:sz w:val="20"/>
        </w:rPr>
        <w:t>M</w:t>
      </w:r>
      <w:r w:rsidR="00C64C75">
        <w:rPr>
          <w:sz w:val="20"/>
        </w:rPr>
        <w:t>eeting</w:t>
      </w:r>
      <w:r w:rsidR="00940765">
        <w:rPr>
          <w:sz w:val="20"/>
        </w:rPr>
        <w:t xml:space="preserve"> and </w:t>
      </w:r>
      <w:r w:rsidR="00C64C75">
        <w:rPr>
          <w:sz w:val="20"/>
        </w:rPr>
        <w:t>consultancy meetings.</w:t>
      </w:r>
    </w:p>
    <w:sectPr w:rsidR="00747E15" w:rsidRPr="00467564" w:rsidSect="00CC70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31" w:right="1418" w:bottom="851" w:left="1418" w:header="539" w:footer="77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F3F7" w14:textId="77777777" w:rsidR="00642056" w:rsidRDefault="00642056">
      <w:r>
        <w:separator/>
      </w:r>
    </w:p>
  </w:endnote>
  <w:endnote w:type="continuationSeparator" w:id="0">
    <w:p w14:paraId="0D23E4B8" w14:textId="77777777" w:rsidR="00642056" w:rsidRDefault="0064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95D7" w14:textId="36A3B7F3" w:rsidR="00154551" w:rsidRDefault="00154551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06AB34AC" w14:textId="18840148" w:rsidR="00154551" w:rsidRDefault="00154551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20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DBA5F" w14:textId="77777777" w:rsidR="00154551" w:rsidRDefault="00154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9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A37EFD" w14:textId="77777777" w:rsidR="00154551" w:rsidRDefault="00154551">
    <w:pPr>
      <w:pStyle w:val="zyxClassification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A3F8" w14:textId="77777777" w:rsidR="00154551" w:rsidRDefault="002A0F95">
    <w:bookmarkStart w:id="6" w:name="DOC_bkmFileName"/>
    <w:r>
      <w:rPr>
        <w:sz w:val="16"/>
      </w:rPr>
      <w:t>NS-SPESS F DPP-V.11- 21 November</w:t>
    </w:r>
    <w:r w:rsidR="00154551">
      <w:rPr>
        <w:sz w:val="16"/>
      </w:rPr>
      <w:t xml:space="preserve"> 201</w:t>
    </w:r>
    <w:bookmarkEnd w:id="6"/>
    <w:r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9FDA" w14:textId="77777777" w:rsidR="00642056" w:rsidRDefault="00642056">
      <w:r>
        <w:t>___________________________________________________________________________</w:t>
      </w:r>
    </w:p>
  </w:footnote>
  <w:footnote w:type="continuationSeparator" w:id="0">
    <w:p w14:paraId="7A3FD9AA" w14:textId="77777777" w:rsidR="00642056" w:rsidRDefault="00642056">
      <w:r>
        <w:t>___________________________________________________________________________</w:t>
      </w:r>
    </w:p>
  </w:footnote>
  <w:footnote w:type="continuationNotice" w:id="1">
    <w:p w14:paraId="3205614F" w14:textId="77777777" w:rsidR="00642056" w:rsidRDefault="00642056"/>
  </w:footnote>
  <w:footnote w:id="2">
    <w:p w14:paraId="6B507B39" w14:textId="46D94777" w:rsidR="003C4108" w:rsidRPr="00F71697" w:rsidRDefault="003C41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25929">
        <w:rPr>
          <w:lang w:val="en-US"/>
        </w:rPr>
        <w:t xml:space="preserve">DS522 </w:t>
      </w:r>
      <w:r w:rsidR="00625929" w:rsidRPr="00625929">
        <w:rPr>
          <w:lang w:val="en-US"/>
        </w:rPr>
        <w:t>Evaluation of Seismic Safety for Existing Nuclear Installations</w:t>
      </w:r>
      <w:r w:rsidR="000D54C0">
        <w:rPr>
          <w:lang w:val="en-US"/>
        </w:rPr>
        <w:t xml:space="preserve"> </w:t>
      </w:r>
      <w:r w:rsidR="00407D32" w:rsidRPr="00407D32">
        <w:rPr>
          <w:lang w:val="en-US"/>
        </w:rPr>
        <w:t xml:space="preserve">is not addressing off-site </w:t>
      </w:r>
      <w:r w:rsidR="00C87B57" w:rsidRPr="00407D32">
        <w:rPr>
          <w:lang w:val="en-US"/>
        </w:rPr>
        <w:t xml:space="preserve">implications </w:t>
      </w:r>
      <w:r w:rsidR="00C87B57">
        <w:rPr>
          <w:lang w:val="en-US"/>
        </w:rPr>
        <w:t>and</w:t>
      </w:r>
      <w:r w:rsidR="00407D32">
        <w:rPr>
          <w:lang w:val="en-US"/>
        </w:rPr>
        <w:t xml:space="preserve"> </w:t>
      </w:r>
      <w:r w:rsidR="000D54C0">
        <w:rPr>
          <w:lang w:val="en-US"/>
        </w:rPr>
        <w:t>ha</w:t>
      </w:r>
      <w:r w:rsidR="00C87B57">
        <w:rPr>
          <w:lang w:val="en-US"/>
        </w:rPr>
        <w:t>s</w:t>
      </w:r>
      <w:r w:rsidR="000D54C0">
        <w:rPr>
          <w:lang w:val="en-US"/>
        </w:rPr>
        <w:t xml:space="preserve"> no </w:t>
      </w:r>
      <w:r w:rsidR="0061622E">
        <w:rPr>
          <w:lang w:val="en-US"/>
        </w:rPr>
        <w:t xml:space="preserve">interface with </w:t>
      </w:r>
      <w:r w:rsidR="00146562">
        <w:rPr>
          <w:lang w:val="en-US"/>
        </w:rPr>
        <w:t>documents related to Emergency Preparedness</w:t>
      </w:r>
      <w:r w:rsidR="006B0CCD">
        <w:rPr>
          <w:lang w:val="en-US"/>
        </w:rPr>
        <w:t xml:space="preserve"> </w:t>
      </w:r>
      <w:r w:rsidR="009F3256">
        <w:rPr>
          <w:lang w:val="en-US"/>
        </w:rPr>
        <w:t>a</w:t>
      </w:r>
      <w:r w:rsidR="00C87B57">
        <w:rPr>
          <w:lang w:val="en-US"/>
        </w:rPr>
        <w:t>nd Response</w:t>
      </w:r>
      <w:r w:rsidR="006B0CCD">
        <w:rPr>
          <w:lang w:val="en-US"/>
        </w:rPr>
        <w:t>.</w:t>
      </w:r>
      <w:r w:rsidR="00146562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5527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204313" w14:textId="77777777" w:rsidR="00154551" w:rsidRDefault="0015455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9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BA15CD" w14:textId="77777777" w:rsidR="00154551" w:rsidRDefault="00154551">
    <w:pPr>
      <w:pStyle w:val="zyxClassification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4762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221174" w14:textId="77777777" w:rsidR="00154551" w:rsidRDefault="0015455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9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044CF5" w14:textId="77777777" w:rsidR="00154551" w:rsidRDefault="00154551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7293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EFD9E4" w14:textId="77777777" w:rsidR="00154551" w:rsidRDefault="0015455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86E56E" w14:textId="77777777" w:rsidR="00154551" w:rsidRDefault="00154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B4"/>
    <w:multiLevelType w:val="hybridMultilevel"/>
    <w:tmpl w:val="5208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5DC4774"/>
    <w:multiLevelType w:val="hybridMultilevel"/>
    <w:tmpl w:val="BDFAB98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CFF"/>
    <w:multiLevelType w:val="hybridMultilevel"/>
    <w:tmpl w:val="9A18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EBD"/>
    <w:multiLevelType w:val="hybridMultilevel"/>
    <w:tmpl w:val="0E960574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3F57774"/>
    <w:multiLevelType w:val="hybridMultilevel"/>
    <w:tmpl w:val="898669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FD7655"/>
    <w:multiLevelType w:val="hybridMultilevel"/>
    <w:tmpl w:val="5CDCC32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F1F5762"/>
    <w:multiLevelType w:val="hybridMultilevel"/>
    <w:tmpl w:val="166CA8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83"/>
    <w:multiLevelType w:val="hybridMultilevel"/>
    <w:tmpl w:val="B66E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775B6"/>
    <w:multiLevelType w:val="hybridMultilevel"/>
    <w:tmpl w:val="9E7ED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B4460"/>
    <w:multiLevelType w:val="hybridMultilevel"/>
    <w:tmpl w:val="B686D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E727D"/>
    <w:multiLevelType w:val="hybridMultilevel"/>
    <w:tmpl w:val="C14C0872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428C8"/>
    <w:multiLevelType w:val="hybridMultilevel"/>
    <w:tmpl w:val="76E012E2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 w15:restartNumberingAfterBreak="0">
    <w:nsid w:val="6DB342F0"/>
    <w:multiLevelType w:val="hybridMultilevel"/>
    <w:tmpl w:val="836EA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037613"/>
    <w:multiLevelType w:val="hybridMultilevel"/>
    <w:tmpl w:val="16F88F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261FF"/>
    <w:multiLevelType w:val="hybridMultilevel"/>
    <w:tmpl w:val="5BE0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8"/>
  </w:num>
  <w:num w:numId="5">
    <w:abstractNumId w:val="18"/>
  </w:num>
  <w:num w:numId="6">
    <w:abstractNumId w:val="6"/>
  </w:num>
  <w:num w:numId="7">
    <w:abstractNumId w:val="13"/>
  </w:num>
  <w:num w:numId="8">
    <w:abstractNumId w:val="19"/>
  </w:num>
  <w:num w:numId="9">
    <w:abstractNumId w:val="1"/>
  </w:num>
  <w:num w:numId="10">
    <w:abstractNumId w:val="8"/>
  </w:num>
  <w:num w:numId="11">
    <w:abstractNumId w:val="5"/>
  </w:num>
  <w:num w:numId="12">
    <w:abstractNumId w:val="16"/>
  </w:num>
  <w:num w:numId="13">
    <w:abstractNumId w:val="3"/>
  </w:num>
  <w:num w:numId="14">
    <w:abstractNumId w:val="15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7"/>
  </w:num>
  <w:num w:numId="20">
    <w:abstractNumId w:val="17"/>
  </w:num>
  <w:num w:numId="21">
    <w:abstractNumId w:val="21"/>
  </w:num>
  <w:num w:numId="22">
    <w:abstractNumId w:val="9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87477"/>
    <w:rsid w:val="00002427"/>
    <w:rsid w:val="00004D11"/>
    <w:rsid w:val="00014BE6"/>
    <w:rsid w:val="00016ABE"/>
    <w:rsid w:val="00022F6A"/>
    <w:rsid w:val="00025F4D"/>
    <w:rsid w:val="0004737A"/>
    <w:rsid w:val="0005300A"/>
    <w:rsid w:val="00054DD3"/>
    <w:rsid w:val="00062317"/>
    <w:rsid w:val="00073281"/>
    <w:rsid w:val="00073BE4"/>
    <w:rsid w:val="00080DCC"/>
    <w:rsid w:val="0008169A"/>
    <w:rsid w:val="000859FD"/>
    <w:rsid w:val="00087477"/>
    <w:rsid w:val="00087759"/>
    <w:rsid w:val="00092EC6"/>
    <w:rsid w:val="000A5A58"/>
    <w:rsid w:val="000A7049"/>
    <w:rsid w:val="000A7823"/>
    <w:rsid w:val="000B174E"/>
    <w:rsid w:val="000B2F8C"/>
    <w:rsid w:val="000C4F5C"/>
    <w:rsid w:val="000C55D9"/>
    <w:rsid w:val="000C5985"/>
    <w:rsid w:val="000C7F31"/>
    <w:rsid w:val="000D1186"/>
    <w:rsid w:val="000D26AA"/>
    <w:rsid w:val="000D54C0"/>
    <w:rsid w:val="000E12EF"/>
    <w:rsid w:val="000F179E"/>
    <w:rsid w:val="00102677"/>
    <w:rsid w:val="00103D03"/>
    <w:rsid w:val="001151BB"/>
    <w:rsid w:val="00120880"/>
    <w:rsid w:val="001230D3"/>
    <w:rsid w:val="00134B16"/>
    <w:rsid w:val="00134B78"/>
    <w:rsid w:val="0013654B"/>
    <w:rsid w:val="00137008"/>
    <w:rsid w:val="00142442"/>
    <w:rsid w:val="00146562"/>
    <w:rsid w:val="00147627"/>
    <w:rsid w:val="00154551"/>
    <w:rsid w:val="00160BCB"/>
    <w:rsid w:val="001635EC"/>
    <w:rsid w:val="0017112A"/>
    <w:rsid w:val="0017772C"/>
    <w:rsid w:val="0018323E"/>
    <w:rsid w:val="0018551C"/>
    <w:rsid w:val="0018569B"/>
    <w:rsid w:val="00191AE9"/>
    <w:rsid w:val="00196971"/>
    <w:rsid w:val="001A23A2"/>
    <w:rsid w:val="001A263F"/>
    <w:rsid w:val="001B6017"/>
    <w:rsid w:val="001B678A"/>
    <w:rsid w:val="001B6CF9"/>
    <w:rsid w:val="001C326D"/>
    <w:rsid w:val="001C582A"/>
    <w:rsid w:val="001D2F28"/>
    <w:rsid w:val="001D7E88"/>
    <w:rsid w:val="001E72B9"/>
    <w:rsid w:val="001E762C"/>
    <w:rsid w:val="001F11B2"/>
    <w:rsid w:val="001F1244"/>
    <w:rsid w:val="001F54DD"/>
    <w:rsid w:val="0020288F"/>
    <w:rsid w:val="00203C79"/>
    <w:rsid w:val="002076C4"/>
    <w:rsid w:val="00211860"/>
    <w:rsid w:val="00212133"/>
    <w:rsid w:val="00214023"/>
    <w:rsid w:val="00217B26"/>
    <w:rsid w:val="002220EC"/>
    <w:rsid w:val="00226952"/>
    <w:rsid w:val="00231FE3"/>
    <w:rsid w:val="00234AD6"/>
    <w:rsid w:val="002536A5"/>
    <w:rsid w:val="00256D3B"/>
    <w:rsid w:val="00265210"/>
    <w:rsid w:val="00267DCE"/>
    <w:rsid w:val="00277F3F"/>
    <w:rsid w:val="002842EF"/>
    <w:rsid w:val="002925AB"/>
    <w:rsid w:val="00295BF2"/>
    <w:rsid w:val="0029660D"/>
    <w:rsid w:val="002A0F95"/>
    <w:rsid w:val="002A5BB9"/>
    <w:rsid w:val="002B1193"/>
    <w:rsid w:val="002B2A51"/>
    <w:rsid w:val="002C2398"/>
    <w:rsid w:val="002C576A"/>
    <w:rsid w:val="002C79A6"/>
    <w:rsid w:val="002D25D8"/>
    <w:rsid w:val="002D6F36"/>
    <w:rsid w:val="002E18BB"/>
    <w:rsid w:val="002F2B34"/>
    <w:rsid w:val="002F388C"/>
    <w:rsid w:val="002F4069"/>
    <w:rsid w:val="002F4A81"/>
    <w:rsid w:val="002F4C1D"/>
    <w:rsid w:val="00304886"/>
    <w:rsid w:val="00304C33"/>
    <w:rsid w:val="003125CB"/>
    <w:rsid w:val="003157DB"/>
    <w:rsid w:val="003160D5"/>
    <w:rsid w:val="0033433F"/>
    <w:rsid w:val="00336CE2"/>
    <w:rsid w:val="00343F12"/>
    <w:rsid w:val="003446AE"/>
    <w:rsid w:val="00344D17"/>
    <w:rsid w:val="00354210"/>
    <w:rsid w:val="00360607"/>
    <w:rsid w:val="003624B6"/>
    <w:rsid w:val="00365AFD"/>
    <w:rsid w:val="00372A32"/>
    <w:rsid w:val="003734DB"/>
    <w:rsid w:val="00375752"/>
    <w:rsid w:val="003771B1"/>
    <w:rsid w:val="0039184E"/>
    <w:rsid w:val="003919CB"/>
    <w:rsid w:val="00392C50"/>
    <w:rsid w:val="0039477E"/>
    <w:rsid w:val="00395201"/>
    <w:rsid w:val="003A69CD"/>
    <w:rsid w:val="003B0666"/>
    <w:rsid w:val="003B2D6C"/>
    <w:rsid w:val="003B61A4"/>
    <w:rsid w:val="003B690C"/>
    <w:rsid w:val="003C24C5"/>
    <w:rsid w:val="003C4108"/>
    <w:rsid w:val="003C633C"/>
    <w:rsid w:val="003C6B74"/>
    <w:rsid w:val="003D1F32"/>
    <w:rsid w:val="003D2F7B"/>
    <w:rsid w:val="003D521F"/>
    <w:rsid w:val="003E0E2C"/>
    <w:rsid w:val="003E6C0D"/>
    <w:rsid w:val="003F08E7"/>
    <w:rsid w:val="00401236"/>
    <w:rsid w:val="00402E50"/>
    <w:rsid w:val="0040447E"/>
    <w:rsid w:val="00407D32"/>
    <w:rsid w:val="00413655"/>
    <w:rsid w:val="0042198F"/>
    <w:rsid w:val="00427330"/>
    <w:rsid w:val="00431D7F"/>
    <w:rsid w:val="00432A67"/>
    <w:rsid w:val="0043372C"/>
    <w:rsid w:val="004412C9"/>
    <w:rsid w:val="00445B6E"/>
    <w:rsid w:val="00445D24"/>
    <w:rsid w:val="00447140"/>
    <w:rsid w:val="00456225"/>
    <w:rsid w:val="004615C3"/>
    <w:rsid w:val="00461EFC"/>
    <w:rsid w:val="004659CA"/>
    <w:rsid w:val="0046657C"/>
    <w:rsid w:val="00467564"/>
    <w:rsid w:val="004675BD"/>
    <w:rsid w:val="00470D7A"/>
    <w:rsid w:val="00472982"/>
    <w:rsid w:val="0047603F"/>
    <w:rsid w:val="00481A4D"/>
    <w:rsid w:val="004824D7"/>
    <w:rsid w:val="00492466"/>
    <w:rsid w:val="004B2BFE"/>
    <w:rsid w:val="004B5528"/>
    <w:rsid w:val="004B60EC"/>
    <w:rsid w:val="004C4FCE"/>
    <w:rsid w:val="004C5B06"/>
    <w:rsid w:val="004D2CE0"/>
    <w:rsid w:val="004D47E0"/>
    <w:rsid w:val="004E042C"/>
    <w:rsid w:val="004E206D"/>
    <w:rsid w:val="004E2478"/>
    <w:rsid w:val="004E48B7"/>
    <w:rsid w:val="004E532B"/>
    <w:rsid w:val="004F1106"/>
    <w:rsid w:val="004F20A7"/>
    <w:rsid w:val="004F37F2"/>
    <w:rsid w:val="00500472"/>
    <w:rsid w:val="00512E44"/>
    <w:rsid w:val="00514BF7"/>
    <w:rsid w:val="00516F2B"/>
    <w:rsid w:val="0052109B"/>
    <w:rsid w:val="00522FE1"/>
    <w:rsid w:val="00531A8D"/>
    <w:rsid w:val="00534198"/>
    <w:rsid w:val="00535570"/>
    <w:rsid w:val="00536586"/>
    <w:rsid w:val="00537926"/>
    <w:rsid w:val="0054198C"/>
    <w:rsid w:val="00545549"/>
    <w:rsid w:val="00546C57"/>
    <w:rsid w:val="00551450"/>
    <w:rsid w:val="00552E3C"/>
    <w:rsid w:val="0055418D"/>
    <w:rsid w:val="005543C4"/>
    <w:rsid w:val="0056221E"/>
    <w:rsid w:val="0056320F"/>
    <w:rsid w:val="0056418C"/>
    <w:rsid w:val="0056484E"/>
    <w:rsid w:val="00567265"/>
    <w:rsid w:val="00572245"/>
    <w:rsid w:val="00572BF4"/>
    <w:rsid w:val="00574335"/>
    <w:rsid w:val="00574B05"/>
    <w:rsid w:val="005753FE"/>
    <w:rsid w:val="005773BF"/>
    <w:rsid w:val="00581015"/>
    <w:rsid w:val="0058327D"/>
    <w:rsid w:val="00584094"/>
    <w:rsid w:val="0058724F"/>
    <w:rsid w:val="0059057E"/>
    <w:rsid w:val="00596F97"/>
    <w:rsid w:val="005A0467"/>
    <w:rsid w:val="005A4FD3"/>
    <w:rsid w:val="005A70D3"/>
    <w:rsid w:val="005B4BC1"/>
    <w:rsid w:val="005C1550"/>
    <w:rsid w:val="005C48FC"/>
    <w:rsid w:val="005D3602"/>
    <w:rsid w:val="005E529F"/>
    <w:rsid w:val="005F0926"/>
    <w:rsid w:val="005F4382"/>
    <w:rsid w:val="006023A6"/>
    <w:rsid w:val="0060788F"/>
    <w:rsid w:val="00611759"/>
    <w:rsid w:val="00612241"/>
    <w:rsid w:val="0061622E"/>
    <w:rsid w:val="00622838"/>
    <w:rsid w:val="00625929"/>
    <w:rsid w:val="00625D7D"/>
    <w:rsid w:val="006350D0"/>
    <w:rsid w:val="00636631"/>
    <w:rsid w:val="0064085A"/>
    <w:rsid w:val="00642056"/>
    <w:rsid w:val="006421A9"/>
    <w:rsid w:val="00642D93"/>
    <w:rsid w:val="00645FA4"/>
    <w:rsid w:val="00651FDF"/>
    <w:rsid w:val="00653D0A"/>
    <w:rsid w:val="006563CA"/>
    <w:rsid w:val="00660D85"/>
    <w:rsid w:val="00665AFF"/>
    <w:rsid w:val="00684692"/>
    <w:rsid w:val="00685763"/>
    <w:rsid w:val="00685D17"/>
    <w:rsid w:val="00696D47"/>
    <w:rsid w:val="006A079B"/>
    <w:rsid w:val="006A1372"/>
    <w:rsid w:val="006A6D1A"/>
    <w:rsid w:val="006B0CCD"/>
    <w:rsid w:val="006B1B05"/>
    <w:rsid w:val="006C2203"/>
    <w:rsid w:val="006D00C9"/>
    <w:rsid w:val="006D0175"/>
    <w:rsid w:val="006D488C"/>
    <w:rsid w:val="006D5019"/>
    <w:rsid w:val="006E4D23"/>
    <w:rsid w:val="006E633A"/>
    <w:rsid w:val="006F0735"/>
    <w:rsid w:val="006F2AA4"/>
    <w:rsid w:val="006F54AB"/>
    <w:rsid w:val="0070077D"/>
    <w:rsid w:val="00702F05"/>
    <w:rsid w:val="007046A0"/>
    <w:rsid w:val="0071180C"/>
    <w:rsid w:val="00711E50"/>
    <w:rsid w:val="00720D98"/>
    <w:rsid w:val="00727055"/>
    <w:rsid w:val="00727F28"/>
    <w:rsid w:val="00730477"/>
    <w:rsid w:val="00747E15"/>
    <w:rsid w:val="0075153E"/>
    <w:rsid w:val="007626FF"/>
    <w:rsid w:val="007657E3"/>
    <w:rsid w:val="00772CDE"/>
    <w:rsid w:val="00773925"/>
    <w:rsid w:val="0078010B"/>
    <w:rsid w:val="00781FAC"/>
    <w:rsid w:val="00784728"/>
    <w:rsid w:val="007906CF"/>
    <w:rsid w:val="0079297A"/>
    <w:rsid w:val="00794EEE"/>
    <w:rsid w:val="007957C3"/>
    <w:rsid w:val="007B4152"/>
    <w:rsid w:val="007C0567"/>
    <w:rsid w:val="007C11F6"/>
    <w:rsid w:val="007C4152"/>
    <w:rsid w:val="007C7149"/>
    <w:rsid w:val="007D1AE2"/>
    <w:rsid w:val="007D717D"/>
    <w:rsid w:val="007E33A7"/>
    <w:rsid w:val="007E60DC"/>
    <w:rsid w:val="007E79A9"/>
    <w:rsid w:val="007F29A1"/>
    <w:rsid w:val="007F3A70"/>
    <w:rsid w:val="007F671A"/>
    <w:rsid w:val="007F7569"/>
    <w:rsid w:val="0080071E"/>
    <w:rsid w:val="00801FB3"/>
    <w:rsid w:val="00811812"/>
    <w:rsid w:val="00823900"/>
    <w:rsid w:val="00827BF0"/>
    <w:rsid w:val="00827E12"/>
    <w:rsid w:val="00831416"/>
    <w:rsid w:val="008347F7"/>
    <w:rsid w:val="00844C28"/>
    <w:rsid w:val="0084540E"/>
    <w:rsid w:val="0084710D"/>
    <w:rsid w:val="00857D32"/>
    <w:rsid w:val="008638E8"/>
    <w:rsid w:val="00866E71"/>
    <w:rsid w:val="0088541A"/>
    <w:rsid w:val="00891C2A"/>
    <w:rsid w:val="00894039"/>
    <w:rsid w:val="008A1A24"/>
    <w:rsid w:val="008A4262"/>
    <w:rsid w:val="008A6378"/>
    <w:rsid w:val="008B23CF"/>
    <w:rsid w:val="008B3CFA"/>
    <w:rsid w:val="008B70EC"/>
    <w:rsid w:val="008C236D"/>
    <w:rsid w:val="008C5274"/>
    <w:rsid w:val="008D75FC"/>
    <w:rsid w:val="008E0448"/>
    <w:rsid w:val="008E3D66"/>
    <w:rsid w:val="008F26CF"/>
    <w:rsid w:val="00906679"/>
    <w:rsid w:val="00910E30"/>
    <w:rsid w:val="00915D83"/>
    <w:rsid w:val="00916868"/>
    <w:rsid w:val="00916CB2"/>
    <w:rsid w:val="00924CC9"/>
    <w:rsid w:val="00926ACE"/>
    <w:rsid w:val="00932750"/>
    <w:rsid w:val="00935608"/>
    <w:rsid w:val="00940765"/>
    <w:rsid w:val="00955AE8"/>
    <w:rsid w:val="009561A5"/>
    <w:rsid w:val="0095643D"/>
    <w:rsid w:val="0096206C"/>
    <w:rsid w:val="0097048C"/>
    <w:rsid w:val="009706EC"/>
    <w:rsid w:val="00980651"/>
    <w:rsid w:val="00982F64"/>
    <w:rsid w:val="0098350E"/>
    <w:rsid w:val="00983F36"/>
    <w:rsid w:val="00987AEE"/>
    <w:rsid w:val="00990109"/>
    <w:rsid w:val="00990CA1"/>
    <w:rsid w:val="009914A4"/>
    <w:rsid w:val="009973DA"/>
    <w:rsid w:val="009B0B2A"/>
    <w:rsid w:val="009B375D"/>
    <w:rsid w:val="009C534B"/>
    <w:rsid w:val="009D6189"/>
    <w:rsid w:val="009D642E"/>
    <w:rsid w:val="009E2BF7"/>
    <w:rsid w:val="009E46BA"/>
    <w:rsid w:val="009F2AA1"/>
    <w:rsid w:val="009F3256"/>
    <w:rsid w:val="009F35EB"/>
    <w:rsid w:val="009F5C7A"/>
    <w:rsid w:val="009F7457"/>
    <w:rsid w:val="009F7CE2"/>
    <w:rsid w:val="00A0380B"/>
    <w:rsid w:val="00A041DC"/>
    <w:rsid w:val="00A05779"/>
    <w:rsid w:val="00A07720"/>
    <w:rsid w:val="00A10079"/>
    <w:rsid w:val="00A11E63"/>
    <w:rsid w:val="00A16198"/>
    <w:rsid w:val="00A17C97"/>
    <w:rsid w:val="00A23706"/>
    <w:rsid w:val="00A23AB6"/>
    <w:rsid w:val="00A319D7"/>
    <w:rsid w:val="00A34AC1"/>
    <w:rsid w:val="00A37FD3"/>
    <w:rsid w:val="00A443EE"/>
    <w:rsid w:val="00A4513B"/>
    <w:rsid w:val="00A52476"/>
    <w:rsid w:val="00A54573"/>
    <w:rsid w:val="00A613C9"/>
    <w:rsid w:val="00A627DB"/>
    <w:rsid w:val="00A66122"/>
    <w:rsid w:val="00A6797D"/>
    <w:rsid w:val="00A71043"/>
    <w:rsid w:val="00A715CE"/>
    <w:rsid w:val="00A738A6"/>
    <w:rsid w:val="00A82034"/>
    <w:rsid w:val="00A8216D"/>
    <w:rsid w:val="00A86F15"/>
    <w:rsid w:val="00A96F2A"/>
    <w:rsid w:val="00AA12A4"/>
    <w:rsid w:val="00AA2803"/>
    <w:rsid w:val="00AA459C"/>
    <w:rsid w:val="00AA5A0C"/>
    <w:rsid w:val="00AC191A"/>
    <w:rsid w:val="00B00521"/>
    <w:rsid w:val="00B02256"/>
    <w:rsid w:val="00B052D3"/>
    <w:rsid w:val="00B0550E"/>
    <w:rsid w:val="00B06091"/>
    <w:rsid w:val="00B10680"/>
    <w:rsid w:val="00B11F2E"/>
    <w:rsid w:val="00B124D6"/>
    <w:rsid w:val="00B12D57"/>
    <w:rsid w:val="00B143BF"/>
    <w:rsid w:val="00B15088"/>
    <w:rsid w:val="00B174BA"/>
    <w:rsid w:val="00B2310E"/>
    <w:rsid w:val="00B2375C"/>
    <w:rsid w:val="00B24765"/>
    <w:rsid w:val="00B2689E"/>
    <w:rsid w:val="00B304D4"/>
    <w:rsid w:val="00B334F6"/>
    <w:rsid w:val="00B34B52"/>
    <w:rsid w:val="00B36317"/>
    <w:rsid w:val="00B4114D"/>
    <w:rsid w:val="00B45BDD"/>
    <w:rsid w:val="00B530A2"/>
    <w:rsid w:val="00B66AED"/>
    <w:rsid w:val="00B703FF"/>
    <w:rsid w:val="00B72F7D"/>
    <w:rsid w:val="00B74720"/>
    <w:rsid w:val="00B87F2F"/>
    <w:rsid w:val="00B93483"/>
    <w:rsid w:val="00BA5776"/>
    <w:rsid w:val="00BC3422"/>
    <w:rsid w:val="00BC426E"/>
    <w:rsid w:val="00BC5896"/>
    <w:rsid w:val="00BC6658"/>
    <w:rsid w:val="00BD02A1"/>
    <w:rsid w:val="00BD1E6A"/>
    <w:rsid w:val="00BE02E4"/>
    <w:rsid w:val="00BF68A6"/>
    <w:rsid w:val="00C03FBC"/>
    <w:rsid w:val="00C06A73"/>
    <w:rsid w:val="00C31396"/>
    <w:rsid w:val="00C36DC9"/>
    <w:rsid w:val="00C41F3D"/>
    <w:rsid w:val="00C4219E"/>
    <w:rsid w:val="00C4446E"/>
    <w:rsid w:val="00C603EA"/>
    <w:rsid w:val="00C61E58"/>
    <w:rsid w:val="00C634F6"/>
    <w:rsid w:val="00C64741"/>
    <w:rsid w:val="00C64C75"/>
    <w:rsid w:val="00C710DB"/>
    <w:rsid w:val="00C7358B"/>
    <w:rsid w:val="00C860C8"/>
    <w:rsid w:val="00C87B57"/>
    <w:rsid w:val="00C9337E"/>
    <w:rsid w:val="00CA0CEB"/>
    <w:rsid w:val="00CA108B"/>
    <w:rsid w:val="00CA296D"/>
    <w:rsid w:val="00CA54EB"/>
    <w:rsid w:val="00CA6E19"/>
    <w:rsid w:val="00CA70D8"/>
    <w:rsid w:val="00CA78F8"/>
    <w:rsid w:val="00CB1B97"/>
    <w:rsid w:val="00CB3737"/>
    <w:rsid w:val="00CB504F"/>
    <w:rsid w:val="00CB555D"/>
    <w:rsid w:val="00CC7025"/>
    <w:rsid w:val="00CD3090"/>
    <w:rsid w:val="00CD4285"/>
    <w:rsid w:val="00CE0A72"/>
    <w:rsid w:val="00CE1BAC"/>
    <w:rsid w:val="00CE3582"/>
    <w:rsid w:val="00CE3CEF"/>
    <w:rsid w:val="00CE4B40"/>
    <w:rsid w:val="00CE5332"/>
    <w:rsid w:val="00CE6E01"/>
    <w:rsid w:val="00CE7AF9"/>
    <w:rsid w:val="00CE7CF0"/>
    <w:rsid w:val="00CE7F43"/>
    <w:rsid w:val="00CF12D4"/>
    <w:rsid w:val="00CF3B23"/>
    <w:rsid w:val="00CF6556"/>
    <w:rsid w:val="00D065F6"/>
    <w:rsid w:val="00D06802"/>
    <w:rsid w:val="00D07CE6"/>
    <w:rsid w:val="00D104B7"/>
    <w:rsid w:val="00D1308D"/>
    <w:rsid w:val="00D14988"/>
    <w:rsid w:val="00D14C6C"/>
    <w:rsid w:val="00D25318"/>
    <w:rsid w:val="00D31778"/>
    <w:rsid w:val="00D33E3D"/>
    <w:rsid w:val="00D34F6B"/>
    <w:rsid w:val="00D37D93"/>
    <w:rsid w:val="00D42808"/>
    <w:rsid w:val="00D43D89"/>
    <w:rsid w:val="00D56235"/>
    <w:rsid w:val="00D61FA9"/>
    <w:rsid w:val="00D64328"/>
    <w:rsid w:val="00D644CE"/>
    <w:rsid w:val="00D65452"/>
    <w:rsid w:val="00D65A5B"/>
    <w:rsid w:val="00D72074"/>
    <w:rsid w:val="00D81A62"/>
    <w:rsid w:val="00DA1FB9"/>
    <w:rsid w:val="00DA4690"/>
    <w:rsid w:val="00DB4C71"/>
    <w:rsid w:val="00DB6C5B"/>
    <w:rsid w:val="00DD036D"/>
    <w:rsid w:val="00DD0BA0"/>
    <w:rsid w:val="00DD3254"/>
    <w:rsid w:val="00DD3AE0"/>
    <w:rsid w:val="00DD69F9"/>
    <w:rsid w:val="00DD78AA"/>
    <w:rsid w:val="00DE2A51"/>
    <w:rsid w:val="00DE68FE"/>
    <w:rsid w:val="00DF0E38"/>
    <w:rsid w:val="00DF1503"/>
    <w:rsid w:val="00DF1C29"/>
    <w:rsid w:val="00DF4010"/>
    <w:rsid w:val="00E0263C"/>
    <w:rsid w:val="00E11E84"/>
    <w:rsid w:val="00E17936"/>
    <w:rsid w:val="00E23C8B"/>
    <w:rsid w:val="00E3140C"/>
    <w:rsid w:val="00E34CCD"/>
    <w:rsid w:val="00E41C8D"/>
    <w:rsid w:val="00E51D30"/>
    <w:rsid w:val="00E535CF"/>
    <w:rsid w:val="00E77246"/>
    <w:rsid w:val="00E77DDC"/>
    <w:rsid w:val="00E8447E"/>
    <w:rsid w:val="00E84E49"/>
    <w:rsid w:val="00E93774"/>
    <w:rsid w:val="00EA19E9"/>
    <w:rsid w:val="00EA22E2"/>
    <w:rsid w:val="00EA2AC0"/>
    <w:rsid w:val="00EA4BB1"/>
    <w:rsid w:val="00EB3065"/>
    <w:rsid w:val="00EC707E"/>
    <w:rsid w:val="00EC74EE"/>
    <w:rsid w:val="00ED0156"/>
    <w:rsid w:val="00ED3F76"/>
    <w:rsid w:val="00ED54B4"/>
    <w:rsid w:val="00ED5D55"/>
    <w:rsid w:val="00ED6511"/>
    <w:rsid w:val="00ED7656"/>
    <w:rsid w:val="00EE166D"/>
    <w:rsid w:val="00EF057C"/>
    <w:rsid w:val="00EF26E8"/>
    <w:rsid w:val="00F0230E"/>
    <w:rsid w:val="00F042CA"/>
    <w:rsid w:val="00F06CFB"/>
    <w:rsid w:val="00F113FC"/>
    <w:rsid w:val="00F12523"/>
    <w:rsid w:val="00F14450"/>
    <w:rsid w:val="00F14829"/>
    <w:rsid w:val="00F15C1D"/>
    <w:rsid w:val="00F265EF"/>
    <w:rsid w:val="00F266F1"/>
    <w:rsid w:val="00F26B92"/>
    <w:rsid w:val="00F365B6"/>
    <w:rsid w:val="00F40D9C"/>
    <w:rsid w:val="00F43E4F"/>
    <w:rsid w:val="00F44BB2"/>
    <w:rsid w:val="00F4591A"/>
    <w:rsid w:val="00F46F59"/>
    <w:rsid w:val="00F52FFA"/>
    <w:rsid w:val="00F54AA9"/>
    <w:rsid w:val="00F555A7"/>
    <w:rsid w:val="00F56635"/>
    <w:rsid w:val="00F61856"/>
    <w:rsid w:val="00F63C6E"/>
    <w:rsid w:val="00F71697"/>
    <w:rsid w:val="00F76A76"/>
    <w:rsid w:val="00F80C69"/>
    <w:rsid w:val="00F82368"/>
    <w:rsid w:val="00F82669"/>
    <w:rsid w:val="00F834CE"/>
    <w:rsid w:val="00F86E94"/>
    <w:rsid w:val="00F942E6"/>
    <w:rsid w:val="00F95018"/>
    <w:rsid w:val="00FA08E4"/>
    <w:rsid w:val="00FA1265"/>
    <w:rsid w:val="00FA1CCF"/>
    <w:rsid w:val="00FA319C"/>
    <w:rsid w:val="00FA3A41"/>
    <w:rsid w:val="00FA5410"/>
    <w:rsid w:val="00FA6151"/>
    <w:rsid w:val="00FA7159"/>
    <w:rsid w:val="00FB259E"/>
    <w:rsid w:val="00FB41FE"/>
    <w:rsid w:val="00FB564B"/>
    <w:rsid w:val="00FB6386"/>
    <w:rsid w:val="00FC5589"/>
    <w:rsid w:val="00FC6C8A"/>
    <w:rsid w:val="00FD0869"/>
    <w:rsid w:val="00FD138E"/>
    <w:rsid w:val="00FD1AA4"/>
    <w:rsid w:val="00FD764A"/>
    <w:rsid w:val="00FD7900"/>
    <w:rsid w:val="00FE0022"/>
    <w:rsid w:val="00FE260D"/>
    <w:rsid w:val="00FE712A"/>
    <w:rsid w:val="00FE7FDA"/>
    <w:rsid w:val="00FF22BE"/>
    <w:rsid w:val="00FF4824"/>
    <w:rsid w:val="00FF538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A1231"/>
  <w15:docId w15:val="{826076D7-C830-451A-A386-70EFE4D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442"/>
    <w:rPr>
      <w:sz w:val="24"/>
      <w:szCs w:val="24"/>
      <w:lang w:val="en-US"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rPr>
      <w:sz w:val="2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link w:val="HeaderChar"/>
    <w:uiPriority w:val="9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BalloonText">
    <w:name w:val="Balloon Text"/>
    <w:basedOn w:val="Normal"/>
    <w:semiHidden/>
    <w:rsid w:val="00481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A4690"/>
  </w:style>
  <w:style w:type="character" w:customStyle="1" w:styleId="BodyTextChar">
    <w:name w:val="Body Text Char"/>
    <w:link w:val="BodyText"/>
    <w:rsid w:val="00212133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43372C"/>
    <w:pPr>
      <w:ind w:left="720"/>
      <w:contextualSpacing/>
    </w:pPr>
  </w:style>
  <w:style w:type="character" w:styleId="CommentReference">
    <w:name w:val="annotation reference"/>
    <w:basedOn w:val="DefaultParagraphFont"/>
    <w:rsid w:val="00935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56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5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608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319C"/>
    <w:rPr>
      <w:sz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319C"/>
    <w:rPr>
      <w:sz w:val="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NS%20-%20Dept\New%20DPP%20Template%20V9%20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DF96F8561F8458009506135AE9E20" ma:contentTypeVersion="8" ma:contentTypeDescription="Create a new document." ma:contentTypeScope="" ma:versionID="7c00ccb5b7513b85f14acb902300a23c">
  <xsd:schema xmlns:xsd="http://www.w3.org/2001/XMLSchema" xmlns:xs="http://www.w3.org/2001/XMLSchema" xmlns:p="http://schemas.microsoft.com/office/2006/metadata/properties" xmlns:ns3="96315bda-9932-40c8-b94f-f678d7c1bfd9" targetNamespace="http://schemas.microsoft.com/office/2006/metadata/properties" ma:root="true" ma:fieldsID="dd2b1cdfec7fee966d92325ab6e8b065" ns3:_="">
    <xsd:import namespace="96315bda-9932-40c8-b94f-f678d7c1b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5bda-9932-40c8-b94f-f678d7c1b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9149-FC60-4CE0-A7DB-F9C1165E7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5bda-9932-40c8-b94f-f678d7c1b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E0C00-DB0C-4184-B213-DDCAB5360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1A2D7-9DEA-418A-862A-3C855A77B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36C241-F08A-454C-9A05-02523AF2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DPP Template V9 clean.dotx</Template>
  <TotalTime>0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DELATTRE, Dominique Jules</dc:creator>
  <cp:lastModifiedBy>COMAN, Ovidiu</cp:lastModifiedBy>
  <cp:revision>3</cp:revision>
  <cp:lastPrinted>2019-05-30T14:15:00Z</cp:lastPrinted>
  <dcterms:created xsi:type="dcterms:W3CDTF">2019-10-02T11:45:00Z</dcterms:created>
  <dcterms:modified xsi:type="dcterms:W3CDTF">2019-10-02T11:46:00Z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0x010100331DF96F8561F8458009506135AE9E20</vt:lpwstr>
  </property>
</Properties>
</file>