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36D5" w14:textId="77777777" w:rsidR="00234AD6" w:rsidRPr="000121DD" w:rsidRDefault="00234AD6" w:rsidP="00DA4690">
      <w:pPr>
        <w:pStyle w:val="BodyText"/>
        <w:spacing w:after="0" w:line="240" w:lineRule="auto"/>
        <w:jc w:val="center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 xml:space="preserve">SPESS </w:t>
      </w:r>
      <w:r w:rsidR="00625D7D" w:rsidRPr="000121DD">
        <w:rPr>
          <w:b/>
          <w:bCs/>
          <w:sz w:val="23"/>
          <w:szCs w:val="23"/>
        </w:rPr>
        <w:t>F</w:t>
      </w:r>
    </w:p>
    <w:p w14:paraId="568E87EF" w14:textId="77777777" w:rsidR="00DA4690" w:rsidRPr="000121DD" w:rsidRDefault="00142442" w:rsidP="00DA4690">
      <w:pPr>
        <w:pStyle w:val="BodyText"/>
        <w:spacing w:after="0" w:line="240" w:lineRule="auto"/>
        <w:jc w:val="center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Document Preparation Profile (DPP)</w:t>
      </w:r>
    </w:p>
    <w:p w14:paraId="3501ADB9" w14:textId="6A3CE1BB" w:rsidR="00DA4690" w:rsidRPr="000121DD" w:rsidRDefault="00DA4690" w:rsidP="00DA4690">
      <w:pPr>
        <w:pStyle w:val="BodyText"/>
        <w:spacing w:after="0" w:line="240" w:lineRule="auto"/>
        <w:jc w:val="center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 xml:space="preserve">Version </w:t>
      </w:r>
      <w:r w:rsidR="00016905">
        <w:rPr>
          <w:b/>
          <w:bCs/>
          <w:sz w:val="23"/>
          <w:szCs w:val="23"/>
        </w:rPr>
        <w:t>2</w:t>
      </w:r>
      <w:r w:rsidRPr="000121DD">
        <w:rPr>
          <w:b/>
          <w:bCs/>
          <w:sz w:val="23"/>
          <w:szCs w:val="23"/>
        </w:rPr>
        <w:t xml:space="preserve"> dated </w:t>
      </w:r>
      <w:r w:rsidR="00016905">
        <w:rPr>
          <w:b/>
          <w:bCs/>
          <w:sz w:val="23"/>
          <w:szCs w:val="23"/>
        </w:rPr>
        <w:t>30</w:t>
      </w:r>
      <w:r w:rsidR="00D64FBD" w:rsidRPr="000121DD">
        <w:rPr>
          <w:b/>
          <w:bCs/>
          <w:sz w:val="23"/>
          <w:szCs w:val="23"/>
        </w:rPr>
        <w:t>-</w:t>
      </w:r>
      <w:r w:rsidR="00016905">
        <w:rPr>
          <w:b/>
          <w:bCs/>
          <w:sz w:val="23"/>
          <w:szCs w:val="23"/>
        </w:rPr>
        <w:t>June</w:t>
      </w:r>
      <w:bookmarkStart w:id="0" w:name="_GoBack"/>
      <w:bookmarkEnd w:id="0"/>
      <w:r w:rsidR="00D64FBD" w:rsidRPr="000121DD">
        <w:rPr>
          <w:b/>
          <w:bCs/>
          <w:sz w:val="23"/>
          <w:szCs w:val="23"/>
        </w:rPr>
        <w:t>-2019</w:t>
      </w:r>
    </w:p>
    <w:p w14:paraId="1C725A24" w14:textId="77777777" w:rsidR="00916868" w:rsidRPr="000121DD" w:rsidRDefault="00916868" w:rsidP="00142442">
      <w:pPr>
        <w:pStyle w:val="BodyText"/>
        <w:jc w:val="center"/>
        <w:rPr>
          <w:b/>
          <w:bCs/>
          <w:sz w:val="23"/>
          <w:szCs w:val="23"/>
        </w:rPr>
      </w:pPr>
    </w:p>
    <w:p w14:paraId="69F8D8F0" w14:textId="77777777" w:rsidR="00142442" w:rsidRPr="000121DD" w:rsidRDefault="00142442" w:rsidP="00142442">
      <w:pPr>
        <w:pStyle w:val="BodyText"/>
        <w:tabs>
          <w:tab w:val="left" w:pos="240"/>
        </w:tabs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1.</w:t>
      </w:r>
      <w:r w:rsidRPr="000121DD">
        <w:rPr>
          <w:b/>
          <w:bCs/>
          <w:sz w:val="23"/>
          <w:szCs w:val="23"/>
        </w:rPr>
        <w:tab/>
        <w:t>IDENTIFICATION</w:t>
      </w:r>
    </w:p>
    <w:p w14:paraId="0AA7626E" w14:textId="77777777" w:rsidR="00142442" w:rsidRPr="000121DD" w:rsidRDefault="00142442" w:rsidP="00D64FBD">
      <w:pPr>
        <w:pStyle w:val="BodyText"/>
        <w:ind w:left="2400" w:hanging="2160"/>
        <w:jc w:val="left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Document Category</w:t>
      </w:r>
      <w:r w:rsidR="00D64FBD" w:rsidRPr="000121DD">
        <w:rPr>
          <w:b/>
          <w:bCs/>
          <w:sz w:val="23"/>
          <w:szCs w:val="23"/>
        </w:rPr>
        <w:t>:</w:t>
      </w:r>
      <w:r w:rsidR="00D64FBD" w:rsidRPr="000121DD">
        <w:rPr>
          <w:b/>
          <w:bCs/>
          <w:sz w:val="23"/>
          <w:szCs w:val="23"/>
        </w:rPr>
        <w:tab/>
      </w:r>
      <w:r w:rsidR="002B345D">
        <w:rPr>
          <w:b/>
          <w:bCs/>
          <w:sz w:val="23"/>
          <w:szCs w:val="23"/>
        </w:rPr>
        <w:t xml:space="preserve">Specific </w:t>
      </w:r>
      <w:r w:rsidR="0039184E" w:rsidRPr="000121DD">
        <w:rPr>
          <w:b/>
          <w:bCs/>
          <w:sz w:val="23"/>
          <w:szCs w:val="23"/>
        </w:rPr>
        <w:t xml:space="preserve">Safety </w:t>
      </w:r>
      <w:r w:rsidRPr="000121DD">
        <w:rPr>
          <w:b/>
          <w:bCs/>
          <w:sz w:val="23"/>
          <w:szCs w:val="23"/>
        </w:rPr>
        <w:t>Guide</w:t>
      </w:r>
    </w:p>
    <w:p w14:paraId="5277D75F" w14:textId="77777777" w:rsidR="00142442" w:rsidRPr="000121DD" w:rsidRDefault="00142442" w:rsidP="00142442">
      <w:pPr>
        <w:pStyle w:val="BodyText"/>
        <w:ind w:left="2400" w:hanging="2160"/>
        <w:jc w:val="left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Working ID:</w:t>
      </w:r>
      <w:r w:rsidRPr="000121DD">
        <w:rPr>
          <w:b/>
          <w:bCs/>
          <w:sz w:val="23"/>
          <w:szCs w:val="23"/>
        </w:rPr>
        <w:tab/>
      </w:r>
      <w:r w:rsidR="007B41C4">
        <w:rPr>
          <w:b/>
          <w:bCs/>
          <w:sz w:val="23"/>
          <w:szCs w:val="23"/>
        </w:rPr>
        <w:t>DS523</w:t>
      </w:r>
    </w:p>
    <w:p w14:paraId="5A8E474E" w14:textId="77777777" w:rsidR="00142442" w:rsidRPr="000121DD" w:rsidRDefault="00142442" w:rsidP="00142442">
      <w:pPr>
        <w:pStyle w:val="BodyText"/>
        <w:ind w:left="2400" w:hanging="2160"/>
        <w:jc w:val="left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Proposed Title:</w:t>
      </w:r>
      <w:r w:rsidRPr="000121DD">
        <w:rPr>
          <w:b/>
          <w:bCs/>
          <w:sz w:val="23"/>
          <w:szCs w:val="23"/>
        </w:rPr>
        <w:tab/>
      </w:r>
      <w:bookmarkStart w:id="1" w:name="_Hlk4504276"/>
      <w:r w:rsidR="00D64FBD" w:rsidRPr="000121DD">
        <w:rPr>
          <w:b/>
          <w:bCs/>
          <w:sz w:val="23"/>
          <w:szCs w:val="23"/>
        </w:rPr>
        <w:t>Development and Application of Level 1 Probabilistic Safety Assessment for Nuclear Power Plants</w:t>
      </w:r>
      <w:bookmarkEnd w:id="1"/>
      <w:r w:rsidR="00D64FBD" w:rsidRPr="000121DD">
        <w:rPr>
          <w:b/>
          <w:bCs/>
          <w:sz w:val="23"/>
          <w:szCs w:val="23"/>
        </w:rPr>
        <w:t xml:space="preserve"> </w:t>
      </w:r>
    </w:p>
    <w:p w14:paraId="1F52557A" w14:textId="77777777" w:rsidR="00142442" w:rsidRPr="000121DD" w:rsidRDefault="00142442" w:rsidP="00142442">
      <w:pPr>
        <w:pStyle w:val="BodyText"/>
        <w:ind w:left="2400" w:hanging="2160"/>
        <w:jc w:val="left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Proposed Action:</w:t>
      </w:r>
      <w:r w:rsidRPr="000121DD">
        <w:rPr>
          <w:b/>
          <w:bCs/>
          <w:sz w:val="23"/>
          <w:szCs w:val="23"/>
        </w:rPr>
        <w:tab/>
      </w:r>
      <w:r w:rsidR="00BE1718" w:rsidRPr="000121DD">
        <w:rPr>
          <w:b/>
          <w:bCs/>
          <w:sz w:val="23"/>
          <w:szCs w:val="23"/>
        </w:rPr>
        <w:t>R</w:t>
      </w:r>
      <w:r w:rsidRPr="000121DD">
        <w:rPr>
          <w:b/>
          <w:bCs/>
          <w:sz w:val="23"/>
          <w:szCs w:val="23"/>
        </w:rPr>
        <w:t xml:space="preserve">evision of </w:t>
      </w:r>
      <w:r w:rsidR="00832A3A" w:rsidRPr="000121DD">
        <w:rPr>
          <w:b/>
          <w:bCs/>
          <w:sz w:val="23"/>
          <w:szCs w:val="23"/>
        </w:rPr>
        <w:t xml:space="preserve">IAEA Safety Guide </w:t>
      </w:r>
      <w:r w:rsidR="00BE1718" w:rsidRPr="000121DD">
        <w:rPr>
          <w:b/>
          <w:bCs/>
          <w:sz w:val="23"/>
          <w:szCs w:val="23"/>
        </w:rPr>
        <w:t xml:space="preserve">SSG-3 </w:t>
      </w:r>
      <w:r w:rsidR="00832A3A" w:rsidRPr="000121DD">
        <w:rPr>
          <w:b/>
          <w:bCs/>
          <w:sz w:val="23"/>
          <w:szCs w:val="23"/>
        </w:rPr>
        <w:t>“</w:t>
      </w:r>
      <w:r w:rsidR="00BE1718" w:rsidRPr="000121DD">
        <w:rPr>
          <w:b/>
          <w:bCs/>
          <w:sz w:val="23"/>
          <w:szCs w:val="23"/>
        </w:rPr>
        <w:t>Development and Application of Level 1 Probabilistic Safety Assessment for Nuclear Power Plants</w:t>
      </w:r>
      <w:r w:rsidR="00832A3A" w:rsidRPr="000121DD">
        <w:rPr>
          <w:b/>
          <w:bCs/>
          <w:sz w:val="23"/>
          <w:szCs w:val="23"/>
        </w:rPr>
        <w:t>”</w:t>
      </w:r>
      <w:r w:rsidR="00BE1718" w:rsidRPr="000121DD">
        <w:rPr>
          <w:b/>
          <w:bCs/>
          <w:sz w:val="23"/>
          <w:szCs w:val="23"/>
        </w:rPr>
        <w:t xml:space="preserve"> (2010) by Amendment</w:t>
      </w:r>
    </w:p>
    <w:p w14:paraId="34A5F081" w14:textId="51C90250" w:rsidR="00142442" w:rsidRPr="000121DD" w:rsidRDefault="0039184E" w:rsidP="00142442">
      <w:pPr>
        <w:pStyle w:val="BodyText"/>
        <w:tabs>
          <w:tab w:val="left" w:pos="1920"/>
        </w:tabs>
        <w:ind w:left="2400" w:hanging="2160"/>
        <w:jc w:val="left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Review</w:t>
      </w:r>
      <w:r w:rsidR="00142442" w:rsidRPr="000121DD">
        <w:rPr>
          <w:b/>
          <w:bCs/>
          <w:sz w:val="23"/>
          <w:szCs w:val="23"/>
        </w:rPr>
        <w:t xml:space="preserve"> Committee:</w:t>
      </w:r>
      <w:r w:rsidR="00142442" w:rsidRPr="000121DD">
        <w:rPr>
          <w:b/>
          <w:bCs/>
          <w:sz w:val="23"/>
          <w:szCs w:val="23"/>
        </w:rPr>
        <w:tab/>
      </w:r>
      <w:r w:rsidR="00BE1718" w:rsidRPr="000121DD">
        <w:rPr>
          <w:b/>
          <w:bCs/>
          <w:sz w:val="23"/>
          <w:szCs w:val="23"/>
        </w:rPr>
        <w:t>NUSSC</w:t>
      </w:r>
      <w:r w:rsidR="005B592B">
        <w:rPr>
          <w:b/>
          <w:bCs/>
          <w:sz w:val="23"/>
          <w:szCs w:val="23"/>
        </w:rPr>
        <w:t>, NSGC</w:t>
      </w:r>
      <w:r w:rsidR="00142442" w:rsidRPr="000121DD">
        <w:rPr>
          <w:b/>
          <w:bCs/>
          <w:sz w:val="23"/>
          <w:szCs w:val="23"/>
        </w:rPr>
        <w:t xml:space="preserve"> </w:t>
      </w:r>
    </w:p>
    <w:p w14:paraId="5D084DC4" w14:textId="77777777" w:rsidR="00142442" w:rsidRPr="000121DD" w:rsidRDefault="00142442" w:rsidP="00142442">
      <w:pPr>
        <w:pStyle w:val="BodyText"/>
        <w:ind w:left="2400" w:hanging="2160"/>
        <w:jc w:val="left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Technical Officer(s):</w:t>
      </w:r>
      <w:r w:rsidRPr="000121DD">
        <w:rPr>
          <w:b/>
          <w:bCs/>
          <w:sz w:val="23"/>
          <w:szCs w:val="23"/>
        </w:rPr>
        <w:tab/>
      </w:r>
      <w:r w:rsidR="00BE1718" w:rsidRPr="000121DD">
        <w:rPr>
          <w:b/>
          <w:bCs/>
          <w:sz w:val="23"/>
          <w:szCs w:val="23"/>
        </w:rPr>
        <w:t>Shahen POGHOSYAN (SAS/NSNI)</w:t>
      </w:r>
      <w:r w:rsidRPr="000121DD">
        <w:rPr>
          <w:b/>
          <w:bCs/>
          <w:sz w:val="23"/>
          <w:szCs w:val="23"/>
        </w:rPr>
        <w:br/>
      </w:r>
    </w:p>
    <w:p w14:paraId="229C4E4B" w14:textId="77777777" w:rsidR="00142442" w:rsidRPr="000121DD" w:rsidRDefault="00142442" w:rsidP="00481A4D">
      <w:pPr>
        <w:pStyle w:val="BodyText"/>
        <w:jc w:val="left"/>
        <w:rPr>
          <w:i/>
          <w:iCs/>
          <w:sz w:val="23"/>
          <w:szCs w:val="23"/>
        </w:rPr>
      </w:pPr>
      <w:r w:rsidRPr="000121DD">
        <w:rPr>
          <w:b/>
          <w:bCs/>
          <w:sz w:val="23"/>
          <w:szCs w:val="23"/>
        </w:rPr>
        <w:t xml:space="preserve">2. </w:t>
      </w:r>
      <w:r w:rsidR="00E0263C" w:rsidRPr="000121DD">
        <w:rPr>
          <w:b/>
          <w:bCs/>
          <w:sz w:val="23"/>
          <w:szCs w:val="23"/>
        </w:rPr>
        <w:t xml:space="preserve">BACKGROUND </w:t>
      </w:r>
      <w:r w:rsidR="00481A4D" w:rsidRPr="000121DD">
        <w:rPr>
          <w:b/>
          <w:bCs/>
          <w:sz w:val="23"/>
          <w:szCs w:val="23"/>
        </w:rPr>
        <w:br/>
      </w:r>
    </w:p>
    <w:p w14:paraId="617450E9" w14:textId="77777777" w:rsidR="003D0C47" w:rsidRPr="000121DD" w:rsidRDefault="003D0C47" w:rsidP="003D0C47">
      <w:pPr>
        <w:pStyle w:val="Default"/>
        <w:spacing w:after="240"/>
        <w:ind w:firstLine="567"/>
        <w:jc w:val="both"/>
        <w:rPr>
          <w:sz w:val="23"/>
          <w:szCs w:val="23"/>
        </w:rPr>
      </w:pPr>
      <w:r w:rsidRPr="000121DD">
        <w:rPr>
          <w:sz w:val="23"/>
          <w:szCs w:val="23"/>
        </w:rPr>
        <w:t xml:space="preserve">The IAEA Safety Guide </w:t>
      </w:r>
      <w:r w:rsidR="008D6C64" w:rsidRPr="000121DD">
        <w:rPr>
          <w:sz w:val="23"/>
          <w:szCs w:val="23"/>
        </w:rPr>
        <w:t>SSG-3 “</w:t>
      </w:r>
      <w:r w:rsidR="008D6C64" w:rsidRPr="000121DD">
        <w:rPr>
          <w:bCs/>
          <w:sz w:val="23"/>
          <w:szCs w:val="23"/>
        </w:rPr>
        <w:t>Development and Application of Level 1 Probabilistic Safety Assessment for Nuclear Power Plants</w:t>
      </w:r>
      <w:r w:rsidR="00321FE6">
        <w:rPr>
          <w:bCs/>
          <w:sz w:val="23"/>
          <w:szCs w:val="23"/>
        </w:rPr>
        <w:t>”</w:t>
      </w:r>
      <w:r w:rsidR="008D6C64" w:rsidRPr="000121DD">
        <w:rPr>
          <w:bCs/>
          <w:sz w:val="23"/>
          <w:szCs w:val="23"/>
        </w:rPr>
        <w:t xml:space="preserve"> (2010)</w:t>
      </w:r>
      <w:r w:rsidR="008D6C64" w:rsidRPr="000121DD">
        <w:rPr>
          <w:sz w:val="23"/>
          <w:szCs w:val="23"/>
        </w:rPr>
        <w:t xml:space="preserve"> </w:t>
      </w:r>
      <w:r w:rsidR="00154427" w:rsidRPr="000121DD">
        <w:rPr>
          <w:sz w:val="23"/>
          <w:szCs w:val="23"/>
          <w:lang w:eastAsia="zh-CN"/>
        </w:rPr>
        <w:t xml:space="preserve">(hereinafter referred to as </w:t>
      </w:r>
      <w:r w:rsidR="00BF6776">
        <w:rPr>
          <w:sz w:val="23"/>
          <w:szCs w:val="23"/>
          <w:lang w:eastAsia="zh-CN"/>
        </w:rPr>
        <w:t xml:space="preserve">the </w:t>
      </w:r>
      <w:r w:rsidR="00154427" w:rsidRPr="000121DD">
        <w:rPr>
          <w:sz w:val="23"/>
          <w:szCs w:val="23"/>
          <w:lang w:eastAsia="zh-CN"/>
        </w:rPr>
        <w:t xml:space="preserve">Guide) </w:t>
      </w:r>
      <w:r w:rsidRPr="000121DD">
        <w:rPr>
          <w:sz w:val="23"/>
          <w:szCs w:val="23"/>
        </w:rPr>
        <w:t>was published to meet requirements from GSR</w:t>
      </w:r>
      <w:r w:rsidR="008D6C64" w:rsidRPr="000121DD">
        <w:rPr>
          <w:sz w:val="23"/>
          <w:szCs w:val="23"/>
        </w:rPr>
        <w:t xml:space="preserve"> Part 4</w:t>
      </w:r>
      <w:r w:rsidRPr="000121DD">
        <w:rPr>
          <w:sz w:val="23"/>
          <w:szCs w:val="23"/>
        </w:rPr>
        <w:t xml:space="preserve"> “</w:t>
      </w:r>
      <w:r w:rsidR="008D6C64" w:rsidRPr="000121DD">
        <w:rPr>
          <w:sz w:val="23"/>
          <w:szCs w:val="23"/>
        </w:rPr>
        <w:t>Safety Assessment for Facilities and Activities</w:t>
      </w:r>
      <w:r w:rsidR="007B1D61">
        <w:rPr>
          <w:sz w:val="23"/>
          <w:szCs w:val="23"/>
        </w:rPr>
        <w:t>”</w:t>
      </w:r>
      <w:r w:rsidR="008D6C64" w:rsidRPr="000121DD">
        <w:rPr>
          <w:sz w:val="23"/>
          <w:szCs w:val="23"/>
        </w:rPr>
        <w:t xml:space="preserve"> (2009)</w:t>
      </w:r>
      <w:r w:rsidRPr="000121DD">
        <w:rPr>
          <w:sz w:val="23"/>
          <w:szCs w:val="23"/>
        </w:rPr>
        <w:t xml:space="preserve"> </w:t>
      </w:r>
      <w:r w:rsidR="00DE1333">
        <w:rPr>
          <w:sz w:val="23"/>
          <w:szCs w:val="23"/>
        </w:rPr>
        <w:t>on probabilistic safety assessment</w:t>
      </w:r>
      <w:r w:rsidR="00455F54">
        <w:rPr>
          <w:sz w:val="23"/>
          <w:szCs w:val="23"/>
        </w:rPr>
        <w:t>,</w:t>
      </w:r>
      <w:r w:rsidR="00DE1333">
        <w:rPr>
          <w:sz w:val="23"/>
          <w:szCs w:val="23"/>
        </w:rPr>
        <w:t xml:space="preserve"> </w:t>
      </w:r>
      <w:r w:rsidRPr="000121DD">
        <w:rPr>
          <w:sz w:val="23"/>
          <w:szCs w:val="23"/>
        </w:rPr>
        <w:t>taking</w:t>
      </w:r>
      <w:r w:rsidR="00DE1333">
        <w:rPr>
          <w:sz w:val="23"/>
          <w:szCs w:val="23"/>
        </w:rPr>
        <w:t xml:space="preserve"> </w:t>
      </w:r>
      <w:r w:rsidRPr="000121DD">
        <w:rPr>
          <w:sz w:val="23"/>
          <w:szCs w:val="23"/>
        </w:rPr>
        <w:t>into account</w:t>
      </w:r>
      <w:r w:rsidR="00DE1333">
        <w:rPr>
          <w:sz w:val="23"/>
          <w:szCs w:val="23"/>
        </w:rPr>
        <w:t xml:space="preserve"> specific aspects of nuclear power plants addressed in </w:t>
      </w:r>
      <w:r w:rsidRPr="000121DD">
        <w:rPr>
          <w:sz w:val="23"/>
          <w:szCs w:val="23"/>
        </w:rPr>
        <w:t>NS-R-1 “Safety of Nuclear Power Plants: Design</w:t>
      </w:r>
      <w:r w:rsidR="007B1D61">
        <w:rPr>
          <w:sz w:val="23"/>
          <w:szCs w:val="23"/>
        </w:rPr>
        <w:t>”</w:t>
      </w:r>
      <w:r w:rsidRPr="000121DD">
        <w:rPr>
          <w:sz w:val="23"/>
          <w:szCs w:val="23"/>
        </w:rPr>
        <w:t xml:space="preserve"> (2000). </w:t>
      </w:r>
    </w:p>
    <w:p w14:paraId="4650E74A" w14:textId="77777777" w:rsidR="003D0C47" w:rsidRPr="000121DD" w:rsidRDefault="00392A2B" w:rsidP="003D0C47">
      <w:pPr>
        <w:pStyle w:val="Default"/>
        <w:spacing w:after="240"/>
        <w:ind w:firstLine="567"/>
        <w:jc w:val="both"/>
        <w:rPr>
          <w:sz w:val="23"/>
          <w:szCs w:val="23"/>
        </w:rPr>
      </w:pPr>
      <w:r w:rsidRPr="007621D9">
        <w:rPr>
          <w:sz w:val="23"/>
          <w:szCs w:val="23"/>
        </w:rPr>
        <w:t>Over the last decade</w:t>
      </w:r>
      <w:r w:rsidR="007B1D61">
        <w:rPr>
          <w:sz w:val="23"/>
          <w:szCs w:val="23"/>
        </w:rPr>
        <w:t>, all relevant</w:t>
      </w:r>
      <w:r w:rsidRPr="007621D9">
        <w:rPr>
          <w:sz w:val="23"/>
          <w:szCs w:val="23"/>
        </w:rPr>
        <w:t xml:space="preserve"> </w:t>
      </w:r>
      <w:r w:rsidR="003D0C47" w:rsidRPr="007621D9">
        <w:rPr>
          <w:sz w:val="23"/>
          <w:szCs w:val="23"/>
        </w:rPr>
        <w:t xml:space="preserve">Safety Requirements </w:t>
      </w:r>
      <w:r w:rsidR="007B1D61">
        <w:rPr>
          <w:sz w:val="23"/>
          <w:szCs w:val="23"/>
        </w:rPr>
        <w:t xml:space="preserve">publications </w:t>
      </w:r>
      <w:r w:rsidR="00A94574" w:rsidRPr="007621D9">
        <w:rPr>
          <w:sz w:val="23"/>
          <w:szCs w:val="23"/>
        </w:rPr>
        <w:t>ha</w:t>
      </w:r>
      <w:r w:rsidR="00A94574">
        <w:rPr>
          <w:sz w:val="23"/>
          <w:szCs w:val="23"/>
        </w:rPr>
        <w:t>ve</w:t>
      </w:r>
      <w:r w:rsidR="00A94574" w:rsidRPr="007621D9">
        <w:rPr>
          <w:sz w:val="23"/>
          <w:szCs w:val="23"/>
        </w:rPr>
        <w:t xml:space="preserve"> </w:t>
      </w:r>
      <w:r w:rsidR="003D0C47" w:rsidRPr="007621D9">
        <w:rPr>
          <w:sz w:val="23"/>
          <w:szCs w:val="23"/>
        </w:rPr>
        <w:t xml:space="preserve">been </w:t>
      </w:r>
      <w:r w:rsidR="00A94574">
        <w:rPr>
          <w:sz w:val="23"/>
          <w:szCs w:val="23"/>
        </w:rPr>
        <w:t>revised</w:t>
      </w:r>
      <w:r w:rsidR="003D0C47" w:rsidRPr="007621D9">
        <w:rPr>
          <w:sz w:val="23"/>
          <w:szCs w:val="23"/>
        </w:rPr>
        <w:t xml:space="preserve">. </w:t>
      </w:r>
      <w:r w:rsidR="00825D07" w:rsidRPr="007621D9">
        <w:rPr>
          <w:sz w:val="23"/>
          <w:szCs w:val="23"/>
        </w:rPr>
        <w:t xml:space="preserve">GSR Part 4 </w:t>
      </w:r>
      <w:r w:rsidR="003D0C47" w:rsidRPr="007621D9">
        <w:rPr>
          <w:sz w:val="23"/>
          <w:szCs w:val="23"/>
        </w:rPr>
        <w:t xml:space="preserve">was superseded by </w:t>
      </w:r>
      <w:r w:rsidR="00825D07" w:rsidRPr="007621D9">
        <w:rPr>
          <w:sz w:val="23"/>
          <w:szCs w:val="23"/>
        </w:rPr>
        <w:t xml:space="preserve">GSR Part 4 </w:t>
      </w:r>
      <w:r w:rsidR="00AC1379" w:rsidRPr="007621D9">
        <w:rPr>
          <w:sz w:val="23"/>
          <w:szCs w:val="23"/>
        </w:rPr>
        <w:t>(Rev. 1)</w:t>
      </w:r>
      <w:r w:rsidR="003D0C47" w:rsidRPr="007621D9">
        <w:rPr>
          <w:sz w:val="23"/>
          <w:szCs w:val="23"/>
        </w:rPr>
        <w:t xml:space="preserve"> “</w:t>
      </w:r>
      <w:r w:rsidR="00825D07" w:rsidRPr="007621D9">
        <w:rPr>
          <w:sz w:val="23"/>
          <w:szCs w:val="23"/>
        </w:rPr>
        <w:t>Safety Assessment for Facilities and Activities</w:t>
      </w:r>
      <w:r w:rsidR="007B1D61">
        <w:rPr>
          <w:sz w:val="23"/>
          <w:szCs w:val="23"/>
        </w:rPr>
        <w:t>”</w:t>
      </w:r>
      <w:r w:rsidR="00825D07" w:rsidRPr="007621D9">
        <w:rPr>
          <w:sz w:val="23"/>
          <w:szCs w:val="23"/>
        </w:rPr>
        <w:t xml:space="preserve"> (2016)</w:t>
      </w:r>
      <w:r w:rsidR="003D0C47" w:rsidRPr="007621D9">
        <w:rPr>
          <w:sz w:val="23"/>
          <w:szCs w:val="23"/>
        </w:rPr>
        <w:t xml:space="preserve">. Additionally, NS-R-1 </w:t>
      </w:r>
      <w:r w:rsidR="00825D07" w:rsidRPr="007621D9">
        <w:rPr>
          <w:sz w:val="23"/>
          <w:szCs w:val="23"/>
        </w:rPr>
        <w:t xml:space="preserve">was </w:t>
      </w:r>
      <w:r w:rsidR="003D0C47" w:rsidRPr="007621D9">
        <w:rPr>
          <w:sz w:val="23"/>
          <w:szCs w:val="23"/>
        </w:rPr>
        <w:t xml:space="preserve">superseded </w:t>
      </w:r>
      <w:r w:rsidR="00825D07" w:rsidRPr="007621D9">
        <w:rPr>
          <w:sz w:val="23"/>
          <w:szCs w:val="23"/>
        </w:rPr>
        <w:t>by SSR-2/1</w:t>
      </w:r>
      <w:r w:rsidR="003D0C47" w:rsidRPr="007621D9">
        <w:rPr>
          <w:sz w:val="23"/>
          <w:szCs w:val="23"/>
        </w:rPr>
        <w:t xml:space="preserve"> “Safety of Nucle</w:t>
      </w:r>
      <w:r w:rsidR="00825D07" w:rsidRPr="007621D9">
        <w:rPr>
          <w:sz w:val="23"/>
          <w:szCs w:val="23"/>
        </w:rPr>
        <w:t>ar Power Plants: Design</w:t>
      </w:r>
      <w:r w:rsidR="007B1D61">
        <w:rPr>
          <w:sz w:val="23"/>
          <w:szCs w:val="23"/>
        </w:rPr>
        <w:t>”</w:t>
      </w:r>
      <w:r w:rsidR="00825D07" w:rsidRPr="007621D9">
        <w:rPr>
          <w:sz w:val="23"/>
          <w:szCs w:val="23"/>
        </w:rPr>
        <w:t xml:space="preserve"> (2012), which was revised later and </w:t>
      </w:r>
      <w:r w:rsidR="007B1D61">
        <w:rPr>
          <w:sz w:val="23"/>
          <w:szCs w:val="23"/>
        </w:rPr>
        <w:t xml:space="preserve">replaced </w:t>
      </w:r>
      <w:r w:rsidR="00825D07" w:rsidRPr="007621D9">
        <w:rPr>
          <w:sz w:val="23"/>
          <w:szCs w:val="23"/>
        </w:rPr>
        <w:t xml:space="preserve">by </w:t>
      </w:r>
      <w:r w:rsidR="003D0C47" w:rsidRPr="007621D9">
        <w:rPr>
          <w:sz w:val="23"/>
          <w:szCs w:val="23"/>
        </w:rPr>
        <w:t>SSR-2/</w:t>
      </w:r>
      <w:r w:rsidR="00825D07" w:rsidRPr="007621D9">
        <w:rPr>
          <w:sz w:val="23"/>
          <w:szCs w:val="23"/>
        </w:rPr>
        <w:t xml:space="preserve">1 </w:t>
      </w:r>
      <w:r w:rsidR="00AC1379" w:rsidRPr="007621D9">
        <w:rPr>
          <w:sz w:val="23"/>
          <w:szCs w:val="23"/>
        </w:rPr>
        <w:t>(Rev. 1)</w:t>
      </w:r>
      <w:r w:rsidR="003D0C47" w:rsidRPr="007621D9">
        <w:rPr>
          <w:sz w:val="23"/>
          <w:szCs w:val="23"/>
        </w:rPr>
        <w:t xml:space="preserve"> </w:t>
      </w:r>
      <w:r w:rsidR="007B1D61">
        <w:rPr>
          <w:sz w:val="23"/>
          <w:szCs w:val="23"/>
        </w:rPr>
        <w:t xml:space="preserve">in 2016. Similarly, </w:t>
      </w:r>
      <w:r w:rsidR="00F3773E" w:rsidRPr="007621D9">
        <w:rPr>
          <w:sz w:val="23"/>
          <w:szCs w:val="23"/>
        </w:rPr>
        <w:t xml:space="preserve">NS-R-2 was superseded by SSR-2/2 “Safety of Nuclear Power Plants: </w:t>
      </w:r>
      <w:r w:rsidR="00F3773E" w:rsidRPr="007621D9">
        <w:t>Commissioning and Operation</w:t>
      </w:r>
      <w:r w:rsidR="007B1D61">
        <w:t>”</w:t>
      </w:r>
      <w:r w:rsidR="00F3773E" w:rsidRPr="007621D9">
        <w:t xml:space="preserve"> </w:t>
      </w:r>
      <w:r w:rsidR="00F3773E" w:rsidRPr="007621D9">
        <w:rPr>
          <w:sz w:val="23"/>
          <w:szCs w:val="23"/>
        </w:rPr>
        <w:t xml:space="preserve">(2012), which was revised later and </w:t>
      </w:r>
      <w:r w:rsidR="007B1D61">
        <w:rPr>
          <w:sz w:val="23"/>
          <w:szCs w:val="23"/>
        </w:rPr>
        <w:t xml:space="preserve">replaced </w:t>
      </w:r>
      <w:r w:rsidR="00F3773E" w:rsidRPr="007621D9">
        <w:rPr>
          <w:sz w:val="23"/>
          <w:szCs w:val="23"/>
        </w:rPr>
        <w:t xml:space="preserve">by SSR-2/2 (Rev. 1) </w:t>
      </w:r>
      <w:r w:rsidR="007B1D61">
        <w:rPr>
          <w:sz w:val="23"/>
          <w:szCs w:val="23"/>
        </w:rPr>
        <w:t xml:space="preserve">in 2016. </w:t>
      </w:r>
      <w:r w:rsidR="003D0C47" w:rsidRPr="007621D9">
        <w:rPr>
          <w:sz w:val="23"/>
          <w:szCs w:val="23"/>
        </w:rPr>
        <w:t xml:space="preserve">The </w:t>
      </w:r>
      <w:r w:rsidR="007B1D61">
        <w:rPr>
          <w:sz w:val="23"/>
          <w:szCs w:val="23"/>
        </w:rPr>
        <w:t xml:space="preserve">aforementioned </w:t>
      </w:r>
      <w:r w:rsidR="003D0C47" w:rsidRPr="007621D9">
        <w:rPr>
          <w:sz w:val="23"/>
          <w:szCs w:val="23"/>
        </w:rPr>
        <w:t>revis</w:t>
      </w:r>
      <w:r w:rsidR="00825D07" w:rsidRPr="007621D9">
        <w:rPr>
          <w:sz w:val="23"/>
          <w:szCs w:val="23"/>
        </w:rPr>
        <w:t xml:space="preserve">ions were mainly driven by the feedback of experience and lessons learned from the Fukushima Daiichi nuclear power plant accident, as well as </w:t>
      </w:r>
      <w:r w:rsidR="00AD5DA1" w:rsidRPr="007621D9">
        <w:rPr>
          <w:sz w:val="23"/>
          <w:szCs w:val="23"/>
        </w:rPr>
        <w:t>by the recent developments of the relevant practices in Member States</w:t>
      </w:r>
      <w:r w:rsidR="003D0C47" w:rsidRPr="007621D9">
        <w:rPr>
          <w:sz w:val="23"/>
          <w:szCs w:val="23"/>
        </w:rPr>
        <w:t>.</w:t>
      </w:r>
      <w:r w:rsidR="003D0C47" w:rsidRPr="000121DD">
        <w:rPr>
          <w:sz w:val="23"/>
          <w:szCs w:val="23"/>
        </w:rPr>
        <w:t xml:space="preserve"> </w:t>
      </w:r>
    </w:p>
    <w:p w14:paraId="28C5EA42" w14:textId="77777777" w:rsidR="00AD5DA1" w:rsidRPr="000121DD" w:rsidRDefault="003D0C47" w:rsidP="003D0C47">
      <w:pPr>
        <w:pStyle w:val="Default"/>
        <w:spacing w:after="240"/>
        <w:ind w:firstLine="567"/>
        <w:jc w:val="both"/>
        <w:rPr>
          <w:sz w:val="23"/>
          <w:szCs w:val="23"/>
        </w:rPr>
      </w:pPr>
      <w:r w:rsidRPr="000121DD">
        <w:rPr>
          <w:sz w:val="23"/>
          <w:szCs w:val="23"/>
        </w:rPr>
        <w:t xml:space="preserve">Among the significant changes in the IAEA Safety </w:t>
      </w:r>
      <w:r w:rsidR="004C1951">
        <w:rPr>
          <w:sz w:val="23"/>
          <w:szCs w:val="23"/>
        </w:rPr>
        <w:t>Requirements</w:t>
      </w:r>
      <w:r w:rsidR="004C1951" w:rsidRPr="000121DD">
        <w:rPr>
          <w:sz w:val="23"/>
          <w:szCs w:val="23"/>
        </w:rPr>
        <w:t xml:space="preserve"> </w:t>
      </w:r>
      <w:r w:rsidRPr="000121DD">
        <w:rPr>
          <w:sz w:val="23"/>
          <w:szCs w:val="23"/>
        </w:rPr>
        <w:t xml:space="preserve">are those incorporated in </w:t>
      </w:r>
      <w:r w:rsidR="00AD5DA1" w:rsidRPr="000121DD">
        <w:rPr>
          <w:sz w:val="23"/>
          <w:szCs w:val="23"/>
        </w:rPr>
        <w:t xml:space="preserve">GSR Part 4 </w:t>
      </w:r>
      <w:r w:rsidR="00AC1379" w:rsidRPr="000121DD">
        <w:rPr>
          <w:sz w:val="23"/>
          <w:szCs w:val="23"/>
        </w:rPr>
        <w:t>(Rev. 1)</w:t>
      </w:r>
      <w:r w:rsidR="00C865CA" w:rsidRPr="000121DD">
        <w:rPr>
          <w:sz w:val="23"/>
          <w:szCs w:val="23"/>
        </w:rPr>
        <w:t xml:space="preserve">, where it is </w:t>
      </w:r>
      <w:r w:rsidR="00AD5DA1" w:rsidRPr="000121DD">
        <w:rPr>
          <w:sz w:val="23"/>
          <w:szCs w:val="23"/>
        </w:rPr>
        <w:t>stated that:</w:t>
      </w:r>
    </w:p>
    <w:p w14:paraId="4BB8C0CA" w14:textId="77777777" w:rsidR="00AD5DA1" w:rsidRPr="000121DD" w:rsidRDefault="00B1552B" w:rsidP="00B1552B">
      <w:pPr>
        <w:pStyle w:val="Default"/>
        <w:ind w:firstLine="567"/>
        <w:jc w:val="both"/>
        <w:rPr>
          <w:i/>
          <w:sz w:val="23"/>
          <w:szCs w:val="23"/>
        </w:rPr>
      </w:pPr>
      <w:r w:rsidRPr="000121DD">
        <w:rPr>
          <w:i/>
          <w:sz w:val="23"/>
          <w:szCs w:val="23"/>
        </w:rPr>
        <w:t>“</w:t>
      </w:r>
      <w:r w:rsidR="00AD5DA1" w:rsidRPr="000121DD">
        <w:rPr>
          <w:i/>
          <w:sz w:val="23"/>
          <w:szCs w:val="23"/>
        </w:rPr>
        <w:t>The revisions to GSR Part 4 relate to the following main areas:</w:t>
      </w:r>
    </w:p>
    <w:p w14:paraId="09C8E4EC" w14:textId="77777777" w:rsidR="00AD5DA1" w:rsidRPr="000121DD" w:rsidRDefault="00AD5DA1" w:rsidP="00B1552B">
      <w:pPr>
        <w:pStyle w:val="Default"/>
        <w:numPr>
          <w:ilvl w:val="0"/>
          <w:numId w:val="14"/>
        </w:numPr>
        <w:ind w:left="910" w:hanging="224"/>
        <w:jc w:val="both"/>
        <w:rPr>
          <w:i/>
          <w:sz w:val="23"/>
          <w:szCs w:val="23"/>
        </w:rPr>
      </w:pPr>
      <w:r w:rsidRPr="000121DD">
        <w:rPr>
          <w:i/>
          <w:sz w:val="23"/>
          <w:szCs w:val="23"/>
        </w:rPr>
        <w:t>Margins for withstanding external events;</w:t>
      </w:r>
    </w:p>
    <w:p w14:paraId="7B02D58C" w14:textId="77777777" w:rsidR="00AD5DA1" w:rsidRPr="000121DD" w:rsidRDefault="00AD5DA1" w:rsidP="00B1552B">
      <w:pPr>
        <w:pStyle w:val="Default"/>
        <w:numPr>
          <w:ilvl w:val="0"/>
          <w:numId w:val="14"/>
        </w:numPr>
        <w:ind w:left="910" w:hanging="224"/>
        <w:jc w:val="both"/>
        <w:rPr>
          <w:i/>
          <w:sz w:val="23"/>
          <w:szCs w:val="23"/>
        </w:rPr>
      </w:pPr>
      <w:r w:rsidRPr="000121DD">
        <w:rPr>
          <w:i/>
          <w:sz w:val="23"/>
          <w:szCs w:val="23"/>
        </w:rPr>
        <w:t>Margins for avoiding cliff edge effects;</w:t>
      </w:r>
    </w:p>
    <w:p w14:paraId="36C75552" w14:textId="77777777" w:rsidR="00AD5DA1" w:rsidRPr="000121DD" w:rsidRDefault="00AD5DA1" w:rsidP="00B1552B">
      <w:pPr>
        <w:pStyle w:val="Default"/>
        <w:numPr>
          <w:ilvl w:val="0"/>
          <w:numId w:val="14"/>
        </w:numPr>
        <w:ind w:left="910" w:hanging="224"/>
        <w:jc w:val="both"/>
        <w:rPr>
          <w:i/>
          <w:sz w:val="23"/>
          <w:szCs w:val="23"/>
        </w:rPr>
      </w:pPr>
      <w:r w:rsidRPr="000121DD">
        <w:rPr>
          <w:i/>
          <w:sz w:val="23"/>
          <w:szCs w:val="23"/>
        </w:rPr>
        <w:t xml:space="preserve">Safety assessment for multiple facilities or activities at a single site; </w:t>
      </w:r>
    </w:p>
    <w:p w14:paraId="1820EF34" w14:textId="77777777" w:rsidR="00AD5DA1" w:rsidRPr="000121DD" w:rsidRDefault="00AD5DA1" w:rsidP="00B1552B">
      <w:pPr>
        <w:pStyle w:val="Default"/>
        <w:numPr>
          <w:ilvl w:val="0"/>
          <w:numId w:val="14"/>
        </w:numPr>
        <w:ind w:left="910" w:hanging="224"/>
        <w:jc w:val="both"/>
        <w:rPr>
          <w:i/>
          <w:sz w:val="23"/>
          <w:szCs w:val="23"/>
        </w:rPr>
      </w:pPr>
      <w:r w:rsidRPr="000121DD">
        <w:rPr>
          <w:i/>
          <w:sz w:val="23"/>
          <w:szCs w:val="23"/>
        </w:rPr>
        <w:t xml:space="preserve">Safety assessment in cases where resources at a facility are shared; </w:t>
      </w:r>
    </w:p>
    <w:p w14:paraId="42854B26" w14:textId="77777777" w:rsidR="00AD5DA1" w:rsidRPr="000121DD" w:rsidRDefault="00AD5DA1" w:rsidP="00B1552B">
      <w:pPr>
        <w:pStyle w:val="Default"/>
        <w:numPr>
          <w:ilvl w:val="0"/>
          <w:numId w:val="14"/>
        </w:numPr>
        <w:ind w:left="910" w:hanging="224"/>
        <w:jc w:val="both"/>
        <w:rPr>
          <w:i/>
          <w:sz w:val="23"/>
          <w:szCs w:val="23"/>
        </w:rPr>
      </w:pPr>
      <w:r w:rsidRPr="000121DD">
        <w:rPr>
          <w:i/>
          <w:sz w:val="23"/>
          <w:szCs w:val="23"/>
        </w:rPr>
        <w:t xml:space="preserve">Human </w:t>
      </w:r>
      <w:r w:rsidR="00B1552B" w:rsidRPr="000121DD">
        <w:rPr>
          <w:i/>
          <w:sz w:val="23"/>
          <w:szCs w:val="23"/>
        </w:rPr>
        <w:t>factors in accident conditions.”</w:t>
      </w:r>
    </w:p>
    <w:p w14:paraId="0EA0BF8F" w14:textId="77777777" w:rsidR="00C865CA" w:rsidRDefault="00C865CA" w:rsidP="00C865CA">
      <w:pPr>
        <w:pStyle w:val="Default"/>
        <w:ind w:firstLine="567"/>
        <w:jc w:val="both"/>
        <w:rPr>
          <w:sz w:val="23"/>
          <w:szCs w:val="23"/>
        </w:rPr>
      </w:pPr>
    </w:p>
    <w:p w14:paraId="47E180C1" w14:textId="77777777" w:rsidR="00960B53" w:rsidRPr="00C3390B" w:rsidRDefault="00960B53" w:rsidP="00C865C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addition, </w:t>
      </w:r>
      <w:r w:rsidR="00C3390B">
        <w:rPr>
          <w:sz w:val="23"/>
          <w:szCs w:val="23"/>
        </w:rPr>
        <w:t xml:space="preserve">relevant </w:t>
      </w:r>
      <w:r w:rsidR="00BE6B95">
        <w:rPr>
          <w:sz w:val="23"/>
          <w:szCs w:val="23"/>
        </w:rPr>
        <w:t xml:space="preserve">changes </w:t>
      </w:r>
      <w:r w:rsidR="004C1951">
        <w:rPr>
          <w:sz w:val="23"/>
          <w:szCs w:val="23"/>
        </w:rPr>
        <w:t>have been</w:t>
      </w:r>
      <w:r w:rsidR="00BE6B95">
        <w:rPr>
          <w:sz w:val="23"/>
          <w:szCs w:val="23"/>
        </w:rPr>
        <w:t xml:space="preserve"> introduced to </w:t>
      </w:r>
      <w:r w:rsidR="00BE6B95" w:rsidRPr="000121DD">
        <w:rPr>
          <w:sz w:val="23"/>
          <w:szCs w:val="23"/>
        </w:rPr>
        <w:t>NS-R-</w:t>
      </w:r>
      <w:r w:rsidR="00BE6B95">
        <w:rPr>
          <w:sz w:val="23"/>
          <w:szCs w:val="23"/>
        </w:rPr>
        <w:t xml:space="preserve">1 and NS-R-2 </w:t>
      </w:r>
      <w:r w:rsidR="00C3390B">
        <w:rPr>
          <w:sz w:val="23"/>
          <w:szCs w:val="23"/>
        </w:rPr>
        <w:t xml:space="preserve">publications that </w:t>
      </w:r>
      <w:r w:rsidR="004C1951">
        <w:rPr>
          <w:sz w:val="23"/>
          <w:szCs w:val="23"/>
        </w:rPr>
        <w:t xml:space="preserve">were revised twice (in 2012 and 2016), meanwhile </w:t>
      </w:r>
      <w:r w:rsidR="006C346F">
        <w:rPr>
          <w:sz w:val="23"/>
          <w:szCs w:val="23"/>
        </w:rPr>
        <w:t xml:space="preserve">the superseded versions of these documents </w:t>
      </w:r>
      <w:r w:rsidR="004C1951">
        <w:rPr>
          <w:sz w:val="23"/>
          <w:szCs w:val="23"/>
        </w:rPr>
        <w:t xml:space="preserve">are </w:t>
      </w:r>
      <w:r w:rsidR="006C346F">
        <w:rPr>
          <w:sz w:val="23"/>
          <w:szCs w:val="23"/>
        </w:rPr>
        <w:lastRenderedPageBreak/>
        <w:t xml:space="preserve">still </w:t>
      </w:r>
      <w:r w:rsidR="004C1951">
        <w:rPr>
          <w:sz w:val="23"/>
          <w:szCs w:val="23"/>
        </w:rPr>
        <w:t>referenced in the Guide.</w:t>
      </w:r>
      <w:r w:rsidR="00C3390B">
        <w:rPr>
          <w:sz w:val="23"/>
          <w:szCs w:val="23"/>
        </w:rPr>
        <w:t xml:space="preserve"> The changes in </w:t>
      </w:r>
      <w:r w:rsidR="00455F54">
        <w:rPr>
          <w:sz w:val="23"/>
          <w:szCs w:val="23"/>
        </w:rPr>
        <w:t xml:space="preserve">the </w:t>
      </w:r>
      <w:r w:rsidR="00C3390B">
        <w:rPr>
          <w:sz w:val="23"/>
          <w:szCs w:val="23"/>
        </w:rPr>
        <w:t>Safety Requirements SSR-2/1</w:t>
      </w:r>
      <w:r w:rsidR="00455F54">
        <w:rPr>
          <w:sz w:val="23"/>
          <w:szCs w:val="23"/>
        </w:rPr>
        <w:t xml:space="preserve"> </w:t>
      </w:r>
      <w:r w:rsidR="00C3390B">
        <w:rPr>
          <w:sz w:val="23"/>
          <w:szCs w:val="23"/>
        </w:rPr>
        <w:t xml:space="preserve">(Rev. 1) and </w:t>
      </w:r>
      <w:r w:rsidR="00C3390B" w:rsidRPr="000121DD">
        <w:rPr>
          <w:sz w:val="23"/>
          <w:szCs w:val="23"/>
        </w:rPr>
        <w:t>SSR-2/</w:t>
      </w:r>
      <w:r w:rsidR="00C3390B">
        <w:rPr>
          <w:sz w:val="23"/>
          <w:szCs w:val="23"/>
        </w:rPr>
        <w:t>2</w:t>
      </w:r>
      <w:r w:rsidR="00C3390B" w:rsidRPr="000121DD">
        <w:rPr>
          <w:sz w:val="23"/>
          <w:szCs w:val="23"/>
        </w:rPr>
        <w:t xml:space="preserve"> (Rev. 1)</w:t>
      </w:r>
      <w:r w:rsidR="00C3390B">
        <w:rPr>
          <w:sz w:val="23"/>
          <w:szCs w:val="23"/>
        </w:rPr>
        <w:t xml:space="preserve"> </w:t>
      </w:r>
      <w:r w:rsidR="00BF6776">
        <w:rPr>
          <w:sz w:val="23"/>
          <w:szCs w:val="23"/>
        </w:rPr>
        <w:t xml:space="preserve">in relation to PSA </w:t>
      </w:r>
      <w:r w:rsidR="00C3390B">
        <w:rPr>
          <w:sz w:val="23"/>
          <w:szCs w:val="23"/>
        </w:rPr>
        <w:t xml:space="preserve">are </w:t>
      </w:r>
      <w:r w:rsidR="00BF6776">
        <w:rPr>
          <w:sz w:val="23"/>
          <w:szCs w:val="23"/>
        </w:rPr>
        <w:t>associated with the</w:t>
      </w:r>
      <w:r w:rsidR="00C3390B">
        <w:rPr>
          <w:sz w:val="23"/>
          <w:szCs w:val="23"/>
        </w:rPr>
        <w:t xml:space="preserve"> </w:t>
      </w:r>
      <w:r w:rsidR="00455F54">
        <w:rPr>
          <w:sz w:val="23"/>
          <w:szCs w:val="23"/>
        </w:rPr>
        <w:t xml:space="preserve">establishment </w:t>
      </w:r>
      <w:r w:rsidR="00BF6776">
        <w:rPr>
          <w:sz w:val="23"/>
          <w:szCs w:val="23"/>
        </w:rPr>
        <w:t>of</w:t>
      </w:r>
      <w:r w:rsidR="00024F46">
        <w:rPr>
          <w:sz w:val="23"/>
          <w:szCs w:val="23"/>
        </w:rPr>
        <w:t xml:space="preserve"> more detailed</w:t>
      </w:r>
      <w:r w:rsidR="00C3390B">
        <w:rPr>
          <w:sz w:val="23"/>
          <w:szCs w:val="23"/>
        </w:rPr>
        <w:t xml:space="preserve"> requirements </w:t>
      </w:r>
      <w:r w:rsidR="00024F46">
        <w:rPr>
          <w:sz w:val="23"/>
          <w:szCs w:val="23"/>
        </w:rPr>
        <w:t>on the</w:t>
      </w:r>
      <w:r w:rsidR="00C3390B">
        <w:rPr>
          <w:sz w:val="23"/>
          <w:szCs w:val="23"/>
        </w:rPr>
        <w:t xml:space="preserve"> </w:t>
      </w:r>
      <w:r w:rsidR="004C1951">
        <w:rPr>
          <w:sz w:val="23"/>
          <w:szCs w:val="23"/>
        </w:rPr>
        <w:t xml:space="preserve">application </w:t>
      </w:r>
      <w:r w:rsidR="00024F46">
        <w:rPr>
          <w:sz w:val="23"/>
          <w:szCs w:val="23"/>
        </w:rPr>
        <w:t xml:space="preserve">of </w:t>
      </w:r>
      <w:r w:rsidR="00C3390B">
        <w:rPr>
          <w:sz w:val="23"/>
          <w:szCs w:val="23"/>
        </w:rPr>
        <w:t>PSA for NPP design and</w:t>
      </w:r>
      <w:r w:rsidR="004C1951">
        <w:rPr>
          <w:sz w:val="23"/>
          <w:szCs w:val="23"/>
        </w:rPr>
        <w:t xml:space="preserve"> use of probabilistic considerations</w:t>
      </w:r>
      <w:r w:rsidR="00C3390B">
        <w:rPr>
          <w:sz w:val="23"/>
          <w:szCs w:val="23"/>
        </w:rPr>
        <w:t xml:space="preserve"> in decision making during </w:t>
      </w:r>
      <w:r w:rsidR="00024F46">
        <w:rPr>
          <w:sz w:val="23"/>
          <w:szCs w:val="23"/>
        </w:rPr>
        <w:t>plant operation</w:t>
      </w:r>
      <w:r w:rsidR="00C3390B">
        <w:rPr>
          <w:sz w:val="23"/>
          <w:szCs w:val="23"/>
        </w:rPr>
        <w:t xml:space="preserve">. </w:t>
      </w:r>
    </w:p>
    <w:p w14:paraId="3115419C" w14:textId="77777777" w:rsidR="00960B53" w:rsidRPr="003975D9" w:rsidRDefault="00960B53" w:rsidP="00C865CA">
      <w:pPr>
        <w:pStyle w:val="Default"/>
        <w:ind w:firstLine="567"/>
        <w:jc w:val="both"/>
        <w:rPr>
          <w:sz w:val="23"/>
          <w:szCs w:val="23"/>
          <w:lang w:val="ru-RU"/>
        </w:rPr>
      </w:pPr>
    </w:p>
    <w:p w14:paraId="1782BAD1" w14:textId="77777777" w:rsidR="00154427" w:rsidRDefault="004C1951" w:rsidP="003975D9">
      <w:pPr>
        <w:pStyle w:val="Default"/>
        <w:spacing w:after="2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2245DC" w:rsidRPr="000121DD">
        <w:rPr>
          <w:sz w:val="23"/>
          <w:szCs w:val="23"/>
        </w:rPr>
        <w:t xml:space="preserve">hus, </w:t>
      </w:r>
      <w:r>
        <w:rPr>
          <w:sz w:val="23"/>
          <w:szCs w:val="23"/>
        </w:rPr>
        <w:t xml:space="preserve">there is a need to revise </w:t>
      </w:r>
      <w:r w:rsidR="00F70704" w:rsidRPr="000121DD">
        <w:rPr>
          <w:sz w:val="23"/>
          <w:szCs w:val="23"/>
        </w:rPr>
        <w:t xml:space="preserve">the Guide </w:t>
      </w:r>
      <w:r w:rsidRPr="000121DD">
        <w:rPr>
          <w:sz w:val="23"/>
          <w:szCs w:val="23"/>
        </w:rPr>
        <w:t xml:space="preserve">by amendment </w:t>
      </w:r>
      <w:r>
        <w:rPr>
          <w:sz w:val="23"/>
          <w:szCs w:val="23"/>
        </w:rPr>
        <w:t>in order to reflect</w:t>
      </w:r>
      <w:r w:rsidR="002245DC" w:rsidRPr="000121DD">
        <w:rPr>
          <w:sz w:val="23"/>
          <w:szCs w:val="23"/>
        </w:rPr>
        <w:t xml:space="preserve"> above mentioned </w:t>
      </w:r>
      <w:r w:rsidR="00A94574">
        <w:rPr>
          <w:sz w:val="23"/>
          <w:szCs w:val="23"/>
        </w:rPr>
        <w:t>developments and changes</w:t>
      </w:r>
      <w:r w:rsidR="002245DC" w:rsidRPr="000121DD">
        <w:rPr>
          <w:sz w:val="23"/>
          <w:szCs w:val="23"/>
        </w:rPr>
        <w:t>.</w:t>
      </w:r>
    </w:p>
    <w:p w14:paraId="0D459FCC" w14:textId="77777777" w:rsidR="004D5972" w:rsidRPr="000121DD" w:rsidRDefault="00A17C97" w:rsidP="004D5972">
      <w:pPr>
        <w:pStyle w:val="BodyText"/>
        <w:spacing w:after="0" w:line="240" w:lineRule="auto"/>
        <w:jc w:val="left"/>
        <w:rPr>
          <w:iCs/>
          <w:sz w:val="23"/>
          <w:szCs w:val="23"/>
        </w:rPr>
      </w:pPr>
      <w:r w:rsidRPr="000121DD">
        <w:rPr>
          <w:b/>
          <w:bCs/>
          <w:sz w:val="23"/>
          <w:szCs w:val="23"/>
        </w:rPr>
        <w:t>3</w:t>
      </w:r>
      <w:r w:rsidR="00142442" w:rsidRPr="000121DD">
        <w:rPr>
          <w:b/>
          <w:bCs/>
          <w:sz w:val="23"/>
          <w:szCs w:val="23"/>
        </w:rPr>
        <w:t xml:space="preserve">. </w:t>
      </w:r>
      <w:r w:rsidR="00481A4D" w:rsidRPr="000121DD">
        <w:rPr>
          <w:b/>
          <w:bCs/>
          <w:sz w:val="23"/>
          <w:szCs w:val="23"/>
        </w:rPr>
        <w:t>JUSTIFICATION</w:t>
      </w:r>
      <w:r w:rsidR="009561A5" w:rsidRPr="000121DD">
        <w:rPr>
          <w:b/>
          <w:bCs/>
          <w:sz w:val="23"/>
          <w:szCs w:val="23"/>
        </w:rPr>
        <w:t xml:space="preserve"> </w:t>
      </w:r>
      <w:r w:rsidR="00E0263C" w:rsidRPr="000121DD">
        <w:rPr>
          <w:b/>
          <w:bCs/>
          <w:sz w:val="23"/>
          <w:szCs w:val="23"/>
        </w:rPr>
        <w:t xml:space="preserve">FOR THE PRODUCTION OF THE DOCUMENT </w:t>
      </w:r>
      <w:r w:rsidR="00481A4D" w:rsidRPr="000121DD">
        <w:rPr>
          <w:b/>
          <w:bCs/>
          <w:sz w:val="23"/>
          <w:szCs w:val="23"/>
        </w:rPr>
        <w:br/>
      </w:r>
    </w:p>
    <w:p w14:paraId="43100D9B" w14:textId="77777777" w:rsidR="00535F27" w:rsidRDefault="00535F27" w:rsidP="00DC6C4A">
      <w:pPr>
        <w:pStyle w:val="BodyText"/>
        <w:spacing w:after="360"/>
        <w:rPr>
          <w:sz w:val="23"/>
          <w:szCs w:val="23"/>
        </w:rPr>
      </w:pPr>
      <w:r w:rsidRPr="000121DD">
        <w:rPr>
          <w:sz w:val="23"/>
          <w:szCs w:val="23"/>
        </w:rPr>
        <w:t xml:space="preserve">An analysis of the scope and content of the </w:t>
      </w:r>
      <w:r w:rsidRPr="00FF6C52">
        <w:rPr>
          <w:sz w:val="23"/>
          <w:szCs w:val="23"/>
        </w:rPr>
        <w:t>Guide</w:t>
      </w:r>
      <w:r w:rsidRPr="000121DD">
        <w:rPr>
          <w:sz w:val="23"/>
          <w:szCs w:val="23"/>
        </w:rPr>
        <w:t xml:space="preserve"> concluded that it largely remain</w:t>
      </w:r>
      <w:r>
        <w:rPr>
          <w:sz w:val="23"/>
          <w:szCs w:val="23"/>
        </w:rPr>
        <w:t>s</w:t>
      </w:r>
      <w:r w:rsidRPr="000121DD">
        <w:rPr>
          <w:sz w:val="23"/>
          <w:szCs w:val="23"/>
        </w:rPr>
        <w:t xml:space="preserve"> valid in </w:t>
      </w:r>
      <w:r w:rsidR="0064725C" w:rsidRPr="000121DD">
        <w:rPr>
          <w:sz w:val="23"/>
          <w:szCs w:val="23"/>
        </w:rPr>
        <w:t>its</w:t>
      </w:r>
      <w:r w:rsidRPr="000121DD">
        <w:rPr>
          <w:sz w:val="23"/>
          <w:szCs w:val="23"/>
        </w:rPr>
        <w:t xml:space="preserve"> technical content but </w:t>
      </w:r>
      <w:r w:rsidR="0064725C" w:rsidRPr="000121DD">
        <w:rPr>
          <w:sz w:val="23"/>
          <w:szCs w:val="23"/>
        </w:rPr>
        <w:t>ha</w:t>
      </w:r>
      <w:r w:rsidR="0064725C">
        <w:rPr>
          <w:sz w:val="23"/>
          <w:szCs w:val="23"/>
        </w:rPr>
        <w:t>s</w:t>
      </w:r>
      <w:r w:rsidR="0064725C" w:rsidRPr="000121DD">
        <w:rPr>
          <w:sz w:val="23"/>
          <w:szCs w:val="23"/>
        </w:rPr>
        <w:t xml:space="preserve"> </w:t>
      </w:r>
      <w:r w:rsidRPr="000121DD">
        <w:rPr>
          <w:sz w:val="23"/>
          <w:szCs w:val="23"/>
        </w:rPr>
        <w:t xml:space="preserve">outdated references and requires revision in order to address changes incorporated in </w:t>
      </w:r>
      <w:r w:rsidR="0064725C">
        <w:rPr>
          <w:sz w:val="23"/>
          <w:szCs w:val="23"/>
        </w:rPr>
        <w:t xml:space="preserve">the </w:t>
      </w:r>
      <w:r w:rsidR="00631677">
        <w:rPr>
          <w:sz w:val="23"/>
          <w:szCs w:val="23"/>
        </w:rPr>
        <w:t xml:space="preserve">relevant </w:t>
      </w:r>
      <w:r w:rsidR="00024F46">
        <w:rPr>
          <w:sz w:val="23"/>
          <w:szCs w:val="23"/>
        </w:rPr>
        <w:t>Safety Requirements</w:t>
      </w:r>
      <w:r w:rsidRPr="000121DD">
        <w:rPr>
          <w:sz w:val="23"/>
          <w:szCs w:val="23"/>
        </w:rPr>
        <w:t xml:space="preserve">. In addition, </w:t>
      </w:r>
      <w:r w:rsidR="0064725C">
        <w:rPr>
          <w:sz w:val="23"/>
          <w:szCs w:val="23"/>
        </w:rPr>
        <w:t xml:space="preserve">the </w:t>
      </w:r>
      <w:r w:rsidR="006C3C9F" w:rsidRPr="000121DD">
        <w:rPr>
          <w:sz w:val="23"/>
          <w:szCs w:val="23"/>
        </w:rPr>
        <w:t>above-mentioned</w:t>
      </w:r>
      <w:r w:rsidRPr="000121DD">
        <w:rPr>
          <w:sz w:val="23"/>
          <w:szCs w:val="23"/>
        </w:rPr>
        <w:t xml:space="preserve"> analysis has shown that the Guide requires incorporation of the recent developments in Member States in specific areas related to P</w:t>
      </w:r>
      <w:r w:rsidR="00BF6776">
        <w:rPr>
          <w:sz w:val="23"/>
          <w:szCs w:val="23"/>
        </w:rPr>
        <w:t>SA</w:t>
      </w:r>
      <w:r w:rsidRPr="000121DD">
        <w:rPr>
          <w:sz w:val="23"/>
          <w:szCs w:val="23"/>
        </w:rPr>
        <w:t xml:space="preserve">, such as </w:t>
      </w:r>
      <w:r w:rsidR="00847762">
        <w:rPr>
          <w:sz w:val="23"/>
          <w:szCs w:val="23"/>
        </w:rPr>
        <w:t>m</w:t>
      </w:r>
      <w:r w:rsidRPr="000121DD">
        <w:rPr>
          <w:sz w:val="23"/>
          <w:szCs w:val="23"/>
        </w:rPr>
        <w:t xml:space="preserve">ultiunit PSA, </w:t>
      </w:r>
      <w:r w:rsidR="00F431B4">
        <w:rPr>
          <w:sz w:val="23"/>
          <w:szCs w:val="23"/>
        </w:rPr>
        <w:t xml:space="preserve">spent fuel pool PSA, </w:t>
      </w:r>
      <w:r w:rsidRPr="000121DD">
        <w:rPr>
          <w:sz w:val="23"/>
          <w:szCs w:val="23"/>
        </w:rPr>
        <w:t>passive systems reliability</w:t>
      </w:r>
      <w:r w:rsidR="00BF6776">
        <w:rPr>
          <w:sz w:val="23"/>
          <w:szCs w:val="23"/>
        </w:rPr>
        <w:t xml:space="preserve"> and</w:t>
      </w:r>
      <w:r w:rsidRPr="000121DD">
        <w:rPr>
          <w:sz w:val="23"/>
          <w:szCs w:val="23"/>
        </w:rPr>
        <w:t xml:space="preserve"> computer based systems reliability. </w:t>
      </w:r>
    </w:p>
    <w:p w14:paraId="59E6CB7F" w14:textId="77777777" w:rsidR="00535F27" w:rsidRPr="000121DD" w:rsidRDefault="00FE2706" w:rsidP="00DC6C4A">
      <w:pPr>
        <w:pStyle w:val="BodyText"/>
        <w:spacing w:after="0" w:line="240" w:lineRule="auto"/>
        <w:rPr>
          <w:iCs/>
          <w:sz w:val="23"/>
          <w:szCs w:val="23"/>
        </w:rPr>
      </w:pPr>
      <w:r w:rsidRPr="000121DD">
        <w:rPr>
          <w:sz w:val="23"/>
          <w:szCs w:val="23"/>
        </w:rPr>
        <w:t>Hence</w:t>
      </w:r>
      <w:r w:rsidR="006035DB" w:rsidRPr="000121DD">
        <w:rPr>
          <w:sz w:val="23"/>
          <w:szCs w:val="23"/>
        </w:rPr>
        <w:t>, the Guide will be revised by amendment</w:t>
      </w:r>
      <w:r w:rsidR="00BA1774">
        <w:rPr>
          <w:sz w:val="23"/>
          <w:szCs w:val="23"/>
        </w:rPr>
        <w:t>,</w:t>
      </w:r>
      <w:r w:rsidR="006035DB" w:rsidRPr="000121DD">
        <w:rPr>
          <w:sz w:val="23"/>
          <w:szCs w:val="23"/>
        </w:rPr>
        <w:t xml:space="preserve"> taking into account</w:t>
      </w:r>
      <w:r w:rsidR="0064725C">
        <w:rPr>
          <w:sz w:val="23"/>
          <w:szCs w:val="23"/>
        </w:rPr>
        <w:t xml:space="preserve"> the</w:t>
      </w:r>
      <w:r w:rsidR="006035DB" w:rsidRPr="000121DD">
        <w:rPr>
          <w:sz w:val="23"/>
          <w:szCs w:val="23"/>
        </w:rPr>
        <w:t xml:space="preserve"> </w:t>
      </w:r>
      <w:r w:rsidR="006C3C9F" w:rsidRPr="000121DD">
        <w:rPr>
          <w:sz w:val="23"/>
          <w:szCs w:val="23"/>
        </w:rPr>
        <w:t>above-mentioned</w:t>
      </w:r>
      <w:r w:rsidR="006035DB" w:rsidRPr="000121DD">
        <w:rPr>
          <w:sz w:val="23"/>
          <w:szCs w:val="23"/>
        </w:rPr>
        <w:t xml:space="preserve"> conclusions.</w:t>
      </w:r>
      <w:r w:rsidR="00705E77" w:rsidRPr="000121DD">
        <w:rPr>
          <w:iCs/>
          <w:sz w:val="23"/>
          <w:szCs w:val="23"/>
        </w:rPr>
        <w:t xml:space="preserve"> The added value of the revised Guide will be to provide </w:t>
      </w:r>
      <w:r w:rsidR="00123CA3">
        <w:rPr>
          <w:iCs/>
          <w:sz w:val="23"/>
          <w:szCs w:val="23"/>
        </w:rPr>
        <w:t>Member States</w:t>
      </w:r>
      <w:r w:rsidR="00705E77" w:rsidRPr="000121DD">
        <w:rPr>
          <w:iCs/>
          <w:sz w:val="23"/>
          <w:szCs w:val="23"/>
        </w:rPr>
        <w:t xml:space="preserve"> with comprehensive, consistent and up-to-date</w:t>
      </w:r>
      <w:r w:rsidR="00AD4DCB">
        <w:rPr>
          <w:iCs/>
          <w:sz w:val="23"/>
          <w:szCs w:val="23"/>
        </w:rPr>
        <w:t xml:space="preserve"> </w:t>
      </w:r>
      <w:r w:rsidR="00F35356">
        <w:rPr>
          <w:iCs/>
          <w:sz w:val="23"/>
          <w:szCs w:val="23"/>
        </w:rPr>
        <w:t xml:space="preserve">recommendations </w:t>
      </w:r>
      <w:r w:rsidR="00705E77" w:rsidRPr="000121DD">
        <w:rPr>
          <w:iCs/>
          <w:sz w:val="23"/>
          <w:szCs w:val="23"/>
        </w:rPr>
        <w:t>for the</w:t>
      </w:r>
      <w:r w:rsidR="00123CA3">
        <w:rPr>
          <w:iCs/>
          <w:sz w:val="23"/>
          <w:szCs w:val="23"/>
        </w:rPr>
        <w:t xml:space="preserve"> development and application of </w:t>
      </w:r>
      <w:r w:rsidR="00AD4DCB">
        <w:rPr>
          <w:iCs/>
          <w:sz w:val="23"/>
          <w:szCs w:val="23"/>
        </w:rPr>
        <w:t>L</w:t>
      </w:r>
      <w:r w:rsidR="00123CA3">
        <w:rPr>
          <w:iCs/>
          <w:sz w:val="23"/>
          <w:szCs w:val="23"/>
        </w:rPr>
        <w:t xml:space="preserve">evel 1 PSA for NPPs </w:t>
      </w:r>
      <w:r w:rsidR="00172ACB" w:rsidRPr="000121DD">
        <w:rPr>
          <w:iCs/>
          <w:sz w:val="23"/>
          <w:szCs w:val="23"/>
        </w:rPr>
        <w:t xml:space="preserve">covering </w:t>
      </w:r>
      <w:r w:rsidR="00B3739B">
        <w:rPr>
          <w:iCs/>
          <w:sz w:val="23"/>
          <w:szCs w:val="23"/>
        </w:rPr>
        <w:t xml:space="preserve">a </w:t>
      </w:r>
      <w:r w:rsidR="00172ACB" w:rsidRPr="000121DD">
        <w:rPr>
          <w:iCs/>
          <w:sz w:val="23"/>
          <w:szCs w:val="23"/>
        </w:rPr>
        <w:t>wider scope</w:t>
      </w:r>
      <w:r w:rsidR="00123CA3">
        <w:rPr>
          <w:iCs/>
          <w:sz w:val="23"/>
          <w:szCs w:val="23"/>
        </w:rPr>
        <w:t xml:space="preserve">. </w:t>
      </w:r>
    </w:p>
    <w:p w14:paraId="0619BF53" w14:textId="77777777" w:rsidR="00535F27" w:rsidRDefault="00535F27" w:rsidP="00CA1E24">
      <w:pPr>
        <w:pStyle w:val="BodyText"/>
        <w:spacing w:after="0" w:line="240" w:lineRule="auto"/>
        <w:rPr>
          <w:iCs/>
          <w:sz w:val="23"/>
          <w:szCs w:val="23"/>
        </w:rPr>
      </w:pPr>
    </w:p>
    <w:p w14:paraId="24CD941E" w14:textId="77777777" w:rsidR="00535F27" w:rsidRPr="000121DD" w:rsidRDefault="00535F27" w:rsidP="00535F27">
      <w:pPr>
        <w:pStyle w:val="BodyText"/>
        <w:spacing w:after="360"/>
        <w:rPr>
          <w:iCs/>
          <w:sz w:val="23"/>
          <w:szCs w:val="23"/>
        </w:rPr>
      </w:pPr>
      <w:r w:rsidRPr="000121DD">
        <w:rPr>
          <w:iCs/>
          <w:sz w:val="23"/>
          <w:szCs w:val="23"/>
        </w:rPr>
        <w:t>The revision of the Guide proposed in this DPP is timely considering that there is a need to reflect the changes introduced by revision</w:t>
      </w:r>
      <w:r w:rsidR="005C6005">
        <w:rPr>
          <w:iCs/>
          <w:sz w:val="23"/>
          <w:szCs w:val="23"/>
        </w:rPr>
        <w:t xml:space="preserve">s in Safety Requirements and </w:t>
      </w:r>
      <w:r w:rsidRPr="000121DD">
        <w:rPr>
          <w:sz w:val="23"/>
          <w:szCs w:val="23"/>
        </w:rPr>
        <w:t xml:space="preserve">recent developments in Member States in specific areas related to </w:t>
      </w:r>
      <w:r w:rsidR="00BF6776">
        <w:rPr>
          <w:sz w:val="23"/>
          <w:szCs w:val="23"/>
        </w:rPr>
        <w:t>PSA</w:t>
      </w:r>
      <w:r w:rsidR="005C6005">
        <w:rPr>
          <w:sz w:val="23"/>
          <w:szCs w:val="23"/>
        </w:rPr>
        <w:t xml:space="preserve">. </w:t>
      </w:r>
      <w:r w:rsidRPr="000121DD">
        <w:rPr>
          <w:iCs/>
          <w:sz w:val="23"/>
          <w:szCs w:val="23"/>
        </w:rPr>
        <w:t xml:space="preserve">In addition, the Guide was published almost ten years </w:t>
      </w:r>
      <w:r w:rsidR="005C6005">
        <w:rPr>
          <w:iCs/>
          <w:sz w:val="23"/>
          <w:szCs w:val="23"/>
        </w:rPr>
        <w:t xml:space="preserve">ago </w:t>
      </w:r>
      <w:r w:rsidRPr="000121DD">
        <w:rPr>
          <w:iCs/>
          <w:sz w:val="23"/>
          <w:szCs w:val="23"/>
        </w:rPr>
        <w:t>and contain</w:t>
      </w:r>
      <w:r w:rsidR="006C3C9F">
        <w:rPr>
          <w:iCs/>
          <w:sz w:val="23"/>
          <w:szCs w:val="23"/>
        </w:rPr>
        <w:t>s</w:t>
      </w:r>
      <w:r w:rsidRPr="000121DD">
        <w:rPr>
          <w:iCs/>
          <w:sz w:val="23"/>
          <w:szCs w:val="23"/>
        </w:rPr>
        <w:t xml:space="preserve"> references to superseded IAEA Safety Standards and other </w:t>
      </w:r>
      <w:r w:rsidR="00BA1774">
        <w:rPr>
          <w:iCs/>
          <w:sz w:val="23"/>
          <w:szCs w:val="23"/>
        </w:rPr>
        <w:t xml:space="preserve">obsolete </w:t>
      </w:r>
      <w:r w:rsidR="00417C79">
        <w:rPr>
          <w:iCs/>
          <w:sz w:val="23"/>
          <w:szCs w:val="23"/>
        </w:rPr>
        <w:t>publications</w:t>
      </w:r>
      <w:r w:rsidRPr="000121DD">
        <w:rPr>
          <w:iCs/>
          <w:sz w:val="23"/>
          <w:szCs w:val="23"/>
        </w:rPr>
        <w:t xml:space="preserve">. </w:t>
      </w:r>
    </w:p>
    <w:p w14:paraId="7DB808E1" w14:textId="77777777" w:rsidR="00705E77" w:rsidRPr="000121DD" w:rsidRDefault="00172ACB" w:rsidP="00DC6C4A">
      <w:pPr>
        <w:pStyle w:val="BodyText"/>
        <w:spacing w:after="0" w:line="240" w:lineRule="auto"/>
        <w:rPr>
          <w:iCs/>
          <w:sz w:val="23"/>
          <w:szCs w:val="23"/>
        </w:rPr>
      </w:pPr>
      <w:r w:rsidRPr="000121DD">
        <w:rPr>
          <w:iCs/>
          <w:sz w:val="23"/>
          <w:szCs w:val="23"/>
        </w:rPr>
        <w:t>Thus, the</w:t>
      </w:r>
      <w:r w:rsidR="00705E77" w:rsidRPr="000121DD">
        <w:rPr>
          <w:iCs/>
          <w:sz w:val="23"/>
          <w:szCs w:val="23"/>
        </w:rPr>
        <w:t xml:space="preserve"> revision of the Guide </w:t>
      </w:r>
      <w:r w:rsidR="00A94574">
        <w:rPr>
          <w:iCs/>
          <w:sz w:val="23"/>
          <w:szCs w:val="23"/>
        </w:rPr>
        <w:t xml:space="preserve">will </w:t>
      </w:r>
      <w:r w:rsidR="00705E77" w:rsidRPr="000121DD">
        <w:rPr>
          <w:iCs/>
          <w:sz w:val="23"/>
          <w:szCs w:val="23"/>
        </w:rPr>
        <w:t>cover the following</w:t>
      </w:r>
      <w:r w:rsidR="00A94574">
        <w:rPr>
          <w:iCs/>
          <w:sz w:val="23"/>
          <w:szCs w:val="23"/>
        </w:rPr>
        <w:t xml:space="preserve"> </w:t>
      </w:r>
      <w:r w:rsidR="00A94574" w:rsidRPr="000121DD">
        <w:rPr>
          <w:iCs/>
          <w:sz w:val="23"/>
          <w:szCs w:val="23"/>
        </w:rPr>
        <w:t>consideration</w:t>
      </w:r>
      <w:r w:rsidR="00A94574">
        <w:rPr>
          <w:iCs/>
          <w:sz w:val="23"/>
          <w:szCs w:val="23"/>
        </w:rPr>
        <w:t>s</w:t>
      </w:r>
      <w:r w:rsidR="00705E77" w:rsidRPr="000121DD">
        <w:rPr>
          <w:iCs/>
          <w:sz w:val="23"/>
          <w:szCs w:val="23"/>
        </w:rPr>
        <w:t>:</w:t>
      </w:r>
    </w:p>
    <w:p w14:paraId="1839929B" w14:textId="77777777" w:rsidR="00705E77" w:rsidRPr="000121DD" w:rsidRDefault="00705E77" w:rsidP="00DC6C4A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sz w:val="23"/>
          <w:szCs w:val="23"/>
          <w:lang w:val="en-GB" w:eastAsia="en-GB"/>
        </w:rPr>
      </w:pPr>
      <w:r w:rsidRPr="000121DD">
        <w:rPr>
          <w:sz w:val="23"/>
          <w:szCs w:val="23"/>
          <w:lang w:eastAsia="zh-CN"/>
        </w:rPr>
        <w:t>Revisions implemented in IAEA Safety Standards;</w:t>
      </w:r>
    </w:p>
    <w:p w14:paraId="73BA0951" w14:textId="77777777" w:rsidR="00C8128A" w:rsidRPr="000121DD" w:rsidRDefault="00C8128A" w:rsidP="00DC6C4A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sz w:val="23"/>
          <w:szCs w:val="23"/>
          <w:lang w:val="en-GB" w:eastAsia="en-GB"/>
        </w:rPr>
      </w:pPr>
      <w:r w:rsidRPr="000121DD">
        <w:rPr>
          <w:sz w:val="23"/>
          <w:szCs w:val="23"/>
          <w:lang w:val="en-GB" w:eastAsia="en-GB"/>
        </w:rPr>
        <w:t xml:space="preserve">Lessons from the accident at the Fukushima Daiichi nuclear power plant </w:t>
      </w:r>
      <w:r w:rsidR="00BA1774">
        <w:rPr>
          <w:sz w:val="23"/>
          <w:szCs w:val="23"/>
          <w:lang w:val="en-GB" w:eastAsia="en-GB"/>
        </w:rPr>
        <w:t>;</w:t>
      </w:r>
    </w:p>
    <w:p w14:paraId="43044D6E" w14:textId="77777777" w:rsidR="00C8128A" w:rsidRPr="000121DD" w:rsidRDefault="00C8128A" w:rsidP="00DC6C4A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sz w:val="23"/>
          <w:szCs w:val="23"/>
          <w:lang w:val="en-GB" w:eastAsia="en-GB"/>
        </w:rPr>
      </w:pPr>
      <w:r w:rsidRPr="000121DD">
        <w:rPr>
          <w:sz w:val="23"/>
          <w:szCs w:val="23"/>
          <w:lang w:val="en-GB" w:eastAsia="en-GB"/>
        </w:rPr>
        <w:t>Expanding the scope of PSA</w:t>
      </w:r>
      <w:r w:rsidR="00BA1774">
        <w:rPr>
          <w:sz w:val="23"/>
          <w:szCs w:val="23"/>
          <w:lang w:val="en-GB" w:eastAsia="en-GB"/>
        </w:rPr>
        <w:t>;</w:t>
      </w:r>
      <w:r w:rsidRPr="000121DD">
        <w:rPr>
          <w:sz w:val="23"/>
          <w:szCs w:val="23"/>
          <w:lang w:val="en-GB" w:eastAsia="en-GB"/>
        </w:rPr>
        <w:t xml:space="preserve"> </w:t>
      </w:r>
    </w:p>
    <w:p w14:paraId="171B491C" w14:textId="77777777" w:rsidR="005E0C5F" w:rsidRPr="000121DD" w:rsidRDefault="005E0C5F" w:rsidP="00DC6C4A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sz w:val="23"/>
          <w:szCs w:val="23"/>
          <w:lang w:val="en-GB" w:eastAsia="en-GB"/>
        </w:rPr>
      </w:pPr>
      <w:r w:rsidRPr="000121DD">
        <w:rPr>
          <w:sz w:val="23"/>
          <w:szCs w:val="23"/>
          <w:lang w:val="en-GB" w:eastAsia="en-GB"/>
        </w:rPr>
        <w:t xml:space="preserve">Recent developments in Member States related to </w:t>
      </w:r>
      <w:r w:rsidR="005E0CEA" w:rsidRPr="000121DD">
        <w:rPr>
          <w:sz w:val="23"/>
          <w:szCs w:val="23"/>
          <w:lang w:val="en-GB" w:eastAsia="en-GB"/>
        </w:rPr>
        <w:t>PSA</w:t>
      </w:r>
      <w:r w:rsidR="00BA1774">
        <w:rPr>
          <w:sz w:val="23"/>
          <w:szCs w:val="23"/>
          <w:lang w:val="en-GB" w:eastAsia="en-GB"/>
        </w:rPr>
        <w:t>;</w:t>
      </w:r>
    </w:p>
    <w:p w14:paraId="0CD069FA" w14:textId="77777777" w:rsidR="00705E77" w:rsidRPr="000121DD" w:rsidRDefault="00705E77" w:rsidP="00DC6C4A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sz w:val="23"/>
          <w:szCs w:val="23"/>
          <w:lang w:val="en-GB" w:eastAsia="en-GB"/>
        </w:rPr>
      </w:pPr>
      <w:r w:rsidRPr="000121DD">
        <w:rPr>
          <w:sz w:val="23"/>
          <w:szCs w:val="23"/>
          <w:lang w:val="en-GB" w:eastAsia="en-GB"/>
        </w:rPr>
        <w:t xml:space="preserve">Experience gained with </w:t>
      </w:r>
      <w:r w:rsidR="006C3C9F">
        <w:rPr>
          <w:sz w:val="23"/>
          <w:szCs w:val="23"/>
          <w:lang w:val="en-GB" w:eastAsia="en-GB"/>
        </w:rPr>
        <w:t xml:space="preserve">IAEA </w:t>
      </w:r>
      <w:r w:rsidR="00C8128A" w:rsidRPr="000121DD">
        <w:rPr>
          <w:sz w:val="23"/>
          <w:szCs w:val="23"/>
          <w:lang w:val="en-GB" w:eastAsia="en-GB"/>
        </w:rPr>
        <w:t>PSA review services (i.e. TSR-PSA)</w:t>
      </w:r>
      <w:r w:rsidR="00BA1774">
        <w:rPr>
          <w:sz w:val="23"/>
          <w:szCs w:val="23"/>
          <w:lang w:val="en-GB" w:eastAsia="en-GB"/>
        </w:rPr>
        <w:t>.</w:t>
      </w:r>
    </w:p>
    <w:p w14:paraId="327E5524" w14:textId="77777777" w:rsidR="00705E77" w:rsidRPr="000121DD" w:rsidRDefault="00705E77" w:rsidP="00DC6C4A">
      <w:pPr>
        <w:pStyle w:val="BodyText"/>
        <w:spacing w:after="0" w:line="240" w:lineRule="auto"/>
        <w:rPr>
          <w:bCs/>
          <w:sz w:val="23"/>
          <w:szCs w:val="23"/>
        </w:rPr>
      </w:pPr>
    </w:p>
    <w:p w14:paraId="33951E32" w14:textId="77777777" w:rsidR="00705E77" w:rsidRPr="000121DD" w:rsidRDefault="00705E77" w:rsidP="00DC6C4A">
      <w:pPr>
        <w:pStyle w:val="BodyText"/>
        <w:rPr>
          <w:iCs/>
          <w:sz w:val="23"/>
          <w:szCs w:val="23"/>
        </w:rPr>
      </w:pPr>
      <w:r w:rsidRPr="000121DD">
        <w:rPr>
          <w:iCs/>
          <w:sz w:val="23"/>
          <w:szCs w:val="23"/>
        </w:rPr>
        <w:t>More specifically, amendments of the Guide are needed to address the following</w:t>
      </w:r>
      <w:r w:rsidR="00C8128A" w:rsidRPr="000121DD">
        <w:rPr>
          <w:iCs/>
          <w:sz w:val="23"/>
          <w:szCs w:val="23"/>
        </w:rPr>
        <w:t xml:space="preserve"> aspects</w:t>
      </w:r>
      <w:r w:rsidRPr="000121DD">
        <w:rPr>
          <w:iCs/>
          <w:sz w:val="23"/>
          <w:szCs w:val="23"/>
        </w:rPr>
        <w:t>:</w:t>
      </w:r>
    </w:p>
    <w:p w14:paraId="7AB42F04" w14:textId="77777777" w:rsidR="00CB5FF3" w:rsidRPr="000121DD" w:rsidRDefault="00CB5FF3" w:rsidP="00CB5FF3">
      <w:pPr>
        <w:pStyle w:val="BodyText"/>
        <w:numPr>
          <w:ilvl w:val="0"/>
          <w:numId w:val="1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Development of </w:t>
      </w:r>
      <w:r w:rsidR="00847762">
        <w:rPr>
          <w:bCs/>
          <w:sz w:val="23"/>
          <w:szCs w:val="23"/>
        </w:rPr>
        <w:t>m</w:t>
      </w:r>
      <w:r>
        <w:rPr>
          <w:bCs/>
          <w:sz w:val="23"/>
          <w:szCs w:val="23"/>
        </w:rPr>
        <w:t xml:space="preserve">ultiunit Level 1 </w:t>
      </w:r>
      <w:r w:rsidRPr="000121DD">
        <w:rPr>
          <w:bCs/>
          <w:sz w:val="23"/>
          <w:szCs w:val="23"/>
        </w:rPr>
        <w:t>PSA models</w:t>
      </w:r>
      <w:r w:rsidR="00BA1774">
        <w:rPr>
          <w:bCs/>
          <w:sz w:val="23"/>
          <w:szCs w:val="23"/>
        </w:rPr>
        <w:t>,</w:t>
      </w:r>
      <w:r w:rsidR="00C63A15">
        <w:rPr>
          <w:bCs/>
          <w:sz w:val="23"/>
          <w:szCs w:val="23"/>
        </w:rPr>
        <w:t xml:space="preserve"> to reflect </w:t>
      </w:r>
      <w:r w:rsidRPr="000121DD">
        <w:rPr>
          <w:bCs/>
          <w:sz w:val="23"/>
          <w:szCs w:val="23"/>
        </w:rPr>
        <w:t xml:space="preserve">the changes introduced in GSR Part 4 (Rev. 1) and experience cumulated within </w:t>
      </w:r>
      <w:r w:rsidRPr="000121DD">
        <w:rPr>
          <w:sz w:val="23"/>
          <w:szCs w:val="23"/>
        </w:rPr>
        <w:t>the IAEA</w:t>
      </w:r>
      <w:r w:rsidR="00847762">
        <w:rPr>
          <w:sz w:val="23"/>
          <w:szCs w:val="23"/>
        </w:rPr>
        <w:t xml:space="preserve"> </w:t>
      </w:r>
      <w:r w:rsidR="00B112A4">
        <w:rPr>
          <w:sz w:val="23"/>
          <w:szCs w:val="23"/>
        </w:rPr>
        <w:t>activities in the area of Multiunit PSA</w:t>
      </w:r>
      <w:r w:rsidR="00BA1774">
        <w:rPr>
          <w:sz w:val="23"/>
          <w:szCs w:val="23"/>
        </w:rPr>
        <w:t>;</w:t>
      </w:r>
    </w:p>
    <w:p w14:paraId="6D7C97E6" w14:textId="77777777" w:rsidR="00CB5FF3" w:rsidRPr="000121DD" w:rsidRDefault="00CB5FF3" w:rsidP="00CB5FF3">
      <w:pPr>
        <w:pStyle w:val="BodyText"/>
        <w:numPr>
          <w:ilvl w:val="0"/>
          <w:numId w:val="16"/>
        </w:numPr>
        <w:rPr>
          <w:bCs/>
          <w:sz w:val="23"/>
          <w:szCs w:val="23"/>
        </w:rPr>
      </w:pPr>
      <w:r w:rsidRPr="000121DD">
        <w:rPr>
          <w:bCs/>
          <w:sz w:val="23"/>
          <w:szCs w:val="23"/>
        </w:rPr>
        <w:t xml:space="preserve">Expanding the scope of the Guide to cover also the </w:t>
      </w:r>
      <w:r w:rsidR="00183BCE">
        <w:rPr>
          <w:bCs/>
          <w:sz w:val="23"/>
          <w:szCs w:val="23"/>
        </w:rPr>
        <w:t xml:space="preserve">spent </w:t>
      </w:r>
      <w:r w:rsidRPr="007E16ED">
        <w:rPr>
          <w:bCs/>
          <w:sz w:val="23"/>
          <w:szCs w:val="23"/>
        </w:rPr>
        <w:t xml:space="preserve">fuel </w:t>
      </w:r>
      <w:r w:rsidR="00183BCE">
        <w:rPr>
          <w:bCs/>
          <w:sz w:val="23"/>
          <w:szCs w:val="23"/>
        </w:rPr>
        <w:t xml:space="preserve">pools </w:t>
      </w:r>
      <w:r w:rsidRPr="000121DD">
        <w:rPr>
          <w:bCs/>
          <w:sz w:val="23"/>
          <w:szCs w:val="23"/>
        </w:rPr>
        <w:t>as a source of radioactive material</w:t>
      </w:r>
      <w:r>
        <w:rPr>
          <w:rStyle w:val="FootnoteReference"/>
          <w:bCs/>
          <w:sz w:val="23"/>
          <w:szCs w:val="23"/>
        </w:rPr>
        <w:footnoteReference w:id="2"/>
      </w:r>
      <w:r w:rsidR="00BA1774">
        <w:rPr>
          <w:bCs/>
          <w:sz w:val="23"/>
          <w:szCs w:val="23"/>
        </w:rPr>
        <w:t>;</w:t>
      </w:r>
      <w:r w:rsidRPr="000121DD">
        <w:rPr>
          <w:bCs/>
          <w:sz w:val="23"/>
          <w:szCs w:val="23"/>
        </w:rPr>
        <w:t xml:space="preserve"> </w:t>
      </w:r>
    </w:p>
    <w:p w14:paraId="5FDC3EAD" w14:textId="62A5B43E" w:rsidR="007F437C" w:rsidRPr="0013283B" w:rsidRDefault="00CB5FF3" w:rsidP="00DC6C4A">
      <w:pPr>
        <w:pStyle w:val="BodyText"/>
        <w:numPr>
          <w:ilvl w:val="0"/>
          <w:numId w:val="1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 w:rsidR="006C62BE" w:rsidRPr="000121DD">
        <w:rPr>
          <w:sz w:val="23"/>
          <w:szCs w:val="23"/>
          <w:lang w:eastAsia="en-GB"/>
        </w:rPr>
        <w:t>onsideration</w:t>
      </w:r>
      <w:r w:rsidR="007E16ED">
        <w:rPr>
          <w:sz w:val="23"/>
          <w:szCs w:val="23"/>
          <w:lang w:eastAsia="en-GB"/>
        </w:rPr>
        <w:t>s</w:t>
      </w:r>
      <w:r w:rsidR="006C62BE" w:rsidRPr="000121DD">
        <w:rPr>
          <w:sz w:val="23"/>
          <w:szCs w:val="23"/>
          <w:lang w:eastAsia="en-GB"/>
        </w:rPr>
        <w:t xml:space="preserve"> of </w:t>
      </w:r>
      <w:r w:rsidR="007C0316">
        <w:rPr>
          <w:sz w:val="23"/>
          <w:szCs w:val="23"/>
          <w:lang w:eastAsia="en-GB"/>
        </w:rPr>
        <w:t>hazard combinations</w:t>
      </w:r>
      <w:r w:rsidR="00BA1774">
        <w:rPr>
          <w:sz w:val="23"/>
          <w:szCs w:val="23"/>
          <w:lang w:eastAsia="en-GB"/>
        </w:rPr>
        <w:t>,</w:t>
      </w:r>
      <w:r w:rsidR="00C63A15">
        <w:rPr>
          <w:sz w:val="23"/>
          <w:szCs w:val="23"/>
          <w:lang w:eastAsia="en-GB"/>
        </w:rPr>
        <w:t xml:space="preserve"> to supplement corresponding discussion in </w:t>
      </w:r>
      <w:r w:rsidR="0015018A">
        <w:rPr>
          <w:sz w:val="23"/>
          <w:szCs w:val="23"/>
          <w:lang w:eastAsia="en-GB"/>
        </w:rPr>
        <w:t xml:space="preserve">Sections 6 and 8 of </w:t>
      </w:r>
      <w:r w:rsidR="00BA1774">
        <w:rPr>
          <w:sz w:val="23"/>
          <w:szCs w:val="23"/>
          <w:lang w:eastAsia="en-GB"/>
        </w:rPr>
        <w:t xml:space="preserve">the </w:t>
      </w:r>
      <w:r w:rsidR="0015018A">
        <w:rPr>
          <w:bCs/>
          <w:sz w:val="23"/>
          <w:szCs w:val="23"/>
        </w:rPr>
        <w:t>current Guide)</w:t>
      </w:r>
      <w:r w:rsidR="00BA1774">
        <w:rPr>
          <w:sz w:val="23"/>
          <w:szCs w:val="23"/>
          <w:lang w:eastAsia="en-GB"/>
        </w:rPr>
        <w:t>;</w:t>
      </w:r>
      <w:r w:rsidR="006C62BE" w:rsidRPr="000121DD">
        <w:rPr>
          <w:sz w:val="23"/>
          <w:szCs w:val="23"/>
          <w:lang w:eastAsia="en-GB"/>
        </w:rPr>
        <w:t xml:space="preserve"> </w:t>
      </w:r>
    </w:p>
    <w:p w14:paraId="00D4F5C3" w14:textId="0470D05C" w:rsidR="008F7D89" w:rsidRPr="000121DD" w:rsidRDefault="008F7D89" w:rsidP="00DC6C4A">
      <w:pPr>
        <w:pStyle w:val="BodyText"/>
        <w:numPr>
          <w:ilvl w:val="0"/>
          <w:numId w:val="16"/>
        </w:numPr>
        <w:rPr>
          <w:bCs/>
          <w:sz w:val="23"/>
          <w:szCs w:val="23"/>
        </w:rPr>
      </w:pPr>
      <w:r w:rsidRPr="008F7D89">
        <w:rPr>
          <w:bCs/>
          <w:sz w:val="23"/>
          <w:szCs w:val="23"/>
        </w:rPr>
        <w:lastRenderedPageBreak/>
        <w:t>Recent developments in the area of human factors in accident conditions to supplement the paragraphs 5.96 – 5.113.</w:t>
      </w:r>
    </w:p>
    <w:p w14:paraId="1F5D50E3" w14:textId="77777777" w:rsidR="00B42B2F" w:rsidRPr="000121DD" w:rsidRDefault="00F548B5" w:rsidP="00DC6C4A">
      <w:pPr>
        <w:pStyle w:val="BodyText"/>
        <w:numPr>
          <w:ilvl w:val="0"/>
          <w:numId w:val="1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Recent developments in the area of r</w:t>
      </w:r>
      <w:r w:rsidR="00D630DA" w:rsidRPr="000121DD">
        <w:rPr>
          <w:bCs/>
          <w:sz w:val="23"/>
          <w:szCs w:val="23"/>
        </w:rPr>
        <w:t xml:space="preserve">eliability </w:t>
      </w:r>
      <w:r>
        <w:rPr>
          <w:bCs/>
          <w:sz w:val="23"/>
          <w:szCs w:val="23"/>
        </w:rPr>
        <w:t xml:space="preserve">analysis of </w:t>
      </w:r>
      <w:r w:rsidR="00D630DA" w:rsidRPr="000121DD">
        <w:rPr>
          <w:bCs/>
          <w:sz w:val="23"/>
          <w:szCs w:val="23"/>
        </w:rPr>
        <w:t>p</w:t>
      </w:r>
      <w:r w:rsidR="00F142FC" w:rsidRPr="000121DD">
        <w:rPr>
          <w:bCs/>
          <w:sz w:val="23"/>
          <w:szCs w:val="23"/>
        </w:rPr>
        <w:t>assive systems and software</w:t>
      </w:r>
      <w:r w:rsidR="00D630DA" w:rsidRPr="000121DD">
        <w:rPr>
          <w:bCs/>
          <w:sz w:val="23"/>
          <w:szCs w:val="23"/>
        </w:rPr>
        <w:t>-based systems</w:t>
      </w:r>
      <w:r w:rsidR="00BA1774">
        <w:rPr>
          <w:bCs/>
          <w:sz w:val="23"/>
          <w:szCs w:val="23"/>
        </w:rPr>
        <w:t>,</w:t>
      </w:r>
      <w:r w:rsidR="00CB5FF3">
        <w:rPr>
          <w:bCs/>
          <w:sz w:val="23"/>
          <w:szCs w:val="23"/>
        </w:rPr>
        <w:t xml:space="preserve"> to supplement the paragraphs 5.114-5.120 of </w:t>
      </w:r>
      <w:r w:rsidR="00BA1774">
        <w:rPr>
          <w:bCs/>
          <w:sz w:val="23"/>
          <w:szCs w:val="23"/>
        </w:rPr>
        <w:t xml:space="preserve">the </w:t>
      </w:r>
      <w:r w:rsidR="00CB5FF3">
        <w:rPr>
          <w:bCs/>
          <w:sz w:val="23"/>
          <w:szCs w:val="23"/>
        </w:rPr>
        <w:t>current Guide</w:t>
      </w:r>
      <w:r w:rsidR="00BA1774">
        <w:rPr>
          <w:bCs/>
          <w:sz w:val="23"/>
          <w:szCs w:val="23"/>
        </w:rPr>
        <w:t>;</w:t>
      </w:r>
    </w:p>
    <w:p w14:paraId="59F4C65E" w14:textId="77777777" w:rsidR="00257551" w:rsidRPr="000121DD" w:rsidRDefault="00F548B5" w:rsidP="00DC6C4A">
      <w:pPr>
        <w:pStyle w:val="BodyText"/>
        <w:numPr>
          <w:ilvl w:val="0"/>
          <w:numId w:val="1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Recent developments in the area of u</w:t>
      </w:r>
      <w:r w:rsidRPr="000121DD">
        <w:rPr>
          <w:bCs/>
          <w:sz w:val="23"/>
          <w:szCs w:val="23"/>
        </w:rPr>
        <w:t xml:space="preserve">se </w:t>
      </w:r>
      <w:r w:rsidR="00257551" w:rsidRPr="000121DD">
        <w:rPr>
          <w:bCs/>
          <w:sz w:val="23"/>
          <w:szCs w:val="23"/>
        </w:rPr>
        <w:t xml:space="preserve">and </w:t>
      </w:r>
      <w:r>
        <w:rPr>
          <w:bCs/>
          <w:sz w:val="23"/>
          <w:szCs w:val="23"/>
        </w:rPr>
        <w:t>a</w:t>
      </w:r>
      <w:r w:rsidRPr="000121DD">
        <w:rPr>
          <w:bCs/>
          <w:sz w:val="23"/>
          <w:szCs w:val="23"/>
        </w:rPr>
        <w:t xml:space="preserve">pplications </w:t>
      </w:r>
      <w:r w:rsidR="00257551" w:rsidRPr="000121DD">
        <w:rPr>
          <w:bCs/>
          <w:sz w:val="23"/>
          <w:szCs w:val="23"/>
        </w:rPr>
        <w:t>of PSA</w:t>
      </w:r>
      <w:r w:rsidR="00BA1774">
        <w:rPr>
          <w:bCs/>
          <w:sz w:val="23"/>
          <w:szCs w:val="23"/>
        </w:rPr>
        <w:t>,</w:t>
      </w:r>
      <w:r w:rsidR="00CB5FF3">
        <w:rPr>
          <w:bCs/>
          <w:sz w:val="23"/>
          <w:szCs w:val="23"/>
        </w:rPr>
        <w:t xml:space="preserve"> to supplement Section 10 of </w:t>
      </w:r>
      <w:r w:rsidR="00BA1774">
        <w:rPr>
          <w:bCs/>
          <w:sz w:val="23"/>
          <w:szCs w:val="23"/>
        </w:rPr>
        <w:t xml:space="preserve">the </w:t>
      </w:r>
      <w:r w:rsidR="00CB5FF3">
        <w:rPr>
          <w:bCs/>
          <w:sz w:val="23"/>
          <w:szCs w:val="23"/>
        </w:rPr>
        <w:t>current Guide</w:t>
      </w:r>
      <w:r w:rsidR="00BA1774">
        <w:rPr>
          <w:sz w:val="23"/>
          <w:szCs w:val="23"/>
        </w:rPr>
        <w:t>;</w:t>
      </w:r>
    </w:p>
    <w:p w14:paraId="1E6ADCF1" w14:textId="77777777" w:rsidR="00F142FC" w:rsidRPr="000121DD" w:rsidRDefault="00F548B5" w:rsidP="00DC6C4A">
      <w:pPr>
        <w:pStyle w:val="BodyText"/>
        <w:numPr>
          <w:ilvl w:val="0"/>
          <w:numId w:val="1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E</w:t>
      </w:r>
      <w:r w:rsidR="00F142FC" w:rsidRPr="000121DD">
        <w:rPr>
          <w:bCs/>
          <w:sz w:val="23"/>
          <w:szCs w:val="23"/>
        </w:rPr>
        <w:t xml:space="preserve">xperience gained </w:t>
      </w:r>
      <w:r w:rsidR="00D630DA" w:rsidRPr="000121DD">
        <w:rPr>
          <w:bCs/>
          <w:sz w:val="23"/>
          <w:szCs w:val="23"/>
        </w:rPr>
        <w:t xml:space="preserve">from </w:t>
      </w:r>
      <w:r w:rsidR="00AC0B24" w:rsidRPr="000121DD">
        <w:rPr>
          <w:bCs/>
          <w:sz w:val="23"/>
          <w:szCs w:val="23"/>
        </w:rPr>
        <w:t xml:space="preserve">IAEA </w:t>
      </w:r>
      <w:r w:rsidR="00F142FC" w:rsidRPr="000121DD">
        <w:rPr>
          <w:bCs/>
          <w:sz w:val="23"/>
          <w:szCs w:val="23"/>
        </w:rPr>
        <w:t xml:space="preserve">PSA review services </w:t>
      </w:r>
      <w:r w:rsidR="00D630DA" w:rsidRPr="000121DD">
        <w:rPr>
          <w:bCs/>
          <w:sz w:val="23"/>
          <w:szCs w:val="23"/>
        </w:rPr>
        <w:t>in various Member States</w:t>
      </w:r>
      <w:r w:rsidR="000F3FFB" w:rsidRPr="000121DD">
        <w:rPr>
          <w:bCs/>
          <w:sz w:val="23"/>
          <w:szCs w:val="23"/>
        </w:rPr>
        <w:t xml:space="preserve"> (i.e. TSR-PSA)</w:t>
      </w:r>
      <w:r>
        <w:rPr>
          <w:bCs/>
          <w:sz w:val="23"/>
          <w:szCs w:val="23"/>
        </w:rPr>
        <w:t xml:space="preserve"> in terms of applicability of certain paragraphs </w:t>
      </w:r>
      <w:r w:rsidR="00CB5FF3">
        <w:rPr>
          <w:bCs/>
          <w:sz w:val="23"/>
          <w:szCs w:val="23"/>
        </w:rPr>
        <w:t>of the</w:t>
      </w:r>
      <w:r>
        <w:rPr>
          <w:bCs/>
          <w:sz w:val="23"/>
          <w:szCs w:val="23"/>
        </w:rPr>
        <w:t xml:space="preserve"> Guide for review purposes</w:t>
      </w:r>
      <w:r w:rsidR="00CB5FF3">
        <w:rPr>
          <w:bCs/>
          <w:sz w:val="23"/>
          <w:szCs w:val="23"/>
        </w:rPr>
        <w:t>.</w:t>
      </w:r>
    </w:p>
    <w:p w14:paraId="04AAC666" w14:textId="6C625020" w:rsidR="00F142FC" w:rsidRPr="000121DD" w:rsidRDefault="00D8000D" w:rsidP="00D8000D">
      <w:pPr>
        <w:pStyle w:val="BodyTex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In addition, taking into account that </w:t>
      </w:r>
      <w:r w:rsidRPr="005B592B">
        <w:rPr>
          <w:bCs/>
          <w:sz w:val="23"/>
          <w:szCs w:val="23"/>
        </w:rPr>
        <w:t>PSA can reveal vulnerabilities</w:t>
      </w:r>
      <w:r>
        <w:rPr>
          <w:bCs/>
          <w:sz w:val="23"/>
          <w:szCs w:val="23"/>
        </w:rPr>
        <w:t xml:space="preserve"> some Member States consider PSA report as a classified document and therefore, this Safety Guide is considered as a generic </w:t>
      </w:r>
      <w:r w:rsidRPr="005B592B">
        <w:rPr>
          <w:bCs/>
          <w:sz w:val="23"/>
          <w:szCs w:val="23"/>
        </w:rPr>
        <w:t>safety-security interface</w:t>
      </w:r>
      <w:r>
        <w:rPr>
          <w:bCs/>
          <w:sz w:val="23"/>
          <w:szCs w:val="23"/>
        </w:rPr>
        <w:t xml:space="preserve"> document.</w:t>
      </w:r>
      <w:r w:rsidR="005B592B" w:rsidRPr="005B592B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At the same time, it needs to be noted that </w:t>
      </w:r>
      <w:r w:rsidR="005B592B" w:rsidRPr="005B592B">
        <w:rPr>
          <w:bCs/>
          <w:sz w:val="23"/>
          <w:szCs w:val="23"/>
        </w:rPr>
        <w:t>the consideration of hazards arising from malicious acts is out of the scope of this Safety Guide</w:t>
      </w:r>
      <w:r>
        <w:rPr>
          <w:bCs/>
          <w:sz w:val="23"/>
          <w:szCs w:val="23"/>
        </w:rPr>
        <w:t xml:space="preserve"> and therefore, there are no</w:t>
      </w:r>
      <w:r w:rsidR="005B592B" w:rsidRPr="005B592B">
        <w:rPr>
          <w:bCs/>
          <w:sz w:val="23"/>
          <w:szCs w:val="23"/>
        </w:rPr>
        <w:t xml:space="preserve"> specific </w:t>
      </w:r>
      <w:r w:rsidRPr="005B592B">
        <w:rPr>
          <w:bCs/>
          <w:sz w:val="23"/>
          <w:szCs w:val="23"/>
        </w:rPr>
        <w:t xml:space="preserve">safety-security </w:t>
      </w:r>
      <w:r w:rsidR="005B592B" w:rsidRPr="005B592B">
        <w:rPr>
          <w:bCs/>
          <w:sz w:val="23"/>
          <w:szCs w:val="23"/>
        </w:rPr>
        <w:t>interfaces.</w:t>
      </w:r>
    </w:p>
    <w:p w14:paraId="2689D70D" w14:textId="77777777" w:rsidR="004D5972" w:rsidRPr="000121DD" w:rsidRDefault="00A17C97" w:rsidP="004D5972">
      <w:pPr>
        <w:pStyle w:val="BodyText"/>
        <w:spacing w:after="240" w:line="240" w:lineRule="auto"/>
        <w:jc w:val="left"/>
        <w:rPr>
          <w:b/>
          <w:bCs/>
          <w:sz w:val="23"/>
          <w:szCs w:val="23"/>
        </w:rPr>
      </w:pPr>
      <w:r w:rsidRPr="000121DD">
        <w:rPr>
          <w:b/>
          <w:bCs/>
          <w:sz w:val="23"/>
          <w:szCs w:val="23"/>
        </w:rPr>
        <w:t>4. OBJECTIVE</w:t>
      </w:r>
      <w:r w:rsidR="00E0263C" w:rsidRPr="000121DD">
        <w:rPr>
          <w:b/>
          <w:bCs/>
          <w:sz w:val="23"/>
          <w:szCs w:val="23"/>
        </w:rPr>
        <w:t xml:space="preserve"> </w:t>
      </w:r>
    </w:p>
    <w:p w14:paraId="110BD6B5" w14:textId="77777777" w:rsidR="00881CD3" w:rsidRDefault="00DE3B2D" w:rsidP="00DC6C4A">
      <w:pPr>
        <w:pStyle w:val="BodyText"/>
        <w:spacing w:after="240" w:line="240" w:lineRule="auto"/>
        <w:rPr>
          <w:iCs/>
          <w:sz w:val="23"/>
          <w:szCs w:val="23"/>
        </w:rPr>
      </w:pPr>
      <w:r w:rsidRPr="000121DD">
        <w:rPr>
          <w:iCs/>
          <w:sz w:val="23"/>
          <w:szCs w:val="23"/>
        </w:rPr>
        <w:t xml:space="preserve">The objective of this Safety Guide is to provide recommendations for meeting the requirements of </w:t>
      </w:r>
      <w:r w:rsidRPr="000121DD">
        <w:rPr>
          <w:bCs/>
          <w:sz w:val="23"/>
          <w:szCs w:val="23"/>
        </w:rPr>
        <w:t xml:space="preserve">GSR Part 4 (Rev. 1) </w:t>
      </w:r>
      <w:r w:rsidRPr="000121DD">
        <w:rPr>
          <w:iCs/>
          <w:sz w:val="23"/>
          <w:szCs w:val="23"/>
        </w:rPr>
        <w:t>in development and application of Level 1 Probabilistic Safety Assessment</w:t>
      </w:r>
      <w:r w:rsidR="00AB5D0A">
        <w:rPr>
          <w:iCs/>
          <w:sz w:val="23"/>
          <w:szCs w:val="23"/>
        </w:rPr>
        <w:t xml:space="preserve"> for NPPs</w:t>
      </w:r>
      <w:r w:rsidR="00881CD3">
        <w:rPr>
          <w:iCs/>
          <w:sz w:val="23"/>
          <w:szCs w:val="23"/>
        </w:rPr>
        <w:t>.</w:t>
      </w:r>
      <w:r w:rsidR="0064725C">
        <w:rPr>
          <w:iCs/>
          <w:sz w:val="23"/>
          <w:szCs w:val="23"/>
        </w:rPr>
        <w:t xml:space="preserve"> </w:t>
      </w:r>
    </w:p>
    <w:p w14:paraId="0E388E16" w14:textId="77777777" w:rsidR="00881CD3" w:rsidRDefault="00881CD3" w:rsidP="00881CD3">
      <w:pPr>
        <w:pStyle w:val="BodyText"/>
        <w:spacing w:after="240"/>
        <w:rPr>
          <w:iCs/>
          <w:sz w:val="23"/>
          <w:szCs w:val="23"/>
        </w:rPr>
      </w:pPr>
      <w:r w:rsidRPr="00881CD3">
        <w:rPr>
          <w:iCs/>
          <w:sz w:val="23"/>
          <w:szCs w:val="23"/>
        </w:rPr>
        <w:t xml:space="preserve">The recommendations provided in this </w:t>
      </w:r>
      <w:r w:rsidR="00BA1774">
        <w:rPr>
          <w:iCs/>
          <w:sz w:val="23"/>
          <w:szCs w:val="23"/>
        </w:rPr>
        <w:t xml:space="preserve">Safety </w:t>
      </w:r>
      <w:r w:rsidRPr="00881CD3">
        <w:rPr>
          <w:iCs/>
          <w:sz w:val="23"/>
          <w:szCs w:val="23"/>
        </w:rPr>
        <w:t>Guide aim</w:t>
      </w:r>
      <w:r>
        <w:rPr>
          <w:iCs/>
          <w:sz w:val="23"/>
          <w:szCs w:val="23"/>
        </w:rPr>
        <w:t xml:space="preserve"> </w:t>
      </w:r>
      <w:r w:rsidR="00BF6776">
        <w:rPr>
          <w:iCs/>
          <w:sz w:val="23"/>
          <w:szCs w:val="23"/>
        </w:rPr>
        <w:t>at</w:t>
      </w:r>
      <w:r w:rsidRPr="00881CD3">
        <w:rPr>
          <w:iCs/>
          <w:sz w:val="23"/>
          <w:szCs w:val="23"/>
        </w:rPr>
        <w:t xml:space="preserve"> promot</w:t>
      </w:r>
      <w:r w:rsidR="00BF6776">
        <w:rPr>
          <w:iCs/>
          <w:sz w:val="23"/>
          <w:szCs w:val="23"/>
        </w:rPr>
        <w:t>ing</w:t>
      </w:r>
      <w:r w:rsidRPr="00881CD3">
        <w:rPr>
          <w:iCs/>
          <w:sz w:val="23"/>
          <w:szCs w:val="23"/>
        </w:rPr>
        <w:t xml:space="preserve"> technical consistency among Level 1 PSA studies</w:t>
      </w:r>
      <w:r w:rsidR="00BA1774">
        <w:rPr>
          <w:iCs/>
          <w:sz w:val="23"/>
          <w:szCs w:val="23"/>
        </w:rPr>
        <w:t>,</w:t>
      </w:r>
      <w:r w:rsidRPr="00881CD3">
        <w:rPr>
          <w:iCs/>
          <w:sz w:val="23"/>
          <w:szCs w:val="23"/>
        </w:rPr>
        <w:t xml:space="preserve"> in order to provide</w:t>
      </w:r>
      <w:r>
        <w:rPr>
          <w:iCs/>
          <w:sz w:val="23"/>
          <w:szCs w:val="23"/>
        </w:rPr>
        <w:t xml:space="preserve"> </w:t>
      </w:r>
      <w:r w:rsidRPr="00881CD3">
        <w:rPr>
          <w:iCs/>
          <w:sz w:val="23"/>
          <w:szCs w:val="23"/>
        </w:rPr>
        <w:t>reliable support for applications of PSA and risk informed decision making</w:t>
      </w:r>
      <w:r>
        <w:rPr>
          <w:iCs/>
          <w:sz w:val="23"/>
          <w:szCs w:val="23"/>
        </w:rPr>
        <w:t>, particularly to support the design of NPPs and the decision making during plant commissioning and operation</w:t>
      </w:r>
      <w:r w:rsidRPr="00881CD3">
        <w:rPr>
          <w:iCs/>
          <w:sz w:val="23"/>
          <w:szCs w:val="23"/>
        </w:rPr>
        <w:t xml:space="preserve">. </w:t>
      </w:r>
    </w:p>
    <w:p w14:paraId="2AAF9B8A" w14:textId="77777777" w:rsidR="00881CD3" w:rsidRDefault="00881CD3" w:rsidP="00881CD3">
      <w:pPr>
        <w:pStyle w:val="BodyText"/>
        <w:spacing w:after="240"/>
        <w:rPr>
          <w:iCs/>
          <w:sz w:val="23"/>
          <w:szCs w:val="23"/>
        </w:rPr>
      </w:pPr>
      <w:r w:rsidRPr="00881CD3">
        <w:rPr>
          <w:iCs/>
          <w:sz w:val="23"/>
          <w:szCs w:val="23"/>
        </w:rPr>
        <w:t>A</w:t>
      </w:r>
      <w:r>
        <w:rPr>
          <w:iCs/>
          <w:sz w:val="23"/>
          <w:szCs w:val="23"/>
        </w:rPr>
        <w:t xml:space="preserve"> </w:t>
      </w:r>
      <w:r w:rsidRPr="00881CD3">
        <w:rPr>
          <w:iCs/>
          <w:sz w:val="23"/>
          <w:szCs w:val="23"/>
        </w:rPr>
        <w:t>further aim of this Safety Guide is to recommend a standard framework that can</w:t>
      </w:r>
      <w:r>
        <w:rPr>
          <w:iCs/>
          <w:sz w:val="23"/>
          <w:szCs w:val="23"/>
        </w:rPr>
        <w:t xml:space="preserve"> </w:t>
      </w:r>
      <w:r w:rsidRPr="00881CD3">
        <w:rPr>
          <w:iCs/>
          <w:sz w:val="23"/>
          <w:szCs w:val="23"/>
        </w:rPr>
        <w:t>facilitate a regulatory review or peer review of a Level 1 PSA and its</w:t>
      </w:r>
      <w:r>
        <w:rPr>
          <w:iCs/>
          <w:sz w:val="23"/>
          <w:szCs w:val="23"/>
        </w:rPr>
        <w:t xml:space="preserve"> </w:t>
      </w:r>
      <w:r w:rsidRPr="00881CD3">
        <w:rPr>
          <w:iCs/>
          <w:sz w:val="23"/>
          <w:szCs w:val="23"/>
        </w:rPr>
        <w:t>various applications.</w:t>
      </w:r>
      <w:r>
        <w:rPr>
          <w:iCs/>
          <w:sz w:val="23"/>
          <w:szCs w:val="23"/>
        </w:rPr>
        <w:t xml:space="preserve"> </w:t>
      </w:r>
    </w:p>
    <w:p w14:paraId="2DEEC3CB" w14:textId="77777777" w:rsidR="001C4BD0" w:rsidRPr="000121DD" w:rsidRDefault="00E8323E" w:rsidP="007A2D18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0121DD">
        <w:rPr>
          <w:sz w:val="23"/>
          <w:szCs w:val="23"/>
          <w:lang w:val="en-GB" w:eastAsia="en-GB"/>
        </w:rPr>
        <w:t xml:space="preserve">The revised Safety Guide is intended for use by designers, operators, technical support organizations and regulators in development and application of Level 1 PSA. </w:t>
      </w:r>
      <w:r w:rsidR="00DE3B2D" w:rsidRPr="000121DD">
        <w:rPr>
          <w:iCs/>
          <w:sz w:val="23"/>
          <w:szCs w:val="23"/>
        </w:rPr>
        <w:t xml:space="preserve">The revised Safety Guide is intended for use in connection with authorization (licensing) of </w:t>
      </w:r>
      <w:r w:rsidR="00BF7C27">
        <w:rPr>
          <w:iCs/>
          <w:sz w:val="23"/>
          <w:szCs w:val="23"/>
        </w:rPr>
        <w:t xml:space="preserve">the </w:t>
      </w:r>
      <w:r w:rsidR="00AC0B24" w:rsidRPr="000121DD">
        <w:rPr>
          <w:iCs/>
          <w:sz w:val="23"/>
          <w:szCs w:val="23"/>
        </w:rPr>
        <w:t xml:space="preserve">construction </w:t>
      </w:r>
      <w:r w:rsidR="00BF7C27">
        <w:rPr>
          <w:iCs/>
          <w:sz w:val="23"/>
          <w:szCs w:val="23"/>
        </w:rPr>
        <w:t xml:space="preserve">of new </w:t>
      </w:r>
      <w:r w:rsidR="00DE3B2D" w:rsidRPr="000121DD">
        <w:rPr>
          <w:iCs/>
          <w:sz w:val="23"/>
          <w:szCs w:val="23"/>
        </w:rPr>
        <w:t>nuclear power plants and also for the safety re-evaluation of existing nuclear power plants.</w:t>
      </w:r>
    </w:p>
    <w:p w14:paraId="3BDA013D" w14:textId="77777777" w:rsidR="00AC1379" w:rsidRPr="000121DD" w:rsidRDefault="00AC1379" w:rsidP="00DC6C4A">
      <w:pPr>
        <w:pStyle w:val="BodyText"/>
        <w:rPr>
          <w:i/>
          <w:iCs/>
          <w:sz w:val="23"/>
          <w:szCs w:val="23"/>
        </w:rPr>
      </w:pPr>
    </w:p>
    <w:p w14:paraId="356E475E" w14:textId="77777777" w:rsidR="004D5972" w:rsidRPr="000121DD" w:rsidRDefault="00C710DB" w:rsidP="00DC6C4A">
      <w:pPr>
        <w:pStyle w:val="BodyText"/>
        <w:spacing w:after="360" w:line="240" w:lineRule="auto"/>
        <w:rPr>
          <w:sz w:val="23"/>
          <w:szCs w:val="23"/>
          <w:lang w:eastAsia="en-GB"/>
        </w:rPr>
      </w:pPr>
      <w:r w:rsidRPr="000121DD">
        <w:rPr>
          <w:b/>
          <w:bCs/>
          <w:sz w:val="23"/>
          <w:szCs w:val="23"/>
        </w:rPr>
        <w:t xml:space="preserve">5. SCOPE </w:t>
      </w:r>
    </w:p>
    <w:p w14:paraId="62B4C28E" w14:textId="123D7DF4" w:rsidR="001C4BD0" w:rsidRPr="000121DD" w:rsidRDefault="00DE3B2D" w:rsidP="0005123D">
      <w:pPr>
        <w:pStyle w:val="BodyText"/>
        <w:spacing w:after="240" w:line="240" w:lineRule="auto"/>
        <w:rPr>
          <w:sz w:val="23"/>
          <w:szCs w:val="23"/>
          <w:lang w:eastAsia="en-GB"/>
        </w:rPr>
      </w:pPr>
      <w:r w:rsidRPr="000121DD">
        <w:rPr>
          <w:sz w:val="23"/>
          <w:szCs w:val="23"/>
          <w:lang w:eastAsia="en-GB"/>
        </w:rPr>
        <w:t>This Safety Guide addresses the necessary technical features of a Level 1 PSA and applications for nuclear power plants</w:t>
      </w:r>
      <w:r w:rsidR="007C18EF">
        <w:rPr>
          <w:sz w:val="23"/>
          <w:szCs w:val="23"/>
          <w:lang w:eastAsia="en-GB"/>
        </w:rPr>
        <w:t xml:space="preserve"> (both operating and new NPPs)</w:t>
      </w:r>
      <w:r w:rsidRPr="000121DD">
        <w:rPr>
          <w:sz w:val="23"/>
          <w:szCs w:val="23"/>
          <w:lang w:eastAsia="en-GB"/>
        </w:rPr>
        <w:t>.</w:t>
      </w:r>
      <w:r w:rsidR="00A94574">
        <w:rPr>
          <w:sz w:val="23"/>
          <w:szCs w:val="23"/>
          <w:lang w:eastAsia="en-GB"/>
        </w:rPr>
        <w:t xml:space="preserve"> </w:t>
      </w:r>
      <w:r w:rsidR="004B2610" w:rsidRPr="00DF0A8B">
        <w:rPr>
          <w:sz w:val="23"/>
          <w:szCs w:val="23"/>
          <w:lang w:eastAsia="en-GB"/>
        </w:rPr>
        <w:t>The revision of the Guide expand</w:t>
      </w:r>
      <w:r w:rsidR="004906AA" w:rsidRPr="00DF0A8B">
        <w:rPr>
          <w:sz w:val="23"/>
          <w:szCs w:val="23"/>
          <w:lang w:eastAsia="en-GB"/>
        </w:rPr>
        <w:t>s</w:t>
      </w:r>
      <w:r w:rsidR="004B2610" w:rsidRPr="00DF0A8B">
        <w:rPr>
          <w:sz w:val="23"/>
          <w:szCs w:val="23"/>
          <w:lang w:eastAsia="en-GB"/>
        </w:rPr>
        <w:t xml:space="preserve"> the scope to cover </w:t>
      </w:r>
      <w:r w:rsidR="001D6494" w:rsidRPr="00DF0A8B">
        <w:rPr>
          <w:sz w:val="23"/>
          <w:szCs w:val="23"/>
          <w:lang w:eastAsia="en-GB"/>
        </w:rPr>
        <w:t xml:space="preserve">multiunit PSA aspects and </w:t>
      </w:r>
      <w:r w:rsidR="00E73210">
        <w:rPr>
          <w:sz w:val="23"/>
          <w:szCs w:val="23"/>
          <w:lang w:eastAsia="en-GB"/>
        </w:rPr>
        <w:t xml:space="preserve">spent </w:t>
      </w:r>
      <w:r w:rsidR="004B2610" w:rsidRPr="00DF0A8B">
        <w:rPr>
          <w:sz w:val="23"/>
          <w:szCs w:val="23"/>
          <w:lang w:eastAsia="en-GB"/>
        </w:rPr>
        <w:t xml:space="preserve">fuel </w:t>
      </w:r>
      <w:r w:rsidR="00E73210">
        <w:rPr>
          <w:sz w:val="23"/>
          <w:szCs w:val="23"/>
          <w:lang w:eastAsia="en-GB"/>
        </w:rPr>
        <w:t xml:space="preserve">pools </w:t>
      </w:r>
      <w:r w:rsidR="004B2610" w:rsidRPr="00DF0A8B">
        <w:rPr>
          <w:sz w:val="23"/>
          <w:szCs w:val="23"/>
          <w:lang w:eastAsia="en-GB"/>
        </w:rPr>
        <w:t>as a source of radioactive material.</w:t>
      </w:r>
      <w:r w:rsidR="004B2610">
        <w:rPr>
          <w:sz w:val="23"/>
          <w:szCs w:val="23"/>
          <w:lang w:eastAsia="en-GB"/>
        </w:rPr>
        <w:t xml:space="preserve"> </w:t>
      </w:r>
      <w:r w:rsidR="00881CD3" w:rsidRPr="000121DD">
        <w:rPr>
          <w:sz w:val="23"/>
          <w:szCs w:val="23"/>
          <w:lang w:eastAsia="en-GB"/>
        </w:rPr>
        <w:t>The consideration of hazards arising from malicious act</w:t>
      </w:r>
      <w:r w:rsidR="00E73210">
        <w:rPr>
          <w:sz w:val="23"/>
          <w:szCs w:val="23"/>
          <w:lang w:eastAsia="en-GB"/>
        </w:rPr>
        <w:t>s</w:t>
      </w:r>
      <w:r w:rsidR="00881CD3" w:rsidRPr="000121DD">
        <w:rPr>
          <w:sz w:val="23"/>
          <w:szCs w:val="23"/>
          <w:lang w:eastAsia="en-GB"/>
        </w:rPr>
        <w:t xml:space="preserve"> </w:t>
      </w:r>
      <w:r w:rsidR="00E73210">
        <w:rPr>
          <w:sz w:val="23"/>
          <w:szCs w:val="23"/>
          <w:lang w:eastAsia="en-GB"/>
        </w:rPr>
        <w:t xml:space="preserve">is out of </w:t>
      </w:r>
      <w:r w:rsidR="00881CD3" w:rsidRPr="000121DD">
        <w:rPr>
          <w:sz w:val="23"/>
          <w:szCs w:val="23"/>
          <w:lang w:eastAsia="en-GB"/>
        </w:rPr>
        <w:t>the scope of this Safety Guide</w:t>
      </w:r>
      <w:r w:rsidR="00881CD3">
        <w:rPr>
          <w:sz w:val="23"/>
          <w:szCs w:val="23"/>
          <w:lang w:eastAsia="en-GB"/>
        </w:rPr>
        <w:t>.</w:t>
      </w:r>
    </w:p>
    <w:p w14:paraId="4B98A085" w14:textId="77777777" w:rsidR="00DE3B2D" w:rsidRPr="000121DD" w:rsidRDefault="00DE3B2D" w:rsidP="00DC6C4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952ED7A" w14:textId="77777777" w:rsidR="002B52C3" w:rsidRPr="000121DD" w:rsidRDefault="00C710DB" w:rsidP="00DC6C4A">
      <w:pPr>
        <w:pStyle w:val="BodyText"/>
        <w:rPr>
          <w:sz w:val="23"/>
          <w:szCs w:val="23"/>
        </w:rPr>
      </w:pPr>
      <w:r w:rsidRPr="000121DD">
        <w:rPr>
          <w:b/>
          <w:bCs/>
          <w:sz w:val="23"/>
          <w:szCs w:val="23"/>
        </w:rPr>
        <w:t>6</w:t>
      </w:r>
      <w:r w:rsidR="00142442" w:rsidRPr="000121DD">
        <w:rPr>
          <w:b/>
          <w:bCs/>
          <w:sz w:val="23"/>
          <w:szCs w:val="23"/>
        </w:rPr>
        <w:t xml:space="preserve">. </w:t>
      </w:r>
      <w:r w:rsidR="00481A4D" w:rsidRPr="000121DD">
        <w:rPr>
          <w:b/>
          <w:bCs/>
          <w:sz w:val="23"/>
          <w:szCs w:val="23"/>
        </w:rPr>
        <w:t>P</w:t>
      </w:r>
      <w:r w:rsidR="008347F7" w:rsidRPr="000121DD">
        <w:rPr>
          <w:b/>
          <w:bCs/>
          <w:sz w:val="23"/>
          <w:szCs w:val="23"/>
        </w:rPr>
        <w:t>LACE</w:t>
      </w:r>
      <w:r w:rsidR="00481A4D" w:rsidRPr="000121DD">
        <w:rPr>
          <w:b/>
          <w:bCs/>
          <w:sz w:val="23"/>
          <w:szCs w:val="23"/>
        </w:rPr>
        <w:t xml:space="preserve"> IN THE OVERALL STRUCTURE OF </w:t>
      </w:r>
      <w:r w:rsidR="0017772C" w:rsidRPr="000121DD">
        <w:rPr>
          <w:b/>
          <w:bCs/>
          <w:sz w:val="23"/>
          <w:szCs w:val="23"/>
        </w:rPr>
        <w:t>THE RELEVANT SERIES</w:t>
      </w:r>
      <w:r w:rsidR="00481A4D" w:rsidRPr="000121DD">
        <w:rPr>
          <w:b/>
          <w:bCs/>
          <w:sz w:val="23"/>
          <w:szCs w:val="23"/>
        </w:rPr>
        <w:t xml:space="preserve"> AND </w:t>
      </w:r>
      <w:r w:rsidR="00142442" w:rsidRPr="000121DD">
        <w:rPr>
          <w:b/>
          <w:bCs/>
          <w:sz w:val="23"/>
          <w:szCs w:val="23"/>
        </w:rPr>
        <w:t>INTERFACES</w:t>
      </w:r>
      <w:r w:rsidR="00481A4D" w:rsidRPr="000121DD">
        <w:rPr>
          <w:b/>
          <w:bCs/>
          <w:sz w:val="23"/>
          <w:szCs w:val="23"/>
        </w:rPr>
        <w:t xml:space="preserve"> WITH EXISTING AND/OR PLANNED </w:t>
      </w:r>
      <w:r w:rsidR="008347F7" w:rsidRPr="000121DD">
        <w:rPr>
          <w:b/>
          <w:bCs/>
          <w:sz w:val="23"/>
          <w:szCs w:val="23"/>
        </w:rPr>
        <w:t xml:space="preserve">PUBLICATIONS </w:t>
      </w:r>
      <w:r w:rsidR="00142442" w:rsidRPr="000121DD">
        <w:rPr>
          <w:b/>
          <w:bCs/>
          <w:sz w:val="23"/>
          <w:szCs w:val="23"/>
        </w:rPr>
        <w:br/>
      </w:r>
    </w:p>
    <w:p w14:paraId="3D6D2F05" w14:textId="77777777" w:rsidR="00AB3B9B" w:rsidRDefault="00E140D8" w:rsidP="006815A5">
      <w:pPr>
        <w:pStyle w:val="BodyText"/>
        <w:rPr>
          <w:sz w:val="23"/>
          <w:szCs w:val="23"/>
          <w:lang w:eastAsia="en-GB"/>
        </w:rPr>
      </w:pPr>
      <w:r w:rsidRPr="000121DD">
        <w:rPr>
          <w:sz w:val="23"/>
          <w:szCs w:val="23"/>
          <w:lang w:eastAsia="en-GB"/>
        </w:rPr>
        <w:t xml:space="preserve">This Guide will interface with </w:t>
      </w:r>
      <w:r>
        <w:rPr>
          <w:sz w:val="23"/>
          <w:szCs w:val="23"/>
          <w:lang w:eastAsia="en-GB"/>
        </w:rPr>
        <w:t xml:space="preserve">at least </w:t>
      </w:r>
      <w:r w:rsidRPr="000121DD">
        <w:rPr>
          <w:sz w:val="23"/>
          <w:szCs w:val="23"/>
          <w:lang w:eastAsia="en-GB"/>
        </w:rPr>
        <w:t xml:space="preserve">the following IAEA Safety Standards </w:t>
      </w:r>
      <w:r>
        <w:rPr>
          <w:sz w:val="23"/>
          <w:szCs w:val="23"/>
          <w:lang w:eastAsia="en-GB"/>
        </w:rPr>
        <w:t xml:space="preserve">Series </w:t>
      </w:r>
      <w:r w:rsidRPr="000121DD">
        <w:rPr>
          <w:sz w:val="23"/>
          <w:szCs w:val="23"/>
          <w:lang w:eastAsia="en-GB"/>
        </w:rPr>
        <w:t>and other publications:</w:t>
      </w:r>
    </w:p>
    <w:p w14:paraId="20B1BA85" w14:textId="77777777" w:rsidR="00C00104" w:rsidRPr="000121DD" w:rsidRDefault="00C00104" w:rsidP="00DC6C4A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0121DD">
        <w:rPr>
          <w:sz w:val="23"/>
          <w:szCs w:val="23"/>
          <w:lang w:val="en-GB"/>
        </w:rPr>
        <w:lastRenderedPageBreak/>
        <w:t>GSR Part 4 (Rev. 1) - Safety Assessment for Facilities and Activities (2016)</w:t>
      </w:r>
    </w:p>
    <w:p w14:paraId="5D4D42C7" w14:textId="77777777" w:rsidR="00C00104" w:rsidRPr="000121DD" w:rsidRDefault="00C00104" w:rsidP="00DC6C4A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0121DD">
        <w:rPr>
          <w:sz w:val="23"/>
          <w:szCs w:val="23"/>
          <w:lang w:val="en-GB"/>
        </w:rPr>
        <w:t>SSR-2/1 (Rev. 1) - Safety of Nuclear Power Plants: Design (2016)</w:t>
      </w:r>
    </w:p>
    <w:p w14:paraId="7807AA8D" w14:textId="77777777" w:rsidR="00CB7DB1" w:rsidRPr="000121DD" w:rsidRDefault="00CB7DB1" w:rsidP="00CB7DB1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0121DD">
        <w:rPr>
          <w:sz w:val="23"/>
          <w:szCs w:val="23"/>
          <w:lang w:val="en-GB"/>
        </w:rPr>
        <w:t>SSR-2/</w:t>
      </w:r>
      <w:r>
        <w:rPr>
          <w:sz w:val="23"/>
          <w:szCs w:val="23"/>
          <w:lang w:val="en-GB"/>
        </w:rPr>
        <w:t>2</w:t>
      </w:r>
      <w:r w:rsidRPr="000121DD">
        <w:rPr>
          <w:sz w:val="23"/>
          <w:szCs w:val="23"/>
          <w:lang w:val="en-GB"/>
        </w:rPr>
        <w:t xml:space="preserve"> (Rev. 1) - Safety of Nuclear Power Plants: </w:t>
      </w:r>
      <w:r>
        <w:rPr>
          <w:sz w:val="23"/>
          <w:szCs w:val="23"/>
          <w:lang w:val="en-GB"/>
        </w:rPr>
        <w:t>Commissioning and Operation</w:t>
      </w:r>
      <w:r w:rsidRPr="000121DD">
        <w:rPr>
          <w:sz w:val="23"/>
          <w:szCs w:val="23"/>
          <w:lang w:val="en-GB"/>
        </w:rPr>
        <w:t xml:space="preserve"> (2016)</w:t>
      </w:r>
    </w:p>
    <w:p w14:paraId="5926D064" w14:textId="77777777" w:rsidR="00C00104" w:rsidRPr="000121DD" w:rsidRDefault="00C00104" w:rsidP="00DC6C4A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0121DD">
        <w:rPr>
          <w:sz w:val="23"/>
          <w:szCs w:val="23"/>
          <w:lang w:val="en-GB"/>
        </w:rPr>
        <w:t>SSG-4 - Development and Application of Level 2 Probabilistic Safety Assessment for Nuclear Power Plants (2010)</w:t>
      </w:r>
    </w:p>
    <w:p w14:paraId="41157F32" w14:textId="77777777" w:rsidR="00C00104" w:rsidRPr="000121DD" w:rsidRDefault="00C00104" w:rsidP="00DC6C4A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0121DD">
        <w:rPr>
          <w:sz w:val="23"/>
          <w:szCs w:val="23"/>
          <w:lang w:val="en-GB"/>
        </w:rPr>
        <w:t xml:space="preserve">GS-G-4.1 - Format and Content of the Safety Analysis Report for Nuclear Power Plants (revision of the Safety Guide is in </w:t>
      </w:r>
      <w:r w:rsidR="00CB7DB1">
        <w:rPr>
          <w:sz w:val="23"/>
          <w:szCs w:val="23"/>
          <w:lang w:val="en-GB"/>
        </w:rPr>
        <w:t>STEP 12</w:t>
      </w:r>
      <w:r w:rsidRPr="000121DD">
        <w:rPr>
          <w:sz w:val="23"/>
          <w:szCs w:val="23"/>
          <w:lang w:val="en-GB"/>
        </w:rPr>
        <w:t>, DS449)</w:t>
      </w:r>
    </w:p>
    <w:p w14:paraId="70BD6618" w14:textId="77777777" w:rsidR="00C00104" w:rsidRPr="00CB7DB1" w:rsidRDefault="00C00104" w:rsidP="00DC6C4A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0121DD">
        <w:rPr>
          <w:sz w:val="23"/>
          <w:szCs w:val="23"/>
          <w:lang w:val="en-GB"/>
        </w:rPr>
        <w:t xml:space="preserve">SSG-2 - </w:t>
      </w:r>
      <w:r w:rsidRPr="00CB7DB1">
        <w:rPr>
          <w:sz w:val="23"/>
          <w:szCs w:val="23"/>
          <w:lang w:val="en-GB"/>
        </w:rPr>
        <w:t>Deterministic Safety Analysis for Nuclear Power Plants (revision of the Safety Guide is</w:t>
      </w:r>
      <w:r w:rsidR="00CB7DB1" w:rsidRPr="00CB7DB1">
        <w:rPr>
          <w:sz w:val="23"/>
          <w:szCs w:val="23"/>
          <w:lang w:val="en-GB"/>
        </w:rPr>
        <w:t xml:space="preserve"> in</w:t>
      </w:r>
      <w:r w:rsidRPr="00CB7DB1">
        <w:rPr>
          <w:sz w:val="23"/>
          <w:szCs w:val="23"/>
          <w:lang w:val="en-GB"/>
        </w:rPr>
        <w:t xml:space="preserve"> </w:t>
      </w:r>
      <w:r w:rsidR="00CB7DB1" w:rsidRPr="00CB7DB1">
        <w:rPr>
          <w:sz w:val="23"/>
          <w:szCs w:val="23"/>
          <w:lang w:val="en-GB"/>
        </w:rPr>
        <w:t>STEP 12</w:t>
      </w:r>
      <w:r w:rsidRPr="00CB7DB1">
        <w:rPr>
          <w:sz w:val="23"/>
          <w:szCs w:val="23"/>
          <w:lang w:val="en-GB"/>
        </w:rPr>
        <w:t>, DS491)</w:t>
      </w:r>
    </w:p>
    <w:p w14:paraId="2D02AB1E" w14:textId="77777777" w:rsidR="00913AA5" w:rsidRPr="00CB7DB1" w:rsidRDefault="00913AA5" w:rsidP="00DC6C4A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CB7DB1">
        <w:rPr>
          <w:sz w:val="23"/>
          <w:szCs w:val="23"/>
          <w:lang w:val="en-GB"/>
        </w:rPr>
        <w:t>SSG-25</w:t>
      </w:r>
      <w:r w:rsidR="003767EC" w:rsidRPr="00CB7DB1">
        <w:rPr>
          <w:sz w:val="23"/>
          <w:szCs w:val="23"/>
          <w:lang w:val="en-GB"/>
        </w:rPr>
        <w:t xml:space="preserve"> -</w:t>
      </w:r>
      <w:r w:rsidRPr="00CB7DB1">
        <w:rPr>
          <w:sz w:val="23"/>
          <w:szCs w:val="23"/>
          <w:lang w:val="en-GB"/>
        </w:rPr>
        <w:t xml:space="preserve"> Periodic Safety Review for Nuclear Power Plants </w:t>
      </w:r>
      <w:r w:rsidR="003767EC" w:rsidRPr="00CB7DB1">
        <w:rPr>
          <w:sz w:val="23"/>
          <w:szCs w:val="23"/>
          <w:lang w:val="en-GB"/>
        </w:rPr>
        <w:t>(2013)</w:t>
      </w:r>
    </w:p>
    <w:p w14:paraId="5A6B763D" w14:textId="205ADCD2" w:rsidR="007A2D18" w:rsidRDefault="007A2D18" w:rsidP="007A2D18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CB7DB1">
        <w:rPr>
          <w:sz w:val="23"/>
          <w:szCs w:val="23"/>
          <w:lang w:val="en-GB"/>
        </w:rPr>
        <w:t>SSG-</w:t>
      </w:r>
      <w:r>
        <w:rPr>
          <w:sz w:val="23"/>
          <w:szCs w:val="23"/>
          <w:lang w:val="en-GB"/>
        </w:rPr>
        <w:t>51</w:t>
      </w:r>
      <w:r w:rsidRPr="00CB7DB1">
        <w:rPr>
          <w:sz w:val="23"/>
          <w:szCs w:val="23"/>
          <w:lang w:val="en-GB"/>
        </w:rPr>
        <w:t xml:space="preserve"> </w:t>
      </w:r>
      <w:r w:rsidRPr="000326B9">
        <w:rPr>
          <w:sz w:val="23"/>
          <w:szCs w:val="23"/>
          <w:lang w:val="en-GB"/>
        </w:rPr>
        <w:t>- Human Factors Engineering in Nuclear Power Plants (</w:t>
      </w:r>
      <w:r>
        <w:rPr>
          <w:sz w:val="23"/>
          <w:szCs w:val="23"/>
          <w:lang w:val="en-GB"/>
        </w:rPr>
        <w:t>2019</w:t>
      </w:r>
      <w:r w:rsidRPr="000326B9">
        <w:rPr>
          <w:sz w:val="23"/>
          <w:szCs w:val="23"/>
          <w:lang w:val="en-GB"/>
        </w:rPr>
        <w:t>)</w:t>
      </w:r>
    </w:p>
    <w:p w14:paraId="58D62DA5" w14:textId="74999D21" w:rsidR="008E5158" w:rsidRDefault="00063520" w:rsidP="007A2D18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DS494 - </w:t>
      </w:r>
      <w:r w:rsidR="008E5158" w:rsidRPr="008E5158">
        <w:rPr>
          <w:sz w:val="23"/>
          <w:szCs w:val="23"/>
          <w:lang w:val="en-GB"/>
        </w:rPr>
        <w:t>Protection against Internal Hazards in the Design of Nuclear Power Plants</w:t>
      </w:r>
      <w:r>
        <w:rPr>
          <w:sz w:val="23"/>
          <w:szCs w:val="23"/>
          <w:lang w:val="en-GB"/>
        </w:rPr>
        <w:t xml:space="preserve"> (</w:t>
      </w:r>
      <w:r w:rsidRPr="00CB7DB1">
        <w:rPr>
          <w:sz w:val="23"/>
          <w:szCs w:val="23"/>
          <w:lang w:val="en-GB"/>
        </w:rPr>
        <w:t xml:space="preserve">revision </w:t>
      </w:r>
      <w:r w:rsidRPr="00063520">
        <w:rPr>
          <w:sz w:val="23"/>
          <w:szCs w:val="23"/>
          <w:lang w:val="en-GB"/>
        </w:rPr>
        <w:t xml:space="preserve">and merge of NS-G-1.7 and NS-G-1.11 </w:t>
      </w:r>
      <w:r w:rsidRPr="00CB7DB1">
        <w:rPr>
          <w:sz w:val="23"/>
          <w:szCs w:val="23"/>
          <w:lang w:val="en-GB"/>
        </w:rPr>
        <w:t>Safety Guide</w:t>
      </w:r>
      <w:r>
        <w:rPr>
          <w:sz w:val="23"/>
          <w:szCs w:val="23"/>
          <w:lang w:val="en-GB"/>
        </w:rPr>
        <w:t>s</w:t>
      </w:r>
      <w:r w:rsidRPr="00CB7DB1">
        <w:rPr>
          <w:sz w:val="23"/>
          <w:szCs w:val="23"/>
          <w:lang w:val="en-GB"/>
        </w:rPr>
        <w:t xml:space="preserve"> is in STEP 1</w:t>
      </w:r>
      <w:r>
        <w:rPr>
          <w:sz w:val="23"/>
          <w:szCs w:val="23"/>
          <w:lang w:val="en-GB"/>
        </w:rPr>
        <w:t>1</w:t>
      </w:r>
      <w:r w:rsidRPr="00CB7DB1">
        <w:rPr>
          <w:sz w:val="23"/>
          <w:szCs w:val="23"/>
          <w:lang w:val="en-GB"/>
        </w:rPr>
        <w:t>, DS49</w:t>
      </w:r>
      <w:r>
        <w:rPr>
          <w:sz w:val="23"/>
          <w:szCs w:val="23"/>
          <w:lang w:val="en-GB"/>
        </w:rPr>
        <w:t>4</w:t>
      </w:r>
      <w:r w:rsidRPr="00CB7DB1">
        <w:rPr>
          <w:sz w:val="23"/>
          <w:szCs w:val="23"/>
          <w:lang w:val="en-GB"/>
        </w:rPr>
        <w:t>)</w:t>
      </w:r>
    </w:p>
    <w:p w14:paraId="67A3E1EB" w14:textId="4C8F5456" w:rsidR="00AB3B9B" w:rsidRDefault="00BF2CBD" w:rsidP="006815A5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INSAG-25 - </w:t>
      </w:r>
      <w:r w:rsidRPr="000326B9">
        <w:rPr>
          <w:sz w:val="23"/>
          <w:szCs w:val="23"/>
          <w:lang w:val="en-GB"/>
        </w:rPr>
        <w:t xml:space="preserve">A </w:t>
      </w:r>
      <w:r>
        <w:rPr>
          <w:sz w:val="23"/>
          <w:szCs w:val="23"/>
          <w:lang w:val="en-GB"/>
        </w:rPr>
        <w:t>F</w:t>
      </w:r>
      <w:r w:rsidRPr="000326B9">
        <w:rPr>
          <w:sz w:val="23"/>
          <w:szCs w:val="23"/>
          <w:lang w:val="en-GB"/>
        </w:rPr>
        <w:t xml:space="preserve">ramework for an </w:t>
      </w:r>
      <w:r>
        <w:rPr>
          <w:sz w:val="23"/>
          <w:szCs w:val="23"/>
          <w:lang w:val="en-GB"/>
        </w:rPr>
        <w:t>I</w:t>
      </w:r>
      <w:r w:rsidRPr="000326B9">
        <w:rPr>
          <w:sz w:val="23"/>
          <w:szCs w:val="23"/>
          <w:lang w:val="en-GB"/>
        </w:rPr>
        <w:t xml:space="preserve">ntegrated </w:t>
      </w:r>
      <w:r>
        <w:rPr>
          <w:sz w:val="23"/>
          <w:szCs w:val="23"/>
          <w:lang w:val="en-GB"/>
        </w:rPr>
        <w:t>R</w:t>
      </w:r>
      <w:r w:rsidRPr="000326B9">
        <w:rPr>
          <w:sz w:val="23"/>
          <w:szCs w:val="23"/>
          <w:lang w:val="en-GB"/>
        </w:rPr>
        <w:t xml:space="preserve">isk </w:t>
      </w:r>
      <w:r>
        <w:rPr>
          <w:sz w:val="23"/>
          <w:szCs w:val="23"/>
          <w:lang w:val="en-GB"/>
        </w:rPr>
        <w:t>I</w:t>
      </w:r>
      <w:r w:rsidRPr="000326B9">
        <w:rPr>
          <w:sz w:val="23"/>
          <w:szCs w:val="23"/>
          <w:lang w:val="en-GB"/>
        </w:rPr>
        <w:t xml:space="preserve">nformed </w:t>
      </w:r>
      <w:r>
        <w:rPr>
          <w:sz w:val="23"/>
          <w:szCs w:val="23"/>
          <w:lang w:val="en-GB"/>
        </w:rPr>
        <w:t>D</w:t>
      </w:r>
      <w:r w:rsidRPr="000326B9">
        <w:rPr>
          <w:sz w:val="23"/>
          <w:szCs w:val="23"/>
          <w:lang w:val="en-GB"/>
        </w:rPr>
        <w:t xml:space="preserve">ecision </w:t>
      </w:r>
      <w:r>
        <w:rPr>
          <w:sz w:val="23"/>
          <w:szCs w:val="23"/>
          <w:lang w:val="en-GB"/>
        </w:rPr>
        <w:t>M</w:t>
      </w:r>
      <w:r w:rsidRPr="000326B9">
        <w:rPr>
          <w:sz w:val="23"/>
          <w:szCs w:val="23"/>
          <w:lang w:val="en-GB"/>
        </w:rPr>
        <w:t xml:space="preserve">aking </w:t>
      </w:r>
      <w:r>
        <w:rPr>
          <w:sz w:val="23"/>
          <w:szCs w:val="23"/>
          <w:lang w:val="en-GB"/>
        </w:rPr>
        <w:t>P</w:t>
      </w:r>
      <w:r w:rsidRPr="000326B9">
        <w:rPr>
          <w:sz w:val="23"/>
          <w:szCs w:val="23"/>
          <w:lang w:val="en-GB"/>
        </w:rPr>
        <w:t>rocess</w:t>
      </w:r>
      <w:r>
        <w:rPr>
          <w:sz w:val="23"/>
          <w:szCs w:val="23"/>
          <w:lang w:val="en-GB"/>
        </w:rPr>
        <w:t xml:space="preserve"> (2011)</w:t>
      </w:r>
    </w:p>
    <w:p w14:paraId="31A34BDF" w14:textId="13EA975A" w:rsidR="00C745FC" w:rsidRPr="00C745FC" w:rsidRDefault="00C745FC" w:rsidP="00C745FC">
      <w:pPr>
        <w:numPr>
          <w:ilvl w:val="0"/>
          <w:numId w:val="17"/>
        </w:numPr>
        <w:spacing w:before="120" w:after="120"/>
        <w:jc w:val="both"/>
        <w:rPr>
          <w:sz w:val="23"/>
          <w:szCs w:val="23"/>
          <w:lang w:val="en-GB"/>
        </w:rPr>
      </w:pPr>
      <w:r w:rsidRPr="00C745FC">
        <w:rPr>
          <w:sz w:val="23"/>
          <w:szCs w:val="23"/>
          <w:lang w:val="en-GB"/>
        </w:rPr>
        <w:t>NSS 23-G</w:t>
      </w:r>
      <w:r>
        <w:rPr>
          <w:sz w:val="23"/>
          <w:szCs w:val="23"/>
          <w:lang w:val="en-GB"/>
        </w:rPr>
        <w:t xml:space="preserve"> </w:t>
      </w:r>
      <w:r w:rsidRPr="00C745FC">
        <w:rPr>
          <w:sz w:val="23"/>
          <w:szCs w:val="23"/>
          <w:lang w:val="en-GB"/>
        </w:rPr>
        <w:t>- Security of nuclear information (2015</w:t>
      </w:r>
      <w:r>
        <w:rPr>
          <w:sz w:val="23"/>
          <w:szCs w:val="23"/>
          <w:lang w:val="en-GB"/>
        </w:rPr>
        <w:t>)</w:t>
      </w:r>
    </w:p>
    <w:p w14:paraId="151ED375" w14:textId="77777777" w:rsidR="00A97F37" w:rsidRPr="000121DD" w:rsidRDefault="00A97F37" w:rsidP="00142442">
      <w:pPr>
        <w:pStyle w:val="BodyText"/>
        <w:jc w:val="left"/>
        <w:rPr>
          <w:i/>
          <w:iCs/>
          <w:sz w:val="23"/>
          <w:szCs w:val="23"/>
        </w:rPr>
      </w:pPr>
    </w:p>
    <w:p w14:paraId="5AA2F63C" w14:textId="77777777" w:rsidR="003767EC" w:rsidRPr="000121DD" w:rsidRDefault="00C710DB" w:rsidP="000024EE">
      <w:pPr>
        <w:pStyle w:val="BodyText"/>
        <w:jc w:val="left"/>
        <w:rPr>
          <w:sz w:val="23"/>
          <w:szCs w:val="23"/>
        </w:rPr>
      </w:pPr>
      <w:r w:rsidRPr="000121DD">
        <w:rPr>
          <w:b/>
          <w:bCs/>
          <w:sz w:val="23"/>
          <w:szCs w:val="23"/>
        </w:rPr>
        <w:t>7</w:t>
      </w:r>
      <w:r w:rsidR="00142442" w:rsidRPr="000121DD">
        <w:rPr>
          <w:b/>
          <w:bCs/>
          <w:sz w:val="23"/>
          <w:szCs w:val="23"/>
        </w:rPr>
        <w:t xml:space="preserve">. </w:t>
      </w:r>
      <w:r w:rsidR="008347F7" w:rsidRPr="000121DD">
        <w:rPr>
          <w:b/>
          <w:bCs/>
          <w:sz w:val="23"/>
          <w:szCs w:val="23"/>
        </w:rPr>
        <w:t xml:space="preserve">OVERVIEW </w:t>
      </w:r>
      <w:r w:rsidR="00142442" w:rsidRPr="000121DD">
        <w:rPr>
          <w:b/>
          <w:bCs/>
          <w:sz w:val="23"/>
          <w:szCs w:val="23"/>
        </w:rPr>
        <w:br/>
      </w:r>
    </w:p>
    <w:p w14:paraId="38CD479F" w14:textId="77777777" w:rsidR="000024EE" w:rsidRPr="000121DD" w:rsidRDefault="009F1FC0" w:rsidP="00DC6C4A">
      <w:pPr>
        <w:pStyle w:val="BodyText"/>
        <w:rPr>
          <w:bCs/>
          <w:i/>
          <w:sz w:val="23"/>
          <w:szCs w:val="23"/>
        </w:rPr>
      </w:pPr>
      <w:r w:rsidRPr="009F1FC0">
        <w:rPr>
          <w:sz w:val="23"/>
          <w:szCs w:val="23"/>
        </w:rPr>
        <w:t xml:space="preserve">It is planned to keep the structure and the </w:t>
      </w:r>
      <w:r>
        <w:rPr>
          <w:sz w:val="23"/>
          <w:szCs w:val="23"/>
        </w:rPr>
        <w:t>t</w:t>
      </w:r>
      <w:r w:rsidRPr="009F1FC0">
        <w:rPr>
          <w:sz w:val="23"/>
          <w:szCs w:val="23"/>
        </w:rPr>
        <w:t xml:space="preserve">able of </w:t>
      </w:r>
      <w:r>
        <w:rPr>
          <w:sz w:val="23"/>
          <w:szCs w:val="23"/>
        </w:rPr>
        <w:t>c</w:t>
      </w:r>
      <w:r w:rsidRPr="009F1FC0">
        <w:rPr>
          <w:sz w:val="23"/>
          <w:szCs w:val="23"/>
        </w:rPr>
        <w:t xml:space="preserve">ontents of the revised Safety Guide similar to the present </w:t>
      </w:r>
      <w:r>
        <w:rPr>
          <w:sz w:val="23"/>
          <w:szCs w:val="23"/>
        </w:rPr>
        <w:t>S</w:t>
      </w:r>
      <w:r w:rsidRPr="00B01A4A">
        <w:rPr>
          <w:sz w:val="23"/>
          <w:szCs w:val="23"/>
        </w:rPr>
        <w:t xml:space="preserve">afety </w:t>
      </w:r>
      <w:r>
        <w:rPr>
          <w:sz w:val="23"/>
          <w:szCs w:val="23"/>
        </w:rPr>
        <w:t>G</w:t>
      </w:r>
      <w:r w:rsidRPr="00B01A4A">
        <w:rPr>
          <w:sz w:val="23"/>
          <w:szCs w:val="23"/>
        </w:rPr>
        <w:t xml:space="preserve">uide </w:t>
      </w:r>
      <w:r>
        <w:rPr>
          <w:sz w:val="23"/>
          <w:szCs w:val="23"/>
        </w:rPr>
        <w:t xml:space="preserve">SSG-3. </w:t>
      </w:r>
      <w:r w:rsidRPr="009F1FC0">
        <w:rPr>
          <w:sz w:val="23"/>
          <w:szCs w:val="23"/>
        </w:rPr>
        <w:t xml:space="preserve">The Guide will retain </w:t>
      </w:r>
      <w:r>
        <w:rPr>
          <w:sz w:val="23"/>
          <w:szCs w:val="23"/>
        </w:rPr>
        <w:t xml:space="preserve">its </w:t>
      </w:r>
      <w:r w:rsidRPr="009F1FC0">
        <w:rPr>
          <w:sz w:val="23"/>
          <w:szCs w:val="23"/>
        </w:rPr>
        <w:t>overall structure at section level</w:t>
      </w:r>
      <w:r w:rsidR="004D73F8">
        <w:rPr>
          <w:sz w:val="23"/>
          <w:szCs w:val="23"/>
        </w:rPr>
        <w:t xml:space="preserve"> (except the new Section on Multiunit PSA)</w:t>
      </w:r>
      <w:r w:rsidRPr="009F1FC0">
        <w:rPr>
          <w:sz w:val="23"/>
          <w:szCs w:val="23"/>
        </w:rPr>
        <w:t xml:space="preserve">. </w:t>
      </w:r>
      <w:r w:rsidR="00DC64A2" w:rsidRPr="00DC64A2">
        <w:rPr>
          <w:sz w:val="23"/>
          <w:szCs w:val="23"/>
        </w:rPr>
        <w:t xml:space="preserve">The contents of the </w:t>
      </w:r>
      <w:r w:rsidR="00DC64A2">
        <w:rPr>
          <w:sz w:val="23"/>
          <w:szCs w:val="23"/>
        </w:rPr>
        <w:t>G</w:t>
      </w:r>
      <w:r w:rsidR="00DC64A2" w:rsidRPr="00DC64A2">
        <w:rPr>
          <w:sz w:val="23"/>
          <w:szCs w:val="23"/>
        </w:rPr>
        <w:t xml:space="preserve">uide will be similar to the </w:t>
      </w:r>
      <w:r w:rsidR="00DC64A2" w:rsidRPr="009F1FC0">
        <w:rPr>
          <w:sz w:val="23"/>
          <w:szCs w:val="23"/>
        </w:rPr>
        <w:t xml:space="preserve">present </w:t>
      </w:r>
      <w:r w:rsidR="00DC64A2">
        <w:rPr>
          <w:sz w:val="23"/>
          <w:szCs w:val="23"/>
        </w:rPr>
        <w:t>S</w:t>
      </w:r>
      <w:r w:rsidR="00DC64A2" w:rsidRPr="00B01A4A">
        <w:rPr>
          <w:sz w:val="23"/>
          <w:szCs w:val="23"/>
        </w:rPr>
        <w:t xml:space="preserve">afety </w:t>
      </w:r>
      <w:r w:rsidR="00DC64A2">
        <w:rPr>
          <w:sz w:val="23"/>
          <w:szCs w:val="23"/>
        </w:rPr>
        <w:t>G</w:t>
      </w:r>
      <w:r w:rsidR="00DC64A2" w:rsidRPr="00B01A4A">
        <w:rPr>
          <w:sz w:val="23"/>
          <w:szCs w:val="23"/>
        </w:rPr>
        <w:t xml:space="preserve">uide </w:t>
      </w:r>
      <w:r w:rsidR="00DC64A2">
        <w:rPr>
          <w:sz w:val="23"/>
          <w:szCs w:val="23"/>
        </w:rPr>
        <w:t>SSG-3</w:t>
      </w:r>
      <w:r w:rsidR="00DC64A2" w:rsidRPr="00DC64A2">
        <w:rPr>
          <w:sz w:val="23"/>
          <w:szCs w:val="23"/>
        </w:rPr>
        <w:t xml:space="preserve">, with </w:t>
      </w:r>
      <w:r w:rsidR="004D73F8">
        <w:rPr>
          <w:sz w:val="23"/>
          <w:szCs w:val="23"/>
        </w:rPr>
        <w:t>certain</w:t>
      </w:r>
      <w:r w:rsidR="00DC64A2" w:rsidRPr="00DC64A2">
        <w:rPr>
          <w:sz w:val="23"/>
          <w:szCs w:val="23"/>
        </w:rPr>
        <w:t xml:space="preserve"> amendments</w:t>
      </w:r>
      <w:r w:rsidR="004D73F8">
        <w:rPr>
          <w:sz w:val="23"/>
          <w:szCs w:val="23"/>
        </w:rPr>
        <w:t xml:space="preserve"> mentioned above</w:t>
      </w:r>
      <w:r w:rsidR="00DC64A2" w:rsidRPr="00DC64A2">
        <w:rPr>
          <w:sz w:val="23"/>
          <w:szCs w:val="23"/>
        </w:rPr>
        <w:t xml:space="preserve">. </w:t>
      </w:r>
      <w:r w:rsidR="00B01A4A" w:rsidRPr="00B01A4A">
        <w:rPr>
          <w:sz w:val="23"/>
          <w:szCs w:val="23"/>
        </w:rPr>
        <w:t>The planned table of contents is as follows</w:t>
      </w:r>
      <w:r w:rsidR="003767EC" w:rsidRPr="000121DD">
        <w:rPr>
          <w:sz w:val="23"/>
          <w:szCs w:val="23"/>
        </w:rPr>
        <w:t>:</w:t>
      </w:r>
    </w:p>
    <w:p w14:paraId="364160D9" w14:textId="77777777" w:rsidR="000024EE" w:rsidRPr="000121DD" w:rsidRDefault="000024EE" w:rsidP="00DC6C4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sz w:val="23"/>
          <w:szCs w:val="23"/>
        </w:rPr>
      </w:pPr>
      <w:r w:rsidRPr="000121DD">
        <w:rPr>
          <w:sz w:val="23"/>
          <w:szCs w:val="23"/>
        </w:rPr>
        <w:t xml:space="preserve">INTRODUCTION </w:t>
      </w:r>
    </w:p>
    <w:p w14:paraId="052D469E" w14:textId="77777777" w:rsidR="003767EC" w:rsidRPr="000121DD" w:rsidRDefault="003767EC" w:rsidP="00DC6C4A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34FAD073" w14:textId="77777777" w:rsidR="000024EE" w:rsidRPr="000121DD" w:rsidRDefault="000024EE" w:rsidP="00DC6C4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sz w:val="23"/>
          <w:szCs w:val="23"/>
        </w:rPr>
      </w:pPr>
      <w:r w:rsidRPr="000121DD">
        <w:rPr>
          <w:sz w:val="23"/>
          <w:szCs w:val="23"/>
        </w:rPr>
        <w:t xml:space="preserve">GENERAL CONSIDERATIONS RELATING TO THE PERFORMANCE AND USE OF PSA </w:t>
      </w:r>
    </w:p>
    <w:p w14:paraId="151B9655" w14:textId="77777777" w:rsidR="003767EC" w:rsidRPr="000121DD" w:rsidRDefault="003767EC" w:rsidP="00DC6C4A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5E630A74" w14:textId="77777777" w:rsidR="000024EE" w:rsidRPr="000121DD" w:rsidRDefault="000024EE" w:rsidP="00DC6C4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sz w:val="23"/>
          <w:szCs w:val="23"/>
        </w:rPr>
      </w:pPr>
      <w:r w:rsidRPr="000121DD">
        <w:rPr>
          <w:sz w:val="23"/>
          <w:szCs w:val="23"/>
        </w:rPr>
        <w:t xml:space="preserve">PROJECT MANAGEMENT AND ORGANIZATION FOR PSA </w:t>
      </w:r>
    </w:p>
    <w:p w14:paraId="1894DA3C" w14:textId="77777777" w:rsidR="000024EE" w:rsidRPr="000121DD" w:rsidRDefault="000024EE" w:rsidP="00DC6C4A">
      <w:pPr>
        <w:pStyle w:val="ListParagraph"/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2184FE53" w14:textId="77777777" w:rsidR="000024EE" w:rsidRPr="000121DD" w:rsidRDefault="000024EE" w:rsidP="00DC6C4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sz w:val="23"/>
          <w:szCs w:val="23"/>
        </w:rPr>
      </w:pPr>
      <w:r w:rsidRPr="000121DD">
        <w:rPr>
          <w:sz w:val="23"/>
          <w:szCs w:val="23"/>
        </w:rPr>
        <w:t xml:space="preserve">FAMILIARIZATION WITH THE PLANT AND COLLECTION OF INFORMATION </w:t>
      </w:r>
    </w:p>
    <w:p w14:paraId="061D776B" w14:textId="77777777" w:rsidR="000024EE" w:rsidRPr="000121DD" w:rsidRDefault="000024EE" w:rsidP="00DC6C4A">
      <w:pPr>
        <w:pStyle w:val="ListParagraph"/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337AFF5E" w14:textId="77777777" w:rsidR="000024EE" w:rsidRPr="000121DD" w:rsidRDefault="000024EE" w:rsidP="00DC6C4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sz w:val="23"/>
          <w:szCs w:val="23"/>
        </w:rPr>
      </w:pPr>
      <w:r w:rsidRPr="000121DD">
        <w:rPr>
          <w:sz w:val="23"/>
          <w:szCs w:val="23"/>
        </w:rPr>
        <w:t xml:space="preserve">LEVEL 1 PSA FOR INTERNAL INITIATING EVENTS FOR FULL POWER OPERATING CONDITIONS </w:t>
      </w:r>
    </w:p>
    <w:p w14:paraId="10A3752B" w14:textId="77777777" w:rsidR="003767EC" w:rsidRPr="000121DD" w:rsidRDefault="003767EC" w:rsidP="00DC6C4A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69D2B90D" w14:textId="77777777" w:rsidR="000024EE" w:rsidRPr="000121DD" w:rsidRDefault="000024EE" w:rsidP="00DC6C4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sz w:val="23"/>
          <w:szCs w:val="23"/>
        </w:rPr>
      </w:pPr>
      <w:r w:rsidRPr="000121DD">
        <w:rPr>
          <w:sz w:val="23"/>
          <w:szCs w:val="23"/>
        </w:rPr>
        <w:t>GENERAL METHODOLOGY FOR LEVEL 1 PSA FOR INTERNAL AND EXTERNAL HAZARDS</w:t>
      </w:r>
      <w:r w:rsidR="0064725C">
        <w:rPr>
          <w:sz w:val="23"/>
          <w:szCs w:val="23"/>
        </w:rPr>
        <w:t xml:space="preserve"> </w:t>
      </w:r>
    </w:p>
    <w:p w14:paraId="54121E09" w14:textId="77777777" w:rsidR="003767EC" w:rsidRPr="000121DD" w:rsidRDefault="003767EC" w:rsidP="00DC6C4A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561711D7" w14:textId="77777777" w:rsidR="000024EE" w:rsidRPr="000121DD" w:rsidRDefault="000024EE" w:rsidP="00DC6C4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sz w:val="23"/>
          <w:szCs w:val="23"/>
        </w:rPr>
      </w:pPr>
      <w:r w:rsidRPr="000121DD">
        <w:rPr>
          <w:sz w:val="23"/>
          <w:szCs w:val="23"/>
        </w:rPr>
        <w:t>SPECIFICS OF LEVEL 1 PSA FOR INTERNAL HAZARDS</w:t>
      </w:r>
    </w:p>
    <w:p w14:paraId="4E144563" w14:textId="77777777" w:rsidR="003767EC" w:rsidRPr="000121DD" w:rsidRDefault="003767EC" w:rsidP="00DC6C4A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7AB6D076" w14:textId="77777777" w:rsidR="000024EE" w:rsidRPr="000121DD" w:rsidRDefault="000024EE" w:rsidP="00DC6C4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sz w:val="23"/>
          <w:szCs w:val="23"/>
        </w:rPr>
      </w:pPr>
      <w:r w:rsidRPr="000121DD">
        <w:rPr>
          <w:sz w:val="23"/>
          <w:szCs w:val="23"/>
        </w:rPr>
        <w:t>SPECIFICS OF LEVEL 1 PSA FOR EXTERNAL HAZARDS</w:t>
      </w:r>
    </w:p>
    <w:p w14:paraId="5268357A" w14:textId="77777777" w:rsidR="003767EC" w:rsidRPr="000121DD" w:rsidRDefault="003767EC" w:rsidP="00DC6C4A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02D877D8" w14:textId="77777777" w:rsidR="000024EE" w:rsidRPr="000121DD" w:rsidRDefault="000024EE" w:rsidP="00DC6C4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sz w:val="23"/>
          <w:szCs w:val="23"/>
        </w:rPr>
      </w:pPr>
      <w:r w:rsidRPr="000121DD">
        <w:rPr>
          <w:sz w:val="23"/>
          <w:szCs w:val="23"/>
        </w:rPr>
        <w:t xml:space="preserve">LEVEL 1 PSA FOR LOW POWER AND SHUTDOWN MODES </w:t>
      </w:r>
    </w:p>
    <w:p w14:paraId="457A49DF" w14:textId="77777777" w:rsidR="003767EC" w:rsidRPr="000121DD" w:rsidRDefault="003767EC" w:rsidP="00DC6C4A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7F70D6E3" w14:textId="77777777" w:rsidR="000024EE" w:rsidRPr="000121DD" w:rsidRDefault="000024EE" w:rsidP="00DC6C4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09" w:hanging="426"/>
        <w:jc w:val="both"/>
        <w:rPr>
          <w:sz w:val="23"/>
          <w:szCs w:val="23"/>
        </w:rPr>
      </w:pPr>
      <w:r w:rsidRPr="000121DD">
        <w:rPr>
          <w:sz w:val="23"/>
          <w:szCs w:val="23"/>
        </w:rPr>
        <w:lastRenderedPageBreak/>
        <w:t>LEVEL 1 PSA IN MULTIUNIT CONTEXT</w:t>
      </w:r>
    </w:p>
    <w:p w14:paraId="26F0C25F" w14:textId="77777777" w:rsidR="000024EE" w:rsidRPr="000121DD" w:rsidRDefault="000024EE" w:rsidP="00DC6C4A">
      <w:pPr>
        <w:pStyle w:val="ListParagraph"/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</w:p>
    <w:p w14:paraId="7D5D6C62" w14:textId="77777777" w:rsidR="000024EE" w:rsidRPr="000121DD" w:rsidRDefault="000024EE" w:rsidP="00DC6C4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09" w:hanging="426"/>
        <w:jc w:val="both"/>
        <w:rPr>
          <w:sz w:val="23"/>
          <w:szCs w:val="23"/>
        </w:rPr>
      </w:pPr>
      <w:r w:rsidRPr="000121DD">
        <w:rPr>
          <w:sz w:val="23"/>
          <w:szCs w:val="23"/>
        </w:rPr>
        <w:t>USE AND APPLICATIONS OF PSA</w:t>
      </w:r>
      <w:r w:rsidR="0064725C">
        <w:rPr>
          <w:sz w:val="23"/>
          <w:szCs w:val="23"/>
        </w:rPr>
        <w:t xml:space="preserve"> </w:t>
      </w:r>
    </w:p>
    <w:p w14:paraId="0413DC73" w14:textId="77777777" w:rsidR="003767EC" w:rsidRPr="000121DD" w:rsidRDefault="003767EC" w:rsidP="00DC6C4A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08FCCA2C" w14:textId="77777777" w:rsidR="000024EE" w:rsidRPr="000121DD" w:rsidRDefault="000024EE" w:rsidP="00DC6C4A">
      <w:pPr>
        <w:autoSpaceDE w:val="0"/>
        <w:autoSpaceDN w:val="0"/>
        <w:adjustRightInd w:val="0"/>
        <w:ind w:left="284"/>
        <w:rPr>
          <w:sz w:val="23"/>
          <w:szCs w:val="23"/>
        </w:rPr>
      </w:pPr>
      <w:r w:rsidRPr="000121DD">
        <w:rPr>
          <w:sz w:val="23"/>
          <w:szCs w:val="23"/>
        </w:rPr>
        <w:t>REFERENCES</w:t>
      </w:r>
    </w:p>
    <w:p w14:paraId="64E4BBC5" w14:textId="77777777" w:rsidR="003767EC" w:rsidRPr="000121DD" w:rsidRDefault="003767EC" w:rsidP="00DC6C4A">
      <w:pPr>
        <w:autoSpaceDE w:val="0"/>
        <w:autoSpaceDN w:val="0"/>
        <w:adjustRightInd w:val="0"/>
        <w:ind w:left="284"/>
        <w:rPr>
          <w:sz w:val="23"/>
          <w:szCs w:val="23"/>
        </w:rPr>
      </w:pPr>
    </w:p>
    <w:p w14:paraId="360460D7" w14:textId="77777777" w:rsidR="000024EE" w:rsidRPr="000121DD" w:rsidRDefault="000024EE" w:rsidP="00DC6C4A">
      <w:pPr>
        <w:autoSpaceDE w:val="0"/>
        <w:autoSpaceDN w:val="0"/>
        <w:adjustRightInd w:val="0"/>
        <w:ind w:left="284"/>
        <w:rPr>
          <w:sz w:val="23"/>
          <w:szCs w:val="23"/>
        </w:rPr>
      </w:pPr>
      <w:r w:rsidRPr="000121DD">
        <w:rPr>
          <w:sz w:val="23"/>
          <w:szCs w:val="23"/>
        </w:rPr>
        <w:t>ANNEX I: EXAMPLE OF A GENERIC LIST OF INTERNAL</w:t>
      </w:r>
      <w:r w:rsidR="00DC6C4A">
        <w:rPr>
          <w:sz w:val="23"/>
          <w:szCs w:val="23"/>
        </w:rPr>
        <w:t xml:space="preserve"> </w:t>
      </w:r>
      <w:r w:rsidRPr="000121DD">
        <w:rPr>
          <w:sz w:val="23"/>
          <w:szCs w:val="23"/>
        </w:rPr>
        <w:t>AND EXTERNAL HAZARDS</w:t>
      </w:r>
    </w:p>
    <w:p w14:paraId="6103DDA3" w14:textId="77777777" w:rsidR="003767EC" w:rsidRPr="000121DD" w:rsidRDefault="003767EC" w:rsidP="00DC6C4A">
      <w:pPr>
        <w:autoSpaceDE w:val="0"/>
        <w:autoSpaceDN w:val="0"/>
        <w:adjustRightInd w:val="0"/>
        <w:ind w:left="284"/>
        <w:rPr>
          <w:sz w:val="23"/>
          <w:szCs w:val="23"/>
        </w:rPr>
      </w:pPr>
    </w:p>
    <w:p w14:paraId="6C5AA5A1" w14:textId="77777777" w:rsidR="000024EE" w:rsidRPr="000121DD" w:rsidRDefault="000024EE" w:rsidP="00DC6C4A">
      <w:pPr>
        <w:autoSpaceDE w:val="0"/>
        <w:autoSpaceDN w:val="0"/>
        <w:adjustRightInd w:val="0"/>
        <w:ind w:left="284"/>
        <w:rPr>
          <w:sz w:val="23"/>
          <w:szCs w:val="23"/>
        </w:rPr>
      </w:pPr>
      <w:r w:rsidRPr="000121DD">
        <w:rPr>
          <w:sz w:val="23"/>
          <w:szCs w:val="23"/>
        </w:rPr>
        <w:t>ANNEX II: EXAMPLES OF FIRE PROPAGATION EVENT TREES</w:t>
      </w:r>
      <w:r w:rsidR="00DC6C4A">
        <w:rPr>
          <w:sz w:val="23"/>
          <w:szCs w:val="23"/>
        </w:rPr>
        <w:t xml:space="preserve"> </w:t>
      </w:r>
      <w:r w:rsidRPr="000121DD">
        <w:rPr>
          <w:sz w:val="23"/>
          <w:szCs w:val="23"/>
        </w:rPr>
        <w:t>AND SEISMIC EVENT TREES</w:t>
      </w:r>
    </w:p>
    <w:p w14:paraId="6C911582" w14:textId="77777777" w:rsidR="003767EC" w:rsidRPr="000121DD" w:rsidRDefault="003767EC" w:rsidP="00DC6C4A">
      <w:pPr>
        <w:autoSpaceDE w:val="0"/>
        <w:autoSpaceDN w:val="0"/>
        <w:adjustRightInd w:val="0"/>
        <w:ind w:left="284"/>
        <w:rPr>
          <w:sz w:val="23"/>
          <w:szCs w:val="23"/>
        </w:rPr>
      </w:pPr>
    </w:p>
    <w:p w14:paraId="14F31E88" w14:textId="77777777" w:rsidR="000024EE" w:rsidRPr="000121DD" w:rsidRDefault="000024EE" w:rsidP="00DC6C4A">
      <w:pPr>
        <w:autoSpaceDE w:val="0"/>
        <w:autoSpaceDN w:val="0"/>
        <w:adjustRightInd w:val="0"/>
        <w:ind w:left="284"/>
        <w:rPr>
          <w:sz w:val="23"/>
          <w:szCs w:val="23"/>
        </w:rPr>
      </w:pPr>
      <w:r w:rsidRPr="000121DD">
        <w:rPr>
          <w:sz w:val="23"/>
          <w:szCs w:val="23"/>
        </w:rPr>
        <w:t>ANNEX III: SUPPORTING INFORMATION ON PSA FOR</w:t>
      </w:r>
      <w:r w:rsidR="00DC6C4A">
        <w:rPr>
          <w:sz w:val="23"/>
          <w:szCs w:val="23"/>
        </w:rPr>
        <w:t xml:space="preserve"> </w:t>
      </w:r>
      <w:r w:rsidRPr="000121DD">
        <w:rPr>
          <w:sz w:val="23"/>
          <w:szCs w:val="23"/>
        </w:rPr>
        <w:t>LOW POWER AND SHUTDOWN MODES</w:t>
      </w:r>
    </w:p>
    <w:p w14:paraId="4DE6F616" w14:textId="77777777" w:rsidR="003767EC" w:rsidRPr="000121DD" w:rsidRDefault="003767EC" w:rsidP="00DC6C4A">
      <w:pPr>
        <w:autoSpaceDE w:val="0"/>
        <w:autoSpaceDN w:val="0"/>
        <w:adjustRightInd w:val="0"/>
        <w:ind w:left="284"/>
        <w:rPr>
          <w:sz w:val="23"/>
          <w:szCs w:val="23"/>
        </w:rPr>
      </w:pPr>
    </w:p>
    <w:p w14:paraId="307B8A0D" w14:textId="77777777" w:rsidR="000024EE" w:rsidRPr="000121DD" w:rsidRDefault="000024EE" w:rsidP="00DC6C4A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  <w:r w:rsidRPr="000121DD">
        <w:rPr>
          <w:sz w:val="23"/>
          <w:szCs w:val="23"/>
        </w:rPr>
        <w:t xml:space="preserve">CONTRIBUTORS TO DRAFTING AND REVIEW </w:t>
      </w:r>
    </w:p>
    <w:p w14:paraId="0E6BE952" w14:textId="77777777" w:rsidR="00B01839" w:rsidRPr="000121DD" w:rsidRDefault="00B01839" w:rsidP="00142442">
      <w:pPr>
        <w:pStyle w:val="BodyText"/>
        <w:spacing w:line="220" w:lineRule="atLeast"/>
        <w:ind w:left="240" w:hanging="240"/>
        <w:jc w:val="left"/>
        <w:rPr>
          <w:b/>
          <w:bCs/>
          <w:sz w:val="23"/>
          <w:szCs w:val="23"/>
        </w:rPr>
      </w:pPr>
    </w:p>
    <w:p w14:paraId="5CE2A509" w14:textId="77777777" w:rsidR="00142442" w:rsidRPr="000121DD" w:rsidRDefault="00C710DB" w:rsidP="00142442">
      <w:pPr>
        <w:pStyle w:val="BodyText"/>
        <w:spacing w:line="220" w:lineRule="atLeast"/>
        <w:ind w:left="240" w:hanging="240"/>
        <w:jc w:val="left"/>
        <w:rPr>
          <w:sz w:val="23"/>
          <w:szCs w:val="23"/>
        </w:rPr>
      </w:pPr>
      <w:r w:rsidRPr="000121DD">
        <w:rPr>
          <w:b/>
          <w:bCs/>
          <w:sz w:val="23"/>
          <w:szCs w:val="23"/>
        </w:rPr>
        <w:t>8</w:t>
      </w:r>
      <w:r w:rsidR="00142442" w:rsidRPr="000121DD">
        <w:rPr>
          <w:b/>
          <w:bCs/>
          <w:sz w:val="23"/>
          <w:szCs w:val="23"/>
        </w:rPr>
        <w:t>. PRODUCTION</w:t>
      </w:r>
      <w:r w:rsidR="00C7358B" w:rsidRPr="000121DD">
        <w:rPr>
          <w:b/>
          <w:bCs/>
          <w:sz w:val="23"/>
          <w:szCs w:val="23"/>
        </w:rPr>
        <w:t xml:space="preserve"> SCHEDULE</w:t>
      </w:r>
      <w:r w:rsidR="00142442" w:rsidRPr="000121DD">
        <w:rPr>
          <w:b/>
          <w:bCs/>
          <w:sz w:val="23"/>
          <w:szCs w:val="23"/>
        </w:rPr>
        <w:t xml:space="preserve">: </w:t>
      </w:r>
      <w:r w:rsidR="00142442" w:rsidRPr="000121DD">
        <w:rPr>
          <w:sz w:val="23"/>
          <w:szCs w:val="23"/>
        </w:rPr>
        <w:t xml:space="preserve">Provisional schedule for preparation of the document, outlining </w:t>
      </w:r>
      <w:r w:rsidR="009F2AA1" w:rsidRPr="000121DD">
        <w:rPr>
          <w:sz w:val="23"/>
          <w:szCs w:val="23"/>
        </w:rPr>
        <w:t xml:space="preserve">realistic </w:t>
      </w:r>
      <w:r w:rsidR="00D34F6B" w:rsidRPr="000121DD">
        <w:rPr>
          <w:sz w:val="23"/>
          <w:szCs w:val="23"/>
        </w:rPr>
        <w:t xml:space="preserve">expected </w:t>
      </w:r>
      <w:r w:rsidR="00142442" w:rsidRPr="000121DD">
        <w:rPr>
          <w:sz w:val="23"/>
          <w:szCs w:val="23"/>
        </w:rPr>
        <w:t>dates for</w:t>
      </w:r>
      <w:r w:rsidR="003157DB" w:rsidRPr="000121DD">
        <w:rPr>
          <w:sz w:val="23"/>
          <w:szCs w:val="23"/>
        </w:rPr>
        <w:t xml:space="preserve"> </w:t>
      </w:r>
      <w:r w:rsidR="0046657C" w:rsidRPr="000121DD">
        <w:rPr>
          <w:sz w:val="23"/>
          <w:szCs w:val="23"/>
        </w:rPr>
        <w:t xml:space="preserve">each step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5"/>
        <w:gridCol w:w="1718"/>
      </w:tblGrid>
      <w:tr w:rsidR="004D5972" w:rsidRPr="000121DD" w14:paraId="1D731E95" w14:textId="77777777" w:rsidTr="00D97BC7">
        <w:tc>
          <w:tcPr>
            <w:tcW w:w="7371" w:type="dxa"/>
            <w:shd w:val="clear" w:color="auto" w:fill="auto"/>
          </w:tcPr>
          <w:p w14:paraId="7DE23796" w14:textId="77777777" w:rsidR="004D5972" w:rsidRPr="000121DD" w:rsidRDefault="004D5972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STEP 1: Preparing a DPP</w:t>
            </w:r>
          </w:p>
        </w:tc>
        <w:tc>
          <w:tcPr>
            <w:tcW w:w="1734" w:type="dxa"/>
            <w:shd w:val="clear" w:color="auto" w:fill="auto"/>
          </w:tcPr>
          <w:p w14:paraId="6A7B7637" w14:textId="77777777" w:rsidR="004D5972" w:rsidRPr="000121DD" w:rsidRDefault="004D5972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DONE</w:t>
            </w:r>
          </w:p>
        </w:tc>
      </w:tr>
      <w:tr w:rsidR="004D5972" w:rsidRPr="000121DD" w14:paraId="2FB88702" w14:textId="77777777" w:rsidTr="00D97BC7">
        <w:tc>
          <w:tcPr>
            <w:tcW w:w="7371" w:type="dxa"/>
            <w:shd w:val="clear" w:color="auto" w:fill="auto"/>
          </w:tcPr>
          <w:p w14:paraId="6469049B" w14:textId="77777777" w:rsidR="004D5972" w:rsidRPr="000121DD" w:rsidRDefault="004D5972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2: </w:t>
            </w:r>
            <w:r w:rsidRPr="000121DD">
              <w:rPr>
                <w:sz w:val="20"/>
              </w:rPr>
              <w:t>Approval of DPP by the Coordination Committee</w:t>
            </w:r>
          </w:p>
        </w:tc>
        <w:tc>
          <w:tcPr>
            <w:tcW w:w="1734" w:type="dxa"/>
            <w:shd w:val="clear" w:color="auto" w:fill="auto"/>
          </w:tcPr>
          <w:p w14:paraId="2BE29D47" w14:textId="77777777" w:rsidR="004D5972" w:rsidRPr="000121DD" w:rsidRDefault="004D5972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April 2019</w:t>
            </w:r>
          </w:p>
        </w:tc>
      </w:tr>
      <w:tr w:rsidR="004D5972" w:rsidRPr="000121DD" w14:paraId="0DF9FDC8" w14:textId="77777777" w:rsidTr="00D97BC7">
        <w:tc>
          <w:tcPr>
            <w:tcW w:w="7371" w:type="dxa"/>
            <w:shd w:val="clear" w:color="auto" w:fill="auto"/>
          </w:tcPr>
          <w:p w14:paraId="552025E0" w14:textId="77777777" w:rsidR="004D5972" w:rsidRPr="000121DD" w:rsidRDefault="004D5972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STEP 3: Approval</w:t>
            </w:r>
            <w:r w:rsidRPr="000121DD">
              <w:rPr>
                <w:sz w:val="20"/>
              </w:rPr>
              <w:t xml:space="preserve"> of DPP by the relevant review Committees </w:t>
            </w:r>
          </w:p>
        </w:tc>
        <w:tc>
          <w:tcPr>
            <w:tcW w:w="1734" w:type="dxa"/>
            <w:shd w:val="clear" w:color="auto" w:fill="auto"/>
          </w:tcPr>
          <w:p w14:paraId="4D59ED86" w14:textId="77777777" w:rsidR="004D5972" w:rsidRPr="000121DD" w:rsidRDefault="004D5972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June 2019</w:t>
            </w:r>
          </w:p>
        </w:tc>
      </w:tr>
      <w:tr w:rsidR="004D5972" w:rsidRPr="000121DD" w14:paraId="33CD8ED7" w14:textId="77777777" w:rsidTr="00D97BC7">
        <w:tc>
          <w:tcPr>
            <w:tcW w:w="7371" w:type="dxa"/>
            <w:shd w:val="clear" w:color="auto" w:fill="auto"/>
          </w:tcPr>
          <w:p w14:paraId="4A899BCD" w14:textId="77777777" w:rsidR="004D5972" w:rsidRPr="000121DD" w:rsidRDefault="004D5972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4: </w:t>
            </w:r>
            <w:r w:rsidRPr="000121DD">
              <w:rPr>
                <w:sz w:val="20"/>
              </w:rPr>
              <w:t>Approval of DPP by the CSS</w:t>
            </w:r>
          </w:p>
        </w:tc>
        <w:tc>
          <w:tcPr>
            <w:tcW w:w="1734" w:type="dxa"/>
            <w:shd w:val="clear" w:color="auto" w:fill="auto"/>
          </w:tcPr>
          <w:p w14:paraId="1C2ADF84" w14:textId="77777777" w:rsidR="004D5972" w:rsidRPr="000121DD" w:rsidRDefault="005C1BF0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December </w:t>
            </w:r>
            <w:r w:rsidR="004D5972" w:rsidRPr="000121DD">
              <w:rPr>
                <w:color w:val="000000"/>
                <w:sz w:val="20"/>
              </w:rPr>
              <w:t>2019</w:t>
            </w:r>
          </w:p>
        </w:tc>
      </w:tr>
      <w:tr w:rsidR="004D5972" w:rsidRPr="000121DD" w14:paraId="12E94028" w14:textId="77777777" w:rsidTr="00D97BC7">
        <w:tc>
          <w:tcPr>
            <w:tcW w:w="7371" w:type="dxa"/>
            <w:shd w:val="clear" w:color="auto" w:fill="auto"/>
          </w:tcPr>
          <w:p w14:paraId="6FED974F" w14:textId="77777777" w:rsidR="004D5972" w:rsidRPr="000121DD" w:rsidRDefault="004D5972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STEP 5: Preparing the draft</w:t>
            </w:r>
          </w:p>
        </w:tc>
        <w:tc>
          <w:tcPr>
            <w:tcW w:w="1734" w:type="dxa"/>
            <w:shd w:val="clear" w:color="auto" w:fill="auto"/>
          </w:tcPr>
          <w:p w14:paraId="08D29D4D" w14:textId="77777777" w:rsidR="004D5972" w:rsidRPr="000121DD" w:rsidRDefault="001F5AA4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2</w:t>
            </w:r>
            <w:r w:rsidR="004D5972" w:rsidRPr="000121DD">
              <w:rPr>
                <w:color w:val="000000"/>
                <w:sz w:val="20"/>
              </w:rPr>
              <w:t>Q 2020</w:t>
            </w:r>
          </w:p>
        </w:tc>
      </w:tr>
      <w:tr w:rsidR="004D5972" w:rsidRPr="000121DD" w14:paraId="538422D0" w14:textId="77777777" w:rsidTr="00D97BC7">
        <w:tc>
          <w:tcPr>
            <w:tcW w:w="7371" w:type="dxa"/>
            <w:shd w:val="clear" w:color="auto" w:fill="auto"/>
          </w:tcPr>
          <w:p w14:paraId="194F0651" w14:textId="77777777" w:rsidR="004D5972" w:rsidRPr="000121DD" w:rsidRDefault="004D5972" w:rsidP="004D5972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6: </w:t>
            </w:r>
            <w:r w:rsidRPr="000121DD">
              <w:rPr>
                <w:sz w:val="20"/>
              </w:rPr>
              <w:t>Approval of draft by the Coordination Committee</w:t>
            </w:r>
          </w:p>
        </w:tc>
        <w:tc>
          <w:tcPr>
            <w:tcW w:w="1734" w:type="dxa"/>
            <w:shd w:val="clear" w:color="auto" w:fill="auto"/>
          </w:tcPr>
          <w:p w14:paraId="07B2055B" w14:textId="77777777" w:rsidR="004D5972" w:rsidRPr="000121DD" w:rsidRDefault="001F5AA4" w:rsidP="004D5972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3</w:t>
            </w:r>
            <w:r w:rsidR="004D5972" w:rsidRPr="000121DD">
              <w:rPr>
                <w:color w:val="000000"/>
                <w:sz w:val="20"/>
              </w:rPr>
              <w:t>Q 2020</w:t>
            </w:r>
          </w:p>
        </w:tc>
      </w:tr>
      <w:tr w:rsidR="004D5972" w:rsidRPr="000121DD" w14:paraId="68C84C80" w14:textId="77777777" w:rsidTr="00D97BC7">
        <w:tc>
          <w:tcPr>
            <w:tcW w:w="7371" w:type="dxa"/>
            <w:shd w:val="clear" w:color="auto" w:fill="auto"/>
          </w:tcPr>
          <w:p w14:paraId="0F386C98" w14:textId="77777777" w:rsidR="004D5972" w:rsidRPr="000121DD" w:rsidRDefault="004D5972" w:rsidP="004D5972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7: </w:t>
            </w:r>
            <w:r w:rsidRPr="000121DD">
              <w:rPr>
                <w:sz w:val="20"/>
              </w:rPr>
              <w:t>Approval by the relevant review Committees for submission to Member States for comments</w:t>
            </w:r>
          </w:p>
        </w:tc>
        <w:tc>
          <w:tcPr>
            <w:tcW w:w="1734" w:type="dxa"/>
            <w:shd w:val="clear" w:color="auto" w:fill="auto"/>
          </w:tcPr>
          <w:p w14:paraId="02AAAD55" w14:textId="77777777" w:rsidR="004D5972" w:rsidRPr="000121DD" w:rsidRDefault="001F5AA4" w:rsidP="004D5972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4</w:t>
            </w:r>
            <w:r w:rsidR="004D5972" w:rsidRPr="000121DD">
              <w:rPr>
                <w:color w:val="000000"/>
                <w:sz w:val="20"/>
              </w:rPr>
              <w:t>Q 202</w:t>
            </w:r>
            <w:r w:rsidR="005C1BF0">
              <w:rPr>
                <w:color w:val="000000"/>
                <w:sz w:val="20"/>
              </w:rPr>
              <w:t>0</w:t>
            </w:r>
          </w:p>
        </w:tc>
      </w:tr>
      <w:tr w:rsidR="004D5972" w:rsidRPr="000121DD" w14:paraId="235E6331" w14:textId="77777777" w:rsidTr="00D97BC7">
        <w:tc>
          <w:tcPr>
            <w:tcW w:w="7371" w:type="dxa"/>
            <w:shd w:val="clear" w:color="auto" w:fill="auto"/>
          </w:tcPr>
          <w:p w14:paraId="672BB44D" w14:textId="77777777" w:rsidR="004D5972" w:rsidRPr="000121DD" w:rsidRDefault="004D5972" w:rsidP="004D5972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STEP 8: Soliciting comments by Member States</w:t>
            </w:r>
          </w:p>
        </w:tc>
        <w:tc>
          <w:tcPr>
            <w:tcW w:w="1734" w:type="dxa"/>
            <w:shd w:val="clear" w:color="auto" w:fill="auto"/>
          </w:tcPr>
          <w:p w14:paraId="12B0CABD" w14:textId="77777777" w:rsidR="004D5972" w:rsidRPr="000121DD" w:rsidRDefault="001F5AA4" w:rsidP="004D5972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2</w:t>
            </w:r>
            <w:r w:rsidR="004D5972" w:rsidRPr="000121DD">
              <w:rPr>
                <w:color w:val="000000"/>
                <w:sz w:val="20"/>
              </w:rPr>
              <w:t>Q 2021</w:t>
            </w:r>
          </w:p>
        </w:tc>
      </w:tr>
      <w:tr w:rsidR="004D5972" w:rsidRPr="000121DD" w14:paraId="678CEEF9" w14:textId="77777777" w:rsidTr="00D97BC7">
        <w:tc>
          <w:tcPr>
            <w:tcW w:w="7371" w:type="dxa"/>
            <w:shd w:val="clear" w:color="auto" w:fill="auto"/>
          </w:tcPr>
          <w:p w14:paraId="771020EB" w14:textId="77777777" w:rsidR="004D5972" w:rsidRPr="000121DD" w:rsidRDefault="004D5972" w:rsidP="004D5972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STEP 9: Addressing comments by Member States</w:t>
            </w:r>
          </w:p>
        </w:tc>
        <w:tc>
          <w:tcPr>
            <w:tcW w:w="1734" w:type="dxa"/>
            <w:shd w:val="clear" w:color="auto" w:fill="auto"/>
          </w:tcPr>
          <w:p w14:paraId="40CBDA92" w14:textId="77777777" w:rsidR="004D5972" w:rsidRPr="000121DD" w:rsidRDefault="001F5AA4" w:rsidP="004D5972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3</w:t>
            </w:r>
            <w:r w:rsidR="004D5972" w:rsidRPr="000121DD">
              <w:rPr>
                <w:color w:val="000000"/>
                <w:sz w:val="20"/>
              </w:rPr>
              <w:t>Q 202</w:t>
            </w:r>
            <w:r w:rsidR="005C1BF0">
              <w:rPr>
                <w:color w:val="000000"/>
                <w:sz w:val="20"/>
              </w:rPr>
              <w:t>1</w:t>
            </w:r>
          </w:p>
        </w:tc>
      </w:tr>
      <w:tr w:rsidR="004D5972" w:rsidRPr="000121DD" w14:paraId="3BE7C7B9" w14:textId="77777777" w:rsidTr="00D97BC7">
        <w:tc>
          <w:tcPr>
            <w:tcW w:w="7371" w:type="dxa"/>
            <w:shd w:val="clear" w:color="auto" w:fill="auto"/>
          </w:tcPr>
          <w:p w14:paraId="24B8C1CA" w14:textId="77777777" w:rsidR="004D5972" w:rsidRPr="000121DD" w:rsidRDefault="004D5972" w:rsidP="004D5972">
            <w:pPr>
              <w:pStyle w:val="BodyText"/>
              <w:spacing w:after="0" w:line="220" w:lineRule="atLeast"/>
              <w:jc w:val="left"/>
              <w:rPr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10: </w:t>
            </w:r>
            <w:r w:rsidRPr="000121DD">
              <w:rPr>
                <w:sz w:val="20"/>
              </w:rPr>
              <w:t>Approval of the revised draft by the Coordination Committee</w:t>
            </w:r>
          </w:p>
          <w:p w14:paraId="5EEF3B79" w14:textId="77777777" w:rsidR="004D5972" w:rsidRPr="000121DD" w:rsidRDefault="004D5972" w:rsidP="004D5972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sz w:val="20"/>
              </w:rPr>
              <w:t>Review in NSOC-SGDS (Technical Editorial review)</w:t>
            </w:r>
          </w:p>
        </w:tc>
        <w:tc>
          <w:tcPr>
            <w:tcW w:w="1734" w:type="dxa"/>
            <w:shd w:val="clear" w:color="auto" w:fill="auto"/>
          </w:tcPr>
          <w:p w14:paraId="1AC969AD" w14:textId="77777777" w:rsidR="004D5972" w:rsidRPr="000121DD" w:rsidRDefault="005C1BF0" w:rsidP="004D5972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D5972" w:rsidRPr="000121DD">
              <w:rPr>
                <w:color w:val="000000"/>
                <w:sz w:val="20"/>
              </w:rPr>
              <w:t>Q 2022</w:t>
            </w:r>
          </w:p>
        </w:tc>
      </w:tr>
      <w:tr w:rsidR="004D5972" w:rsidRPr="000121DD" w14:paraId="04CFF4B7" w14:textId="77777777" w:rsidTr="00D97BC7">
        <w:tc>
          <w:tcPr>
            <w:tcW w:w="7371" w:type="dxa"/>
            <w:shd w:val="clear" w:color="auto" w:fill="auto"/>
          </w:tcPr>
          <w:p w14:paraId="45E5CEB0" w14:textId="77777777" w:rsidR="004D5972" w:rsidRPr="000121DD" w:rsidRDefault="004D5972" w:rsidP="004D5972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11: </w:t>
            </w:r>
            <w:r w:rsidRPr="000121DD">
              <w:rPr>
                <w:sz w:val="20"/>
              </w:rPr>
              <w:t>Approval by the relevant review Committees</w:t>
            </w:r>
          </w:p>
        </w:tc>
        <w:tc>
          <w:tcPr>
            <w:tcW w:w="1734" w:type="dxa"/>
            <w:shd w:val="clear" w:color="auto" w:fill="auto"/>
          </w:tcPr>
          <w:p w14:paraId="1C36FE8C" w14:textId="77777777" w:rsidR="004D5972" w:rsidRPr="000121DD" w:rsidRDefault="005C1BF0" w:rsidP="004D5972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4D5972" w:rsidRPr="000121DD">
              <w:rPr>
                <w:color w:val="000000"/>
                <w:sz w:val="20"/>
              </w:rPr>
              <w:t>Q 202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1F5AA4" w:rsidRPr="000121DD" w14:paraId="53B42313" w14:textId="77777777" w:rsidTr="00D97BC7">
        <w:trPr>
          <w:trHeight w:val="626"/>
        </w:trPr>
        <w:tc>
          <w:tcPr>
            <w:tcW w:w="7371" w:type="dxa"/>
            <w:vMerge w:val="restart"/>
            <w:shd w:val="clear" w:color="auto" w:fill="auto"/>
          </w:tcPr>
          <w:p w14:paraId="38EBB845" w14:textId="77777777" w:rsidR="001F5AA4" w:rsidRPr="000121DD" w:rsidRDefault="001F5AA4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12: </w:t>
            </w:r>
          </w:p>
          <w:p w14:paraId="4608F3DA" w14:textId="77777777" w:rsidR="001F5AA4" w:rsidRPr="000121DD" w:rsidRDefault="001F5AA4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- Submission to the CSS </w:t>
            </w:r>
          </w:p>
          <w:p w14:paraId="607FC24B" w14:textId="77777777" w:rsidR="001F5AA4" w:rsidRPr="000121DD" w:rsidRDefault="001F5AA4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- Submission in parallel and approval by the Publications Committee</w:t>
            </w:r>
          </w:p>
          <w:p w14:paraId="204D97C2" w14:textId="77777777" w:rsidR="001F5AA4" w:rsidRPr="000121DD" w:rsidRDefault="001F5AA4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- MTCD Editing</w:t>
            </w:r>
          </w:p>
          <w:p w14:paraId="5BC39F27" w14:textId="77777777" w:rsidR="001F5AA4" w:rsidRPr="000121DD" w:rsidRDefault="001F5AA4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sz w:val="20"/>
              </w:rPr>
              <w:t>- Endorsement of the edited version by the CSS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7ABD856A" w14:textId="77777777" w:rsidR="001F5AA4" w:rsidRPr="000121DD" w:rsidRDefault="005C1BF0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1F5AA4" w:rsidRPr="000121DD">
              <w:rPr>
                <w:color w:val="000000"/>
                <w:sz w:val="20"/>
              </w:rPr>
              <w:t>Q 202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1F5AA4" w:rsidRPr="000121DD" w14:paraId="7A334B07" w14:textId="77777777" w:rsidTr="00D97BC7">
        <w:trPr>
          <w:trHeight w:val="264"/>
        </w:trPr>
        <w:tc>
          <w:tcPr>
            <w:tcW w:w="7371" w:type="dxa"/>
            <w:vMerge/>
            <w:shd w:val="clear" w:color="auto" w:fill="auto"/>
          </w:tcPr>
          <w:p w14:paraId="40B27B93" w14:textId="77777777" w:rsidR="001F5AA4" w:rsidRPr="000121DD" w:rsidRDefault="001F5AA4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1A3B90EB" w14:textId="77777777" w:rsidR="001F5AA4" w:rsidRPr="000121DD" w:rsidRDefault="001F5AA4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1F5AA4" w:rsidRPr="000121DD" w14:paraId="346B5561" w14:textId="77777777" w:rsidTr="00D97BC7">
        <w:trPr>
          <w:trHeight w:val="264"/>
        </w:trPr>
        <w:tc>
          <w:tcPr>
            <w:tcW w:w="7371" w:type="dxa"/>
            <w:vMerge/>
            <w:shd w:val="clear" w:color="auto" w:fill="auto"/>
          </w:tcPr>
          <w:p w14:paraId="1CD24C92" w14:textId="77777777" w:rsidR="001F5AA4" w:rsidRPr="000121DD" w:rsidRDefault="001F5AA4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4AD04EC9" w14:textId="77777777" w:rsidR="001F5AA4" w:rsidRPr="000121DD" w:rsidRDefault="001F5AA4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</w:tr>
      <w:tr w:rsidR="001F5AA4" w:rsidRPr="000121DD" w14:paraId="2024E78A" w14:textId="77777777" w:rsidTr="00D97BC7">
        <w:tc>
          <w:tcPr>
            <w:tcW w:w="7371" w:type="dxa"/>
            <w:shd w:val="clear" w:color="auto" w:fill="auto"/>
          </w:tcPr>
          <w:p w14:paraId="14B73458" w14:textId="77777777" w:rsidR="001F5AA4" w:rsidRPr="000121DD" w:rsidRDefault="001F5AA4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>STEP 13: Establishment by the Publications Committee and/or Board of Governors (for SF and SR only))</w:t>
            </w:r>
          </w:p>
        </w:tc>
        <w:tc>
          <w:tcPr>
            <w:tcW w:w="1734" w:type="dxa"/>
            <w:shd w:val="clear" w:color="auto" w:fill="auto"/>
          </w:tcPr>
          <w:p w14:paraId="535FE018" w14:textId="0A008931" w:rsidR="001F5AA4" w:rsidRPr="000121DD" w:rsidRDefault="003B44D2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1Q 2023</w:t>
            </w:r>
          </w:p>
        </w:tc>
      </w:tr>
      <w:tr w:rsidR="001F5AA4" w:rsidRPr="000121DD" w14:paraId="16B9C92C" w14:textId="77777777" w:rsidTr="00D97BC7">
        <w:tc>
          <w:tcPr>
            <w:tcW w:w="7371" w:type="dxa"/>
            <w:shd w:val="clear" w:color="auto" w:fill="auto"/>
          </w:tcPr>
          <w:p w14:paraId="42D36569" w14:textId="77777777" w:rsidR="001F5AA4" w:rsidRPr="000121DD" w:rsidRDefault="001F5AA4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0121DD">
              <w:rPr>
                <w:color w:val="000000"/>
                <w:sz w:val="20"/>
              </w:rPr>
              <w:t xml:space="preserve">STEP 14: </w:t>
            </w:r>
            <w:r w:rsidRPr="000121DD">
              <w:rPr>
                <w:sz w:val="20"/>
              </w:rPr>
              <w:t>Target publication date</w:t>
            </w:r>
          </w:p>
        </w:tc>
        <w:tc>
          <w:tcPr>
            <w:tcW w:w="1734" w:type="dxa"/>
            <w:shd w:val="clear" w:color="auto" w:fill="auto"/>
          </w:tcPr>
          <w:p w14:paraId="42E64389" w14:textId="77777777" w:rsidR="001F5AA4" w:rsidRPr="000121DD" w:rsidRDefault="005C1BF0" w:rsidP="001F5AA4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1F5AA4" w:rsidRPr="000121DD">
              <w:rPr>
                <w:color w:val="000000"/>
                <w:sz w:val="20"/>
              </w:rPr>
              <w:t>Q 2023</w:t>
            </w:r>
          </w:p>
        </w:tc>
      </w:tr>
    </w:tbl>
    <w:p w14:paraId="70674DC3" w14:textId="77777777" w:rsidR="00142442" w:rsidRPr="000121DD" w:rsidRDefault="00142442">
      <w:pPr>
        <w:pStyle w:val="BodyText"/>
        <w:rPr>
          <w:sz w:val="23"/>
          <w:szCs w:val="23"/>
        </w:rPr>
      </w:pPr>
    </w:p>
    <w:p w14:paraId="461F1532" w14:textId="77777777" w:rsidR="000121DD" w:rsidRDefault="00C710DB" w:rsidP="000121DD">
      <w:pPr>
        <w:pStyle w:val="BodyText"/>
        <w:spacing w:after="0"/>
        <w:rPr>
          <w:sz w:val="23"/>
          <w:szCs w:val="23"/>
        </w:rPr>
      </w:pPr>
      <w:r w:rsidRPr="000121DD">
        <w:rPr>
          <w:b/>
          <w:bCs/>
          <w:sz w:val="23"/>
          <w:szCs w:val="23"/>
        </w:rPr>
        <w:t>9</w:t>
      </w:r>
      <w:r w:rsidR="00916868" w:rsidRPr="000121DD">
        <w:rPr>
          <w:b/>
          <w:bCs/>
          <w:sz w:val="23"/>
          <w:szCs w:val="23"/>
        </w:rPr>
        <w:t>. RESOURCES</w:t>
      </w:r>
      <w:r w:rsidR="00916868" w:rsidRPr="000121DD">
        <w:rPr>
          <w:b/>
          <w:bCs/>
          <w:sz w:val="23"/>
          <w:szCs w:val="23"/>
        </w:rPr>
        <w:br/>
      </w:r>
    </w:p>
    <w:p w14:paraId="317CF39C" w14:textId="77777777" w:rsidR="00550887" w:rsidRPr="000121DD" w:rsidRDefault="00550887" w:rsidP="00550887">
      <w:pPr>
        <w:pStyle w:val="Default"/>
        <w:spacing w:after="170"/>
        <w:jc w:val="both"/>
        <w:rPr>
          <w:sz w:val="23"/>
          <w:szCs w:val="23"/>
        </w:rPr>
      </w:pPr>
      <w:r w:rsidRPr="000121DD">
        <w:rPr>
          <w:sz w:val="23"/>
          <w:szCs w:val="23"/>
        </w:rPr>
        <w:t xml:space="preserve">It is estimated that </w:t>
      </w:r>
      <w:r w:rsidR="00AC15F8">
        <w:rPr>
          <w:sz w:val="23"/>
          <w:szCs w:val="23"/>
        </w:rPr>
        <w:t xml:space="preserve">revision of the Guide by amendment </w:t>
      </w:r>
      <w:r w:rsidRPr="000121DD">
        <w:rPr>
          <w:sz w:val="23"/>
          <w:szCs w:val="23"/>
        </w:rPr>
        <w:t xml:space="preserve">would involve approximately 25 weeks of effort by experts. This is based upon assuming 3 one-week consultant meetings involving no more than 5 experts and an average of one week of work per expert between meetings. </w:t>
      </w:r>
    </w:p>
    <w:p w14:paraId="219A7659" w14:textId="77777777" w:rsidR="00550887" w:rsidRPr="000121DD" w:rsidRDefault="00C24FD3" w:rsidP="00550887">
      <w:pPr>
        <w:pStyle w:val="BodyText"/>
        <w:rPr>
          <w:sz w:val="23"/>
          <w:szCs w:val="23"/>
        </w:rPr>
      </w:pPr>
      <w:r>
        <w:rPr>
          <w:sz w:val="23"/>
          <w:szCs w:val="23"/>
        </w:rPr>
        <w:t xml:space="preserve">Agency </w:t>
      </w:r>
      <w:r w:rsidR="00550887" w:rsidRPr="000121DD">
        <w:rPr>
          <w:sz w:val="23"/>
          <w:szCs w:val="23"/>
        </w:rPr>
        <w:t>resources involved are estimated at 8 weeks of effort by</w:t>
      </w:r>
      <w:r>
        <w:rPr>
          <w:sz w:val="23"/>
          <w:szCs w:val="23"/>
        </w:rPr>
        <w:t xml:space="preserve"> the Technical Officer</w:t>
      </w:r>
      <w:r w:rsidR="007E56EE">
        <w:rPr>
          <w:sz w:val="23"/>
          <w:szCs w:val="23"/>
        </w:rPr>
        <w:t>.</w:t>
      </w:r>
      <w:r w:rsidR="00550887" w:rsidRPr="000121DD">
        <w:rPr>
          <w:sz w:val="23"/>
          <w:szCs w:val="23"/>
        </w:rPr>
        <w:t xml:space="preserve"> </w:t>
      </w:r>
    </w:p>
    <w:sectPr w:rsidR="00550887" w:rsidRPr="000121DD" w:rsidSect="00DF0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276" w:right="1418" w:bottom="709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DFE2" w14:textId="77777777" w:rsidR="00CA2D6C" w:rsidRDefault="00CA2D6C">
      <w:r>
        <w:separator/>
      </w:r>
    </w:p>
  </w:endnote>
  <w:endnote w:type="continuationSeparator" w:id="0">
    <w:p w14:paraId="4F1C9A0D" w14:textId="77777777" w:rsidR="00CA2D6C" w:rsidRDefault="00CA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3ABCE" w14:textId="77777777" w:rsidR="00615D76" w:rsidRDefault="00615D76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1E62E730" w14:textId="77777777" w:rsidR="00615D76" w:rsidRDefault="00615D76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3C13" w14:textId="77777777" w:rsidR="00615D76" w:rsidRDefault="00615D76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30E673F4" w14:textId="77777777" w:rsidR="00615D76" w:rsidRDefault="00615D76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615D76" w14:paraId="5DA9F55F" w14:textId="77777777">
      <w:trPr>
        <w:cantSplit/>
      </w:trPr>
      <w:tc>
        <w:tcPr>
          <w:tcW w:w="4644" w:type="dxa"/>
        </w:tcPr>
        <w:p w14:paraId="2CDE816C" w14:textId="77777777" w:rsidR="00615D76" w:rsidRDefault="00615D76" w:rsidP="00C710DB">
          <w:pPr>
            <w:pStyle w:val="zyxSensitivity"/>
            <w:framePr w:wrap="auto" w:vAnchor="margin" w:hAnchor="text" w:xAlign="left" w:yAlign="inline"/>
            <w:suppressOverlap w:val="0"/>
            <w:jc w:val="center"/>
          </w:pPr>
          <w:r>
            <w:tab/>
          </w:r>
        </w:p>
      </w:tc>
      <w:bookmarkStart w:id="3" w:name="DOC_bkmClassification2"/>
      <w:tc>
        <w:tcPr>
          <w:tcW w:w="5670" w:type="dxa"/>
          <w:tcMar>
            <w:right w:w="249" w:type="dxa"/>
          </w:tcMar>
        </w:tcPr>
        <w:p w14:paraId="6F17CFBE" w14:textId="77777777" w:rsidR="00615D76" w:rsidRDefault="00615D76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3"/>
        <w:p w14:paraId="7F899F1C" w14:textId="77777777" w:rsidR="00615D76" w:rsidRDefault="00615D76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14:paraId="5C37359F" w14:textId="77777777" w:rsidR="00615D76" w:rsidRDefault="00615D76">
    <w:bookmarkStart w:id="4" w:name="DOC_bkmFileName"/>
    <w:r>
      <w:rPr>
        <w:sz w:val="16"/>
      </w:rPr>
      <w:t>NS-SPESS F DPP-V.11- 21 November 201</w:t>
    </w:r>
    <w:bookmarkEnd w:id="4"/>
    <w:r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469FB" w14:textId="77777777" w:rsidR="00CA2D6C" w:rsidRDefault="00CA2D6C">
      <w:r>
        <w:t>___________________________________________________________________________</w:t>
      </w:r>
    </w:p>
  </w:footnote>
  <w:footnote w:type="continuationSeparator" w:id="0">
    <w:p w14:paraId="42781D63" w14:textId="77777777" w:rsidR="00CA2D6C" w:rsidRDefault="00CA2D6C">
      <w:r>
        <w:t>___________________________________________________________________________</w:t>
      </w:r>
    </w:p>
  </w:footnote>
  <w:footnote w:type="continuationNotice" w:id="1">
    <w:p w14:paraId="0EB8A1DC" w14:textId="77777777" w:rsidR="00CA2D6C" w:rsidRDefault="00CA2D6C"/>
  </w:footnote>
  <w:footnote w:id="2">
    <w:p w14:paraId="591B9246" w14:textId="53C10EDB" w:rsidR="00CB5FF3" w:rsidRPr="002C645A" w:rsidRDefault="00CB5FF3" w:rsidP="00CB5F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</w:t>
      </w:r>
      <w:r w:rsidRPr="001C707B">
        <w:t xml:space="preserve">urrently the Guide is focused on the reactor core and does not cover </w:t>
      </w:r>
      <w:r w:rsidR="00147EC5">
        <w:t xml:space="preserve">spent </w:t>
      </w:r>
      <w:r w:rsidRPr="001C707B">
        <w:t xml:space="preserve">fuel </w:t>
      </w:r>
      <w:r w:rsidR="00147EC5">
        <w:t xml:space="preserve">pools </w:t>
      </w:r>
      <w:r w:rsidRPr="001C707B">
        <w:t>on the site.</w:t>
      </w:r>
      <w:r w:rsidR="0064725C">
        <w:t xml:space="preserve"> </w:t>
      </w:r>
      <w:r w:rsidR="007876E8" w:rsidRPr="007876E8">
        <w:t>However, while considering Level 1 PSA for low power and shutdown modes, the risk from the fuel assemblies transferred from the reactor core is also addressed.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960D" w14:textId="6F0646F8" w:rsidR="00615D76" w:rsidRDefault="00615D76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6905">
      <w:rPr>
        <w:noProof/>
      </w:rPr>
      <w:t>2</w:t>
    </w:r>
    <w:r>
      <w:fldChar w:fldCharType="end"/>
    </w:r>
    <w:r>
      <w:br/>
    </w:r>
  </w:p>
  <w:p w14:paraId="7055308F" w14:textId="77777777" w:rsidR="00615D76" w:rsidRDefault="00615D76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0F34E05D" w14:textId="77777777" w:rsidR="00615D76" w:rsidRDefault="00615D76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4814" w14:textId="5A0B431A" w:rsidR="00615D76" w:rsidRDefault="00615D76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6905">
      <w:rPr>
        <w:noProof/>
      </w:rPr>
      <w:t>5</w:t>
    </w:r>
    <w:r>
      <w:fldChar w:fldCharType="end"/>
    </w:r>
    <w:r>
      <w:br/>
    </w:r>
  </w:p>
  <w:p w14:paraId="249DE755" w14:textId="77777777" w:rsidR="00615D76" w:rsidRDefault="00615D76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58C066F8" w14:textId="77777777" w:rsidR="00615D76" w:rsidRDefault="00615D76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14:paraId="683B0FAF" w14:textId="77777777" w:rsidR="00615D76" w:rsidRDefault="00615D76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615D76" w14:paraId="3E59B28F" w14:textId="77777777">
      <w:trPr>
        <w:cantSplit/>
        <w:trHeight w:val="716"/>
      </w:trPr>
      <w:tc>
        <w:tcPr>
          <w:tcW w:w="979" w:type="dxa"/>
          <w:vMerge w:val="restart"/>
        </w:tcPr>
        <w:p w14:paraId="2486C5CD" w14:textId="77777777" w:rsidR="00615D76" w:rsidRDefault="00615D76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615F081C" w14:textId="77777777" w:rsidR="00615D76" w:rsidRDefault="00615D76">
          <w:pPr>
            <w:spacing w:after="20"/>
          </w:pPr>
        </w:p>
      </w:tc>
      <w:bookmarkStart w:id="2" w:name="DOC_bkmClassification1"/>
      <w:tc>
        <w:tcPr>
          <w:tcW w:w="5702" w:type="dxa"/>
          <w:vMerge w:val="restart"/>
          <w:tcMar>
            <w:right w:w="193" w:type="dxa"/>
          </w:tcMar>
        </w:tcPr>
        <w:p w14:paraId="15C714AF" w14:textId="77777777" w:rsidR="00615D76" w:rsidRDefault="00615D76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11713061" w14:textId="77777777" w:rsidR="00615D76" w:rsidRDefault="00615D76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615D76" w14:paraId="3B698FE2" w14:textId="77777777">
      <w:trPr>
        <w:cantSplit/>
        <w:trHeight w:val="167"/>
      </w:trPr>
      <w:tc>
        <w:tcPr>
          <w:tcW w:w="979" w:type="dxa"/>
          <w:vMerge/>
        </w:tcPr>
        <w:p w14:paraId="1223F011" w14:textId="77777777" w:rsidR="00615D76" w:rsidRDefault="00615D76">
          <w:pPr>
            <w:spacing w:before="57"/>
          </w:pPr>
        </w:p>
      </w:tc>
      <w:tc>
        <w:tcPr>
          <w:tcW w:w="3638" w:type="dxa"/>
          <w:vAlign w:val="bottom"/>
        </w:tcPr>
        <w:p w14:paraId="07BD8708" w14:textId="77777777" w:rsidR="00615D76" w:rsidRDefault="00615D76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0CF202FE" w14:textId="77777777" w:rsidR="00615D76" w:rsidRDefault="00615D76">
          <w:pPr>
            <w:pStyle w:val="Heading9"/>
            <w:spacing w:before="0" w:after="10"/>
          </w:pPr>
        </w:p>
      </w:tc>
    </w:tr>
  </w:tbl>
  <w:p w14:paraId="5BC1A120" w14:textId="2940D759" w:rsidR="00615D76" w:rsidRDefault="00615D76">
    <w:r>
      <w:rPr>
        <w:rStyle w:val="PageNumber"/>
        <w:sz w:val="18"/>
        <w:szCs w:val="20"/>
      </w:rPr>
      <w:fldChar w:fldCharType="begin"/>
    </w:r>
    <w:r>
      <w:rPr>
        <w:rStyle w:val="PageNumber"/>
        <w:sz w:val="18"/>
        <w:szCs w:val="20"/>
      </w:rPr>
      <w:instrText xml:space="preserve"> PAGE </w:instrText>
    </w:r>
    <w:r>
      <w:rPr>
        <w:rStyle w:val="PageNumber"/>
        <w:sz w:val="18"/>
        <w:szCs w:val="20"/>
      </w:rPr>
      <w:fldChar w:fldCharType="separate"/>
    </w:r>
    <w:r w:rsidR="00016905">
      <w:rPr>
        <w:rStyle w:val="PageNumber"/>
        <w:noProof/>
        <w:sz w:val="18"/>
        <w:szCs w:val="20"/>
      </w:rPr>
      <w:t>1</w:t>
    </w:r>
    <w:r>
      <w:rPr>
        <w:rStyle w:val="PageNumber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10E51C"/>
    <w:multiLevelType w:val="hybridMultilevel"/>
    <w:tmpl w:val="85FECB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43704"/>
    <w:multiLevelType w:val="hybridMultilevel"/>
    <w:tmpl w:val="51906CA6"/>
    <w:lvl w:ilvl="0" w:tplc="3880C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2996"/>
    <w:multiLevelType w:val="hybridMultilevel"/>
    <w:tmpl w:val="2CC871C2"/>
    <w:lvl w:ilvl="0" w:tplc="37B8E7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CFD7655"/>
    <w:multiLevelType w:val="hybridMultilevel"/>
    <w:tmpl w:val="5CDCC32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425456CC"/>
    <w:multiLevelType w:val="hybridMultilevel"/>
    <w:tmpl w:val="0FC41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1451"/>
    <w:multiLevelType w:val="hybridMultilevel"/>
    <w:tmpl w:val="3A1CA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FAA5B"/>
    <w:multiLevelType w:val="hybridMultilevel"/>
    <w:tmpl w:val="EE3677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F6A87"/>
    <w:multiLevelType w:val="hybridMultilevel"/>
    <w:tmpl w:val="C83663E0"/>
    <w:lvl w:ilvl="0" w:tplc="261663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E316E"/>
    <w:multiLevelType w:val="hybridMultilevel"/>
    <w:tmpl w:val="09A6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5" w15:restartNumberingAfterBreak="0">
    <w:nsid w:val="73C761CD"/>
    <w:multiLevelType w:val="hybridMultilevel"/>
    <w:tmpl w:val="1A6ACB9E"/>
    <w:lvl w:ilvl="0" w:tplc="DB12E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4"/>
  </w:num>
  <w:num w:numId="5">
    <w:abstractNumId w:val="14"/>
  </w:num>
  <w:num w:numId="6">
    <w:abstractNumId w:val="5"/>
  </w:num>
  <w:num w:numId="7">
    <w:abstractNumId w:val="11"/>
  </w:num>
  <w:num w:numId="8">
    <w:abstractNumId w:val="16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2"/>
  </w:num>
  <w:num w:numId="15">
    <w:abstractNumId w:val="8"/>
  </w:num>
  <w:num w:numId="16">
    <w:abstractNumId w:val="12"/>
  </w:num>
  <w:num w:numId="17">
    <w:abstractNumId w:val="15"/>
  </w:num>
  <w:num w:numId="18">
    <w:abstractNumId w:val="1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87477"/>
    <w:rsid w:val="000024EE"/>
    <w:rsid w:val="000121DD"/>
    <w:rsid w:val="00014BE6"/>
    <w:rsid w:val="00016905"/>
    <w:rsid w:val="00016ABE"/>
    <w:rsid w:val="00024AB7"/>
    <w:rsid w:val="00024F46"/>
    <w:rsid w:val="00026909"/>
    <w:rsid w:val="00031D79"/>
    <w:rsid w:val="000326B9"/>
    <w:rsid w:val="0005123D"/>
    <w:rsid w:val="00063520"/>
    <w:rsid w:val="000709B6"/>
    <w:rsid w:val="00073BE4"/>
    <w:rsid w:val="00087477"/>
    <w:rsid w:val="00094724"/>
    <w:rsid w:val="000B6C7D"/>
    <w:rsid w:val="000F3FFB"/>
    <w:rsid w:val="00102B05"/>
    <w:rsid w:val="001151BB"/>
    <w:rsid w:val="00120880"/>
    <w:rsid w:val="001230D3"/>
    <w:rsid w:val="00123CA3"/>
    <w:rsid w:val="0012599A"/>
    <w:rsid w:val="0013283B"/>
    <w:rsid w:val="00132BE8"/>
    <w:rsid w:val="00142442"/>
    <w:rsid w:val="001430D6"/>
    <w:rsid w:val="00147EC5"/>
    <w:rsid w:val="0015018A"/>
    <w:rsid w:val="00154427"/>
    <w:rsid w:val="001635EC"/>
    <w:rsid w:val="00172ACB"/>
    <w:rsid w:val="00174EE7"/>
    <w:rsid w:val="0017772C"/>
    <w:rsid w:val="00182E26"/>
    <w:rsid w:val="00183BCE"/>
    <w:rsid w:val="001B00D8"/>
    <w:rsid w:val="001C26A4"/>
    <w:rsid w:val="001C4BD0"/>
    <w:rsid w:val="001C582A"/>
    <w:rsid w:val="001C6493"/>
    <w:rsid w:val="001C707B"/>
    <w:rsid w:val="001D240D"/>
    <w:rsid w:val="001D2F28"/>
    <w:rsid w:val="001D6494"/>
    <w:rsid w:val="001E72B9"/>
    <w:rsid w:val="001F38AF"/>
    <w:rsid w:val="001F54DD"/>
    <w:rsid w:val="001F5AA4"/>
    <w:rsid w:val="002076C4"/>
    <w:rsid w:val="00211860"/>
    <w:rsid w:val="002245DC"/>
    <w:rsid w:val="00234AD6"/>
    <w:rsid w:val="002375C8"/>
    <w:rsid w:val="00257551"/>
    <w:rsid w:val="00267DCE"/>
    <w:rsid w:val="002842EF"/>
    <w:rsid w:val="002965E8"/>
    <w:rsid w:val="002A16B0"/>
    <w:rsid w:val="002B1193"/>
    <w:rsid w:val="002B345D"/>
    <w:rsid w:val="002B52C3"/>
    <w:rsid w:val="002D3C81"/>
    <w:rsid w:val="002E1DB0"/>
    <w:rsid w:val="002E535E"/>
    <w:rsid w:val="002F49B7"/>
    <w:rsid w:val="00304886"/>
    <w:rsid w:val="003157DB"/>
    <w:rsid w:val="00315A19"/>
    <w:rsid w:val="003160D5"/>
    <w:rsid w:val="00321FE6"/>
    <w:rsid w:val="0033433F"/>
    <w:rsid w:val="00343F12"/>
    <w:rsid w:val="00372A32"/>
    <w:rsid w:val="003767EC"/>
    <w:rsid w:val="0037720B"/>
    <w:rsid w:val="003858D3"/>
    <w:rsid w:val="0039184E"/>
    <w:rsid w:val="00392A2B"/>
    <w:rsid w:val="003975D9"/>
    <w:rsid w:val="003B1EE7"/>
    <w:rsid w:val="003B44D2"/>
    <w:rsid w:val="003C633C"/>
    <w:rsid w:val="003D0C47"/>
    <w:rsid w:val="003F08E7"/>
    <w:rsid w:val="003F6B19"/>
    <w:rsid w:val="004125FB"/>
    <w:rsid w:val="00413655"/>
    <w:rsid w:val="00415340"/>
    <w:rsid w:val="00417C79"/>
    <w:rsid w:val="00432A67"/>
    <w:rsid w:val="0043563F"/>
    <w:rsid w:val="00444C57"/>
    <w:rsid w:val="00453956"/>
    <w:rsid w:val="00454A44"/>
    <w:rsid w:val="00455B25"/>
    <w:rsid w:val="00455F54"/>
    <w:rsid w:val="004563D8"/>
    <w:rsid w:val="00456FD3"/>
    <w:rsid w:val="004615C3"/>
    <w:rsid w:val="0046657C"/>
    <w:rsid w:val="00481A4D"/>
    <w:rsid w:val="004824D7"/>
    <w:rsid w:val="004906AA"/>
    <w:rsid w:val="00493ECC"/>
    <w:rsid w:val="004964AB"/>
    <w:rsid w:val="00497C01"/>
    <w:rsid w:val="004B2610"/>
    <w:rsid w:val="004B2A45"/>
    <w:rsid w:val="004B386B"/>
    <w:rsid w:val="004C1951"/>
    <w:rsid w:val="004C4FCE"/>
    <w:rsid w:val="004C66BC"/>
    <w:rsid w:val="004D5972"/>
    <w:rsid w:val="004D73F8"/>
    <w:rsid w:val="004E042C"/>
    <w:rsid w:val="004E532B"/>
    <w:rsid w:val="004E6EEE"/>
    <w:rsid w:val="00500856"/>
    <w:rsid w:val="00535F27"/>
    <w:rsid w:val="00545549"/>
    <w:rsid w:val="00546C57"/>
    <w:rsid w:val="00550887"/>
    <w:rsid w:val="005543C4"/>
    <w:rsid w:val="005575B7"/>
    <w:rsid w:val="0056221E"/>
    <w:rsid w:val="00582690"/>
    <w:rsid w:val="00596F97"/>
    <w:rsid w:val="005A70D3"/>
    <w:rsid w:val="005B4B68"/>
    <w:rsid w:val="005B4BF3"/>
    <w:rsid w:val="005B592B"/>
    <w:rsid w:val="005C1BF0"/>
    <w:rsid w:val="005C6005"/>
    <w:rsid w:val="005D031F"/>
    <w:rsid w:val="005E0C5F"/>
    <w:rsid w:val="005E0CEA"/>
    <w:rsid w:val="005E529F"/>
    <w:rsid w:val="006035DB"/>
    <w:rsid w:val="00615D76"/>
    <w:rsid w:val="00625D7D"/>
    <w:rsid w:val="00631677"/>
    <w:rsid w:val="006350D0"/>
    <w:rsid w:val="00644D92"/>
    <w:rsid w:val="00644F7A"/>
    <w:rsid w:val="0064725C"/>
    <w:rsid w:val="00651B57"/>
    <w:rsid w:val="006719EA"/>
    <w:rsid w:val="006815A5"/>
    <w:rsid w:val="00685D17"/>
    <w:rsid w:val="006A079B"/>
    <w:rsid w:val="006B1B05"/>
    <w:rsid w:val="006C346F"/>
    <w:rsid w:val="006C3C9F"/>
    <w:rsid w:val="006C62BE"/>
    <w:rsid w:val="006C77ED"/>
    <w:rsid w:val="006D5019"/>
    <w:rsid w:val="006E633A"/>
    <w:rsid w:val="006F162C"/>
    <w:rsid w:val="006F4DBA"/>
    <w:rsid w:val="00702F05"/>
    <w:rsid w:val="00705E77"/>
    <w:rsid w:val="007069AA"/>
    <w:rsid w:val="00726F50"/>
    <w:rsid w:val="007340E0"/>
    <w:rsid w:val="0073698A"/>
    <w:rsid w:val="00740C77"/>
    <w:rsid w:val="00755060"/>
    <w:rsid w:val="007621D9"/>
    <w:rsid w:val="00780B21"/>
    <w:rsid w:val="007876E8"/>
    <w:rsid w:val="007906CF"/>
    <w:rsid w:val="00791957"/>
    <w:rsid w:val="007923ED"/>
    <w:rsid w:val="007A2D18"/>
    <w:rsid w:val="007A6415"/>
    <w:rsid w:val="007B1D61"/>
    <w:rsid w:val="007B4152"/>
    <w:rsid w:val="007B41C4"/>
    <w:rsid w:val="007C0316"/>
    <w:rsid w:val="007C18EF"/>
    <w:rsid w:val="007D1AE2"/>
    <w:rsid w:val="007E16ED"/>
    <w:rsid w:val="007E45D9"/>
    <w:rsid w:val="007E56EE"/>
    <w:rsid w:val="007F437C"/>
    <w:rsid w:val="00815899"/>
    <w:rsid w:val="00825D07"/>
    <w:rsid w:val="00832A3A"/>
    <w:rsid w:val="00833EA7"/>
    <w:rsid w:val="008347F7"/>
    <w:rsid w:val="00847762"/>
    <w:rsid w:val="008518B5"/>
    <w:rsid w:val="00861A25"/>
    <w:rsid w:val="008638E8"/>
    <w:rsid w:val="008640DE"/>
    <w:rsid w:val="008659FD"/>
    <w:rsid w:val="00866E71"/>
    <w:rsid w:val="00872951"/>
    <w:rsid w:val="008771DE"/>
    <w:rsid w:val="00881CD3"/>
    <w:rsid w:val="008A1A24"/>
    <w:rsid w:val="008A55DE"/>
    <w:rsid w:val="008A6378"/>
    <w:rsid w:val="008B28F5"/>
    <w:rsid w:val="008C5922"/>
    <w:rsid w:val="008D6C64"/>
    <w:rsid w:val="008D7B2D"/>
    <w:rsid w:val="008E4A02"/>
    <w:rsid w:val="008E5158"/>
    <w:rsid w:val="008E7112"/>
    <w:rsid w:val="008F7D89"/>
    <w:rsid w:val="00911127"/>
    <w:rsid w:val="00913AA5"/>
    <w:rsid w:val="00916868"/>
    <w:rsid w:val="00925029"/>
    <w:rsid w:val="00926ACE"/>
    <w:rsid w:val="00945109"/>
    <w:rsid w:val="009561A5"/>
    <w:rsid w:val="0095643D"/>
    <w:rsid w:val="00960B53"/>
    <w:rsid w:val="009706EC"/>
    <w:rsid w:val="009901E9"/>
    <w:rsid w:val="009914A4"/>
    <w:rsid w:val="009952F8"/>
    <w:rsid w:val="0099698A"/>
    <w:rsid w:val="009B75E0"/>
    <w:rsid w:val="009C5F59"/>
    <w:rsid w:val="009E3B46"/>
    <w:rsid w:val="009E4441"/>
    <w:rsid w:val="009F1FC0"/>
    <w:rsid w:val="009F2AA1"/>
    <w:rsid w:val="00A0380B"/>
    <w:rsid w:val="00A04C02"/>
    <w:rsid w:val="00A07BC6"/>
    <w:rsid w:val="00A10939"/>
    <w:rsid w:val="00A17C97"/>
    <w:rsid w:val="00A627DB"/>
    <w:rsid w:val="00A67B3A"/>
    <w:rsid w:val="00A76E0A"/>
    <w:rsid w:val="00A82034"/>
    <w:rsid w:val="00A94574"/>
    <w:rsid w:val="00A96F2A"/>
    <w:rsid w:val="00A97558"/>
    <w:rsid w:val="00A97F37"/>
    <w:rsid w:val="00AA459C"/>
    <w:rsid w:val="00AA5A0C"/>
    <w:rsid w:val="00AB3B9B"/>
    <w:rsid w:val="00AB5D0A"/>
    <w:rsid w:val="00AB7162"/>
    <w:rsid w:val="00AC0B24"/>
    <w:rsid w:val="00AC1379"/>
    <w:rsid w:val="00AC15F8"/>
    <w:rsid w:val="00AD2DFF"/>
    <w:rsid w:val="00AD4DCB"/>
    <w:rsid w:val="00AD5DA1"/>
    <w:rsid w:val="00B01839"/>
    <w:rsid w:val="00B01A4A"/>
    <w:rsid w:val="00B112A4"/>
    <w:rsid w:val="00B124D6"/>
    <w:rsid w:val="00B1552B"/>
    <w:rsid w:val="00B20CF5"/>
    <w:rsid w:val="00B2375C"/>
    <w:rsid w:val="00B3739B"/>
    <w:rsid w:val="00B42B2F"/>
    <w:rsid w:val="00B442BC"/>
    <w:rsid w:val="00B847F4"/>
    <w:rsid w:val="00B86206"/>
    <w:rsid w:val="00BA1774"/>
    <w:rsid w:val="00BA5E29"/>
    <w:rsid w:val="00BC5F5B"/>
    <w:rsid w:val="00BE15D5"/>
    <w:rsid w:val="00BE1718"/>
    <w:rsid w:val="00BE6B95"/>
    <w:rsid w:val="00BF29B9"/>
    <w:rsid w:val="00BF2CBD"/>
    <w:rsid w:val="00BF6776"/>
    <w:rsid w:val="00BF7C27"/>
    <w:rsid w:val="00C00104"/>
    <w:rsid w:val="00C1045D"/>
    <w:rsid w:val="00C24FD3"/>
    <w:rsid w:val="00C31396"/>
    <w:rsid w:val="00C3390B"/>
    <w:rsid w:val="00C33C02"/>
    <w:rsid w:val="00C36DC9"/>
    <w:rsid w:val="00C4435D"/>
    <w:rsid w:val="00C61E58"/>
    <w:rsid w:val="00C634F6"/>
    <w:rsid w:val="00C63A15"/>
    <w:rsid w:val="00C710DB"/>
    <w:rsid w:val="00C7358B"/>
    <w:rsid w:val="00C745FC"/>
    <w:rsid w:val="00C807E4"/>
    <w:rsid w:val="00C8128A"/>
    <w:rsid w:val="00C860C8"/>
    <w:rsid w:val="00C865CA"/>
    <w:rsid w:val="00CA1E24"/>
    <w:rsid w:val="00CA2D6C"/>
    <w:rsid w:val="00CA359F"/>
    <w:rsid w:val="00CA6BC1"/>
    <w:rsid w:val="00CB5FF3"/>
    <w:rsid w:val="00CB7DB1"/>
    <w:rsid w:val="00CD04AA"/>
    <w:rsid w:val="00D10831"/>
    <w:rsid w:val="00D14988"/>
    <w:rsid w:val="00D34F6B"/>
    <w:rsid w:val="00D615B3"/>
    <w:rsid w:val="00D630DA"/>
    <w:rsid w:val="00D64FBD"/>
    <w:rsid w:val="00D8000D"/>
    <w:rsid w:val="00D97BC7"/>
    <w:rsid w:val="00DA4690"/>
    <w:rsid w:val="00DC64A2"/>
    <w:rsid w:val="00DC6C4A"/>
    <w:rsid w:val="00DD3254"/>
    <w:rsid w:val="00DE1333"/>
    <w:rsid w:val="00DE2A51"/>
    <w:rsid w:val="00DE3B2D"/>
    <w:rsid w:val="00DF0043"/>
    <w:rsid w:val="00DF0A8B"/>
    <w:rsid w:val="00DF1503"/>
    <w:rsid w:val="00E0263C"/>
    <w:rsid w:val="00E02DF2"/>
    <w:rsid w:val="00E140D8"/>
    <w:rsid w:val="00E16EE9"/>
    <w:rsid w:val="00E3114A"/>
    <w:rsid w:val="00E3140C"/>
    <w:rsid w:val="00E341C5"/>
    <w:rsid w:val="00E37149"/>
    <w:rsid w:val="00E60F1E"/>
    <w:rsid w:val="00E7273F"/>
    <w:rsid w:val="00E73210"/>
    <w:rsid w:val="00E8323E"/>
    <w:rsid w:val="00E8447E"/>
    <w:rsid w:val="00E93774"/>
    <w:rsid w:val="00EB0125"/>
    <w:rsid w:val="00EB6C4C"/>
    <w:rsid w:val="00EC3E33"/>
    <w:rsid w:val="00ED0156"/>
    <w:rsid w:val="00ED54B4"/>
    <w:rsid w:val="00EF057C"/>
    <w:rsid w:val="00F100EC"/>
    <w:rsid w:val="00F11E63"/>
    <w:rsid w:val="00F12EC8"/>
    <w:rsid w:val="00F142FC"/>
    <w:rsid w:val="00F16F64"/>
    <w:rsid w:val="00F266F1"/>
    <w:rsid w:val="00F35356"/>
    <w:rsid w:val="00F3773E"/>
    <w:rsid w:val="00F431B4"/>
    <w:rsid w:val="00F44BB2"/>
    <w:rsid w:val="00F46672"/>
    <w:rsid w:val="00F548B5"/>
    <w:rsid w:val="00F56635"/>
    <w:rsid w:val="00F644A0"/>
    <w:rsid w:val="00F70704"/>
    <w:rsid w:val="00F87325"/>
    <w:rsid w:val="00FA2DD5"/>
    <w:rsid w:val="00FB4B36"/>
    <w:rsid w:val="00FC5589"/>
    <w:rsid w:val="00FD51D5"/>
    <w:rsid w:val="00FD7174"/>
    <w:rsid w:val="00FD764A"/>
    <w:rsid w:val="00FE2706"/>
    <w:rsid w:val="00FF4824"/>
    <w:rsid w:val="00FF6624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EAE70"/>
  <w15:docId w15:val="{B1F033CA-3168-4EE9-9B9C-7642834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42"/>
    <w:rPr>
      <w:sz w:val="24"/>
      <w:szCs w:val="24"/>
      <w:lang w:val="en-US"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rPr>
      <w:sz w:val="2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BalloonText">
    <w:name w:val="Balloon Text"/>
    <w:basedOn w:val="Normal"/>
    <w:semiHidden/>
    <w:rsid w:val="00481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A4690"/>
  </w:style>
  <w:style w:type="paragraph" w:customStyle="1" w:styleId="Default">
    <w:name w:val="Default"/>
    <w:rsid w:val="003D0C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51D5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05E7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A35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3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359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3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359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3773E"/>
    <w:rPr>
      <w:sz w:val="24"/>
      <w:szCs w:val="24"/>
      <w:lang w:val="en-US" w:eastAsia="en-US"/>
    </w:rPr>
  </w:style>
  <w:style w:type="character" w:customStyle="1" w:styleId="BodyTextChar1">
    <w:name w:val="Body Text Char1"/>
    <w:basedOn w:val="DefaultParagraphFont"/>
    <w:rsid w:val="00E140D8"/>
    <w:rPr>
      <w:rFonts w:ascii="Arial" w:eastAsiaTheme="minorHAnsi" w:hAnsi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NS%20-%20Dept\New%20DPP%20Template%20V9%20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4262-D6AE-49D3-9643-8225FF59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DPP Template V9 clean.dotx</Template>
  <TotalTime>1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POGHOSYAN, Shahen</dc:creator>
  <cp:lastModifiedBy>POGHOSYAN, Shahen</cp:lastModifiedBy>
  <cp:revision>15</cp:revision>
  <cp:lastPrinted>2019-04-04T11:52:00Z</cp:lastPrinted>
  <dcterms:created xsi:type="dcterms:W3CDTF">2019-04-23T07:09:00Z</dcterms:created>
  <dcterms:modified xsi:type="dcterms:W3CDTF">2019-09-24T09:57:00Z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