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70FF5" w14:textId="1A282C7F" w:rsidR="00DA4690" w:rsidRPr="007E79A9" w:rsidRDefault="00142442" w:rsidP="00DA4690">
      <w:pPr>
        <w:pStyle w:val="BodyText"/>
        <w:spacing w:after="0" w:line="240" w:lineRule="auto"/>
        <w:jc w:val="center"/>
        <w:rPr>
          <w:b/>
          <w:bCs/>
          <w:sz w:val="28"/>
        </w:rPr>
      </w:pPr>
      <w:r w:rsidRPr="007E79A9">
        <w:rPr>
          <w:b/>
          <w:bCs/>
          <w:sz w:val="28"/>
        </w:rPr>
        <w:t>Document Preparation Profile (DPP)</w:t>
      </w:r>
    </w:p>
    <w:p w14:paraId="123FCEFE" w14:textId="665661ED" w:rsidR="003C24C5" w:rsidRPr="00844C28" w:rsidRDefault="003C24C5" w:rsidP="00DA4690">
      <w:pPr>
        <w:pStyle w:val="BodyText"/>
        <w:spacing w:after="0" w:line="240" w:lineRule="auto"/>
        <w:jc w:val="center"/>
        <w:rPr>
          <w:b/>
          <w:bCs/>
          <w:sz w:val="28"/>
        </w:rPr>
      </w:pPr>
      <w:r w:rsidRPr="00844C28">
        <w:rPr>
          <w:b/>
          <w:bCs/>
          <w:sz w:val="28"/>
        </w:rPr>
        <w:t>V</w:t>
      </w:r>
      <w:r w:rsidR="00DF4010" w:rsidRPr="00844C28">
        <w:rPr>
          <w:b/>
          <w:bCs/>
          <w:sz w:val="28"/>
        </w:rPr>
        <w:t>ersion 0</w:t>
      </w:r>
      <w:r w:rsidR="00CA78F8" w:rsidRPr="00844C28">
        <w:rPr>
          <w:b/>
          <w:bCs/>
          <w:sz w:val="28"/>
        </w:rPr>
        <w:t>.</w:t>
      </w:r>
      <w:r w:rsidR="00DF687A">
        <w:rPr>
          <w:b/>
          <w:bCs/>
          <w:sz w:val="28"/>
        </w:rPr>
        <w:t>8</w:t>
      </w:r>
      <w:r w:rsidR="00602F4B">
        <w:rPr>
          <w:b/>
          <w:bCs/>
          <w:sz w:val="28"/>
        </w:rPr>
        <w:t xml:space="preserve">, </w:t>
      </w:r>
      <w:r w:rsidR="003E0ADA">
        <w:rPr>
          <w:b/>
          <w:bCs/>
          <w:sz w:val="28"/>
        </w:rPr>
        <w:t>27 June</w:t>
      </w:r>
      <w:r w:rsidR="00DF4010" w:rsidRPr="00844C28">
        <w:rPr>
          <w:b/>
          <w:bCs/>
          <w:sz w:val="28"/>
        </w:rPr>
        <w:t xml:space="preserve"> 201</w:t>
      </w:r>
      <w:r w:rsidR="00BF68A6" w:rsidRPr="00844C28">
        <w:rPr>
          <w:b/>
          <w:bCs/>
          <w:sz w:val="28"/>
        </w:rPr>
        <w:t>9</w:t>
      </w:r>
    </w:p>
    <w:p w14:paraId="5D4BF8C1" w14:textId="77777777" w:rsidR="00916868" w:rsidRPr="00A52476" w:rsidRDefault="00916868" w:rsidP="00142442">
      <w:pPr>
        <w:pStyle w:val="BodyText"/>
        <w:jc w:val="center"/>
        <w:rPr>
          <w:b/>
          <w:bCs/>
          <w:sz w:val="28"/>
          <w:lang w:val="fr-FR"/>
        </w:rPr>
      </w:pPr>
    </w:p>
    <w:p w14:paraId="4692DA48" w14:textId="71CF2CC7" w:rsidR="00142442" w:rsidRPr="00467564" w:rsidRDefault="00142442" w:rsidP="00FA319C">
      <w:pPr>
        <w:pStyle w:val="BodyText"/>
        <w:numPr>
          <w:ilvl w:val="0"/>
          <w:numId w:val="19"/>
        </w:numPr>
        <w:tabs>
          <w:tab w:val="left" w:pos="240"/>
        </w:tabs>
        <w:rPr>
          <w:b/>
          <w:bCs/>
        </w:rPr>
      </w:pPr>
      <w:r w:rsidRPr="00467564">
        <w:rPr>
          <w:b/>
          <w:bCs/>
        </w:rPr>
        <w:t>IDENTIFICATION</w:t>
      </w:r>
    </w:p>
    <w:p w14:paraId="0ACCD1A7" w14:textId="77777777" w:rsidR="0046657C" w:rsidRPr="00467564" w:rsidRDefault="00142442" w:rsidP="00142442">
      <w:pPr>
        <w:pStyle w:val="BodyText"/>
        <w:ind w:left="2400" w:hanging="2160"/>
        <w:jc w:val="left"/>
        <w:rPr>
          <w:b/>
          <w:bCs/>
        </w:rPr>
      </w:pPr>
      <w:r w:rsidRPr="00467564">
        <w:rPr>
          <w:b/>
          <w:bCs/>
        </w:rPr>
        <w:t>Document Category</w:t>
      </w:r>
      <w:r w:rsidR="00087477" w:rsidRPr="00467564">
        <w:rPr>
          <w:b/>
          <w:bCs/>
        </w:rPr>
        <w:t xml:space="preserve"> or set of </w:t>
      </w:r>
      <w:r w:rsidR="0046657C" w:rsidRPr="00467564">
        <w:rPr>
          <w:b/>
          <w:bCs/>
        </w:rPr>
        <w:t>publications</w:t>
      </w:r>
      <w:r w:rsidR="00087477" w:rsidRPr="00467564">
        <w:rPr>
          <w:b/>
          <w:bCs/>
        </w:rPr>
        <w:t xml:space="preserve"> to be revised in a concomitant manner</w:t>
      </w:r>
    </w:p>
    <w:p w14:paraId="6E93B0CF" w14:textId="77777777" w:rsidR="00142442" w:rsidRPr="00467564" w:rsidRDefault="00574335" w:rsidP="001230D3">
      <w:pPr>
        <w:pStyle w:val="BodyText"/>
        <w:ind w:left="2400"/>
        <w:jc w:val="left"/>
        <w:rPr>
          <w:b/>
          <w:bCs/>
        </w:rPr>
      </w:pPr>
      <w:r w:rsidRPr="00467564">
        <w:rPr>
          <w:b/>
          <w:bCs/>
        </w:rPr>
        <w:t xml:space="preserve">Specific </w:t>
      </w:r>
      <w:r w:rsidR="0039184E" w:rsidRPr="00467564">
        <w:rPr>
          <w:b/>
          <w:bCs/>
        </w:rPr>
        <w:t xml:space="preserve">Safety </w:t>
      </w:r>
      <w:r w:rsidR="00142442" w:rsidRPr="00467564">
        <w:rPr>
          <w:b/>
          <w:bCs/>
        </w:rPr>
        <w:t>Guide</w:t>
      </w:r>
    </w:p>
    <w:p w14:paraId="32F2D76E" w14:textId="4192C6E6" w:rsidR="00142442" w:rsidRPr="00467564" w:rsidRDefault="00142442" w:rsidP="00142442">
      <w:pPr>
        <w:pStyle w:val="BodyText"/>
        <w:ind w:left="2400" w:hanging="2160"/>
        <w:jc w:val="left"/>
        <w:rPr>
          <w:b/>
          <w:bCs/>
        </w:rPr>
      </w:pPr>
      <w:r w:rsidRPr="00467564">
        <w:rPr>
          <w:b/>
          <w:bCs/>
        </w:rPr>
        <w:t>Working ID:</w:t>
      </w:r>
      <w:r w:rsidRPr="00467564">
        <w:rPr>
          <w:b/>
          <w:bCs/>
        </w:rPr>
        <w:tab/>
      </w:r>
      <w:r w:rsidR="00602F4B">
        <w:rPr>
          <w:b/>
          <w:bCs/>
        </w:rPr>
        <w:t>DS520</w:t>
      </w:r>
    </w:p>
    <w:p w14:paraId="5A880E2D" w14:textId="3E622590" w:rsidR="00B143BF" w:rsidRDefault="00142442" w:rsidP="0042198F">
      <w:pPr>
        <w:pStyle w:val="BodyText"/>
        <w:ind w:left="2400" w:hanging="2160"/>
        <w:rPr>
          <w:b/>
          <w:bCs/>
        </w:rPr>
      </w:pPr>
      <w:r w:rsidRPr="00467564">
        <w:rPr>
          <w:b/>
          <w:bCs/>
        </w:rPr>
        <w:t>Proposed Title:</w:t>
      </w:r>
      <w:r w:rsidRPr="00467564">
        <w:rPr>
          <w:b/>
          <w:bCs/>
        </w:rPr>
        <w:tab/>
      </w:r>
      <w:bookmarkStart w:id="0" w:name="_Hlk531352739"/>
      <w:r w:rsidR="005900C4">
        <w:rPr>
          <w:b/>
          <w:bCs/>
        </w:rPr>
        <w:t>H</w:t>
      </w:r>
      <w:r w:rsidR="005900C4" w:rsidRPr="005900C4">
        <w:rPr>
          <w:b/>
          <w:bCs/>
        </w:rPr>
        <w:t xml:space="preserve">azards associated with external human induced events in site evaluation for nuclear installation </w:t>
      </w:r>
      <w:bookmarkEnd w:id="0"/>
      <w:r w:rsidR="00B143BF">
        <w:rPr>
          <w:b/>
          <w:bCs/>
        </w:rPr>
        <w:t xml:space="preserve">  </w:t>
      </w:r>
    </w:p>
    <w:p w14:paraId="029AB15B" w14:textId="7405E2B1" w:rsidR="00B02256" w:rsidRPr="00467564" w:rsidRDefault="00142442" w:rsidP="00B02256">
      <w:pPr>
        <w:pStyle w:val="BodyText"/>
        <w:ind w:left="2400" w:hanging="2160"/>
        <w:jc w:val="left"/>
        <w:rPr>
          <w:bCs/>
        </w:rPr>
      </w:pPr>
      <w:r w:rsidRPr="00467564">
        <w:rPr>
          <w:b/>
          <w:bCs/>
        </w:rPr>
        <w:t>Proposed Action:</w:t>
      </w:r>
      <w:r w:rsidRPr="00467564">
        <w:rPr>
          <w:b/>
          <w:bCs/>
        </w:rPr>
        <w:tab/>
      </w:r>
      <w:r w:rsidR="00AE31EF" w:rsidRPr="00AE31EF">
        <w:rPr>
          <w:b/>
          <w:bCs/>
        </w:rPr>
        <w:t>Revision of Safety Guide NS-G-3.1, External Human Induced Events in Site Evaluation for Nuclear Power Plants (2002)</w:t>
      </w:r>
    </w:p>
    <w:p w14:paraId="03929766" w14:textId="30AFD893" w:rsidR="00142442" w:rsidRPr="00467564" w:rsidRDefault="0039184E" w:rsidP="00B02256">
      <w:pPr>
        <w:pStyle w:val="BodyText"/>
        <w:ind w:left="2400" w:hanging="2160"/>
        <w:jc w:val="left"/>
        <w:rPr>
          <w:b/>
          <w:bCs/>
        </w:rPr>
      </w:pPr>
      <w:r w:rsidRPr="00467564">
        <w:rPr>
          <w:b/>
          <w:bCs/>
        </w:rPr>
        <w:t>Review</w:t>
      </w:r>
      <w:r w:rsidR="00142442" w:rsidRPr="00467564">
        <w:rPr>
          <w:b/>
          <w:bCs/>
        </w:rPr>
        <w:t xml:space="preserve"> Committee(s)</w:t>
      </w:r>
      <w:r w:rsidRPr="00467564">
        <w:rPr>
          <w:b/>
          <w:bCs/>
        </w:rPr>
        <w:t xml:space="preserve"> or Group</w:t>
      </w:r>
      <w:r w:rsidR="00142442" w:rsidRPr="00467564">
        <w:rPr>
          <w:b/>
          <w:bCs/>
        </w:rPr>
        <w:t>:</w:t>
      </w:r>
      <w:r w:rsidR="00142442" w:rsidRPr="00467564">
        <w:rPr>
          <w:b/>
          <w:bCs/>
        </w:rPr>
        <w:tab/>
      </w:r>
      <w:r w:rsidR="0042198F" w:rsidRPr="00467564">
        <w:rPr>
          <w:b/>
          <w:bCs/>
        </w:rPr>
        <w:t>NUSSC</w:t>
      </w:r>
      <w:r w:rsidR="000D26AA">
        <w:rPr>
          <w:b/>
          <w:bCs/>
        </w:rPr>
        <w:t>, WASSC</w:t>
      </w:r>
    </w:p>
    <w:p w14:paraId="29C6E565" w14:textId="280EF88C" w:rsidR="00142442" w:rsidRPr="00467564" w:rsidRDefault="00142442" w:rsidP="00142442">
      <w:pPr>
        <w:pStyle w:val="BodyText"/>
        <w:ind w:left="2400" w:hanging="2160"/>
        <w:jc w:val="left"/>
        <w:rPr>
          <w:b/>
          <w:bCs/>
        </w:rPr>
      </w:pPr>
      <w:r w:rsidRPr="00467564">
        <w:rPr>
          <w:b/>
          <w:bCs/>
        </w:rPr>
        <w:t>Technical Officer(s):</w:t>
      </w:r>
      <w:r w:rsidRPr="00467564">
        <w:rPr>
          <w:b/>
          <w:bCs/>
        </w:rPr>
        <w:tab/>
      </w:r>
      <w:r w:rsidR="00A11926">
        <w:rPr>
          <w:b/>
          <w:bCs/>
        </w:rPr>
        <w:t xml:space="preserve">Ayhan </w:t>
      </w:r>
      <w:proofErr w:type="spellStart"/>
      <w:r w:rsidR="00A11926">
        <w:rPr>
          <w:b/>
          <w:bCs/>
        </w:rPr>
        <w:t>Altinyollar</w:t>
      </w:r>
      <w:proofErr w:type="spellEnd"/>
      <w:r w:rsidR="00932750" w:rsidRPr="00467564">
        <w:rPr>
          <w:b/>
          <w:bCs/>
        </w:rPr>
        <w:t xml:space="preserve"> (</w:t>
      </w:r>
      <w:r w:rsidR="00B143BF">
        <w:rPr>
          <w:b/>
          <w:bCs/>
        </w:rPr>
        <w:t>EESS</w:t>
      </w:r>
      <w:r w:rsidR="00932750" w:rsidRPr="00467564">
        <w:rPr>
          <w:b/>
          <w:bCs/>
        </w:rPr>
        <w:t xml:space="preserve">/NSNI) </w:t>
      </w:r>
    </w:p>
    <w:p w14:paraId="6BAD6C24" w14:textId="329C69DA" w:rsidR="00FA319C" w:rsidRPr="00C33763" w:rsidRDefault="00E0263C" w:rsidP="00E7536E">
      <w:pPr>
        <w:pStyle w:val="BodyText"/>
        <w:numPr>
          <w:ilvl w:val="0"/>
          <w:numId w:val="19"/>
        </w:numPr>
        <w:spacing w:before="240"/>
        <w:ind w:left="357" w:hanging="357"/>
        <w:rPr>
          <w:b/>
          <w:bCs/>
        </w:rPr>
      </w:pPr>
      <w:r w:rsidRPr="00FA319C">
        <w:rPr>
          <w:b/>
          <w:bCs/>
        </w:rPr>
        <w:t xml:space="preserve">BACKGROUND </w:t>
      </w:r>
    </w:p>
    <w:p w14:paraId="25C1596D" w14:textId="1CC77E2C" w:rsidR="00AE31EF" w:rsidRPr="00AE31EF" w:rsidRDefault="00AE31EF" w:rsidP="00AE31EF">
      <w:pPr>
        <w:pStyle w:val="BodyText"/>
        <w:rPr>
          <w:iCs/>
          <w:szCs w:val="22"/>
        </w:rPr>
      </w:pPr>
      <w:r w:rsidRPr="00AE31EF">
        <w:rPr>
          <w:iCs/>
          <w:szCs w:val="22"/>
        </w:rPr>
        <w:t xml:space="preserve">This specific safety guide will supersede the IAEA </w:t>
      </w:r>
      <w:r w:rsidR="003224DE">
        <w:rPr>
          <w:iCs/>
          <w:szCs w:val="22"/>
        </w:rPr>
        <w:t>S</w:t>
      </w:r>
      <w:r w:rsidRPr="00AE31EF">
        <w:rPr>
          <w:iCs/>
          <w:szCs w:val="22"/>
        </w:rPr>
        <w:t xml:space="preserve">afety </w:t>
      </w:r>
      <w:r w:rsidR="0094056E">
        <w:rPr>
          <w:iCs/>
          <w:szCs w:val="22"/>
        </w:rPr>
        <w:t>G</w:t>
      </w:r>
      <w:r w:rsidRPr="00AE31EF">
        <w:rPr>
          <w:iCs/>
          <w:szCs w:val="22"/>
        </w:rPr>
        <w:t xml:space="preserve">uide NS-G-3.1, “External Human Induced Events in Site Evaluation for Nuclear Power Plants” and expand the scope from </w:t>
      </w:r>
      <w:r w:rsidR="008F39F4">
        <w:rPr>
          <w:iCs/>
          <w:szCs w:val="22"/>
        </w:rPr>
        <w:t>nuclear power plant (</w:t>
      </w:r>
      <w:r w:rsidRPr="00AE31EF">
        <w:rPr>
          <w:iCs/>
          <w:szCs w:val="22"/>
        </w:rPr>
        <w:t>NPP</w:t>
      </w:r>
      <w:r w:rsidR="008F39F4">
        <w:rPr>
          <w:iCs/>
          <w:szCs w:val="22"/>
        </w:rPr>
        <w:t>)</w:t>
      </w:r>
      <w:r w:rsidRPr="00AE31EF">
        <w:rPr>
          <w:iCs/>
          <w:szCs w:val="22"/>
        </w:rPr>
        <w:t xml:space="preserve"> to all nuclear installations.</w:t>
      </w:r>
    </w:p>
    <w:p w14:paraId="05906053" w14:textId="23F97318" w:rsidR="00AE31EF" w:rsidRPr="00AE31EF" w:rsidRDefault="00AE31EF" w:rsidP="00AE31EF">
      <w:pPr>
        <w:pStyle w:val="BodyText"/>
        <w:rPr>
          <w:iCs/>
          <w:szCs w:val="22"/>
        </w:rPr>
      </w:pPr>
      <w:r w:rsidRPr="00AE31EF">
        <w:rPr>
          <w:iCs/>
          <w:szCs w:val="22"/>
        </w:rPr>
        <w:t xml:space="preserve">NS-G-3.1 was published in 2002 to provide recommendations and guidance for fulfilling the requirements of the Safety Requirements publication 50-C-S, “Code on the Safety of Nuclear Power Plants: Siting” of 1988. In 2003, 50-C-S was superseded by NS-R-3, “Site Evaluation for Nuclear Installations”, which was later revised by amendment and published in 2016 as NS-R-3 (Rev.1). NS-R-3 (Rev.1) </w:t>
      </w:r>
      <w:r w:rsidR="00E8596E">
        <w:rPr>
          <w:iCs/>
          <w:szCs w:val="22"/>
        </w:rPr>
        <w:t>was supersede</w:t>
      </w:r>
      <w:r w:rsidR="00441C80">
        <w:rPr>
          <w:iCs/>
          <w:szCs w:val="22"/>
        </w:rPr>
        <w:t xml:space="preserve">d by </w:t>
      </w:r>
      <w:r w:rsidR="0094056E">
        <w:rPr>
          <w:iCs/>
          <w:szCs w:val="22"/>
        </w:rPr>
        <w:t xml:space="preserve">IAEA </w:t>
      </w:r>
      <w:r w:rsidR="009977FE">
        <w:rPr>
          <w:iCs/>
          <w:szCs w:val="22"/>
        </w:rPr>
        <w:t xml:space="preserve">Specific Safety </w:t>
      </w:r>
      <w:r w:rsidR="00826C3E">
        <w:rPr>
          <w:iCs/>
          <w:szCs w:val="22"/>
        </w:rPr>
        <w:t>Requirement</w:t>
      </w:r>
      <w:r w:rsidR="009977FE">
        <w:rPr>
          <w:iCs/>
          <w:szCs w:val="22"/>
        </w:rPr>
        <w:t xml:space="preserve"> </w:t>
      </w:r>
      <w:r w:rsidR="00441C80">
        <w:rPr>
          <w:iCs/>
          <w:szCs w:val="22"/>
        </w:rPr>
        <w:t>SSR-1</w:t>
      </w:r>
      <w:r w:rsidR="00A41AB7">
        <w:rPr>
          <w:iCs/>
          <w:szCs w:val="22"/>
        </w:rPr>
        <w:t>,</w:t>
      </w:r>
      <w:r w:rsidR="00441C80">
        <w:rPr>
          <w:iCs/>
          <w:szCs w:val="22"/>
        </w:rPr>
        <w:t xml:space="preserve"> </w:t>
      </w:r>
      <w:r w:rsidR="00441C80" w:rsidRPr="00441C80">
        <w:rPr>
          <w:iCs/>
          <w:szCs w:val="22"/>
        </w:rPr>
        <w:t>“Site Evaluation for Nuclear Installations</w:t>
      </w:r>
      <w:r w:rsidR="00441C80">
        <w:rPr>
          <w:iCs/>
          <w:szCs w:val="22"/>
        </w:rPr>
        <w:t>”</w:t>
      </w:r>
      <w:r w:rsidR="00A41AB7">
        <w:rPr>
          <w:iCs/>
          <w:szCs w:val="22"/>
        </w:rPr>
        <w:t>.</w:t>
      </w:r>
    </w:p>
    <w:p w14:paraId="5DD3028B" w14:textId="33C12AA6" w:rsidR="001B6CF9" w:rsidRDefault="00AE31EF" w:rsidP="00AE31EF">
      <w:pPr>
        <w:pStyle w:val="BodyText"/>
        <w:rPr>
          <w:iCs/>
          <w:szCs w:val="22"/>
        </w:rPr>
      </w:pPr>
      <w:r w:rsidRPr="00AE31EF">
        <w:rPr>
          <w:iCs/>
          <w:szCs w:val="22"/>
        </w:rPr>
        <w:t xml:space="preserve">The IAEA Safety Guide NS-G-1.5 for the design of nuclear power plants against external events excluding earthquakes is currently being revised (DS498) and its scope extended to all nuclear installations. The revision of NS-G-3.1 will ensure consistency with </w:t>
      </w:r>
      <w:r w:rsidR="00554E03">
        <w:rPr>
          <w:iCs/>
          <w:szCs w:val="22"/>
        </w:rPr>
        <w:t>DS498</w:t>
      </w:r>
      <w:r w:rsidRPr="00AE31EF">
        <w:rPr>
          <w:iCs/>
          <w:szCs w:val="22"/>
        </w:rPr>
        <w:t xml:space="preserve"> concerning both the contents and the scope of human-induced external hazards.</w:t>
      </w:r>
    </w:p>
    <w:p w14:paraId="27C08F4C" w14:textId="10284DA2" w:rsidR="00FA319C" w:rsidRDefault="00481A4D" w:rsidP="00C33763">
      <w:pPr>
        <w:pStyle w:val="BodyText"/>
        <w:numPr>
          <w:ilvl w:val="0"/>
          <w:numId w:val="19"/>
        </w:numPr>
        <w:spacing w:before="240"/>
        <w:ind w:left="357" w:hanging="357"/>
        <w:rPr>
          <w:b/>
          <w:bCs/>
        </w:rPr>
      </w:pPr>
      <w:r w:rsidRPr="00467564">
        <w:rPr>
          <w:b/>
          <w:bCs/>
        </w:rPr>
        <w:t>JUSTIFICATION</w:t>
      </w:r>
      <w:r w:rsidR="009561A5" w:rsidRPr="00467564">
        <w:rPr>
          <w:b/>
          <w:bCs/>
        </w:rPr>
        <w:t xml:space="preserve"> </w:t>
      </w:r>
      <w:r w:rsidR="00E0263C" w:rsidRPr="00467564">
        <w:rPr>
          <w:b/>
          <w:bCs/>
        </w:rPr>
        <w:t xml:space="preserve">FOR THE PRODUCTION OF THE DOCUMENT </w:t>
      </w:r>
    </w:p>
    <w:p w14:paraId="70E9184E" w14:textId="6275BB0A" w:rsidR="0075680B" w:rsidRDefault="0075680B" w:rsidP="00A86F15">
      <w:pPr>
        <w:pStyle w:val="BodyText"/>
        <w:rPr>
          <w:iCs/>
          <w:szCs w:val="22"/>
        </w:rPr>
      </w:pPr>
      <w:r w:rsidRPr="0075680B">
        <w:rPr>
          <w:iCs/>
          <w:szCs w:val="22"/>
        </w:rPr>
        <w:t xml:space="preserve">The </w:t>
      </w:r>
      <w:r w:rsidR="0094056E">
        <w:rPr>
          <w:iCs/>
          <w:szCs w:val="22"/>
        </w:rPr>
        <w:t xml:space="preserve">revision of </w:t>
      </w:r>
      <w:r w:rsidRPr="0075680B">
        <w:rPr>
          <w:iCs/>
          <w:szCs w:val="22"/>
        </w:rPr>
        <w:t xml:space="preserve">safety guide will provide guidance to evaluate hazards associated with human induced events. It will directly support Requirement </w:t>
      </w:r>
      <w:r w:rsidR="007762AF" w:rsidRPr="0075680B">
        <w:rPr>
          <w:iCs/>
          <w:szCs w:val="22"/>
        </w:rPr>
        <w:t>24</w:t>
      </w:r>
      <w:r w:rsidR="007762AF">
        <w:rPr>
          <w:iCs/>
          <w:szCs w:val="22"/>
        </w:rPr>
        <w:t xml:space="preserve"> </w:t>
      </w:r>
      <w:r w:rsidR="007762AF" w:rsidRPr="0075680B">
        <w:rPr>
          <w:iCs/>
          <w:szCs w:val="22"/>
        </w:rPr>
        <w:t>and</w:t>
      </w:r>
      <w:r w:rsidRPr="0075680B">
        <w:rPr>
          <w:iCs/>
          <w:szCs w:val="22"/>
        </w:rPr>
        <w:t xml:space="preserve"> the related paragraphs 5.33 to 5.37 of </w:t>
      </w:r>
      <w:r w:rsidR="00E8596E">
        <w:rPr>
          <w:iCs/>
          <w:szCs w:val="22"/>
        </w:rPr>
        <w:t>SSR-1</w:t>
      </w:r>
      <w:r w:rsidRPr="0075680B">
        <w:rPr>
          <w:iCs/>
          <w:szCs w:val="22"/>
        </w:rPr>
        <w:t>.</w:t>
      </w:r>
    </w:p>
    <w:p w14:paraId="680538E5" w14:textId="1EA9F9E1" w:rsidR="00BE0723" w:rsidRDefault="009E0AC6" w:rsidP="00DC2BF3">
      <w:pPr>
        <w:pStyle w:val="BodyText"/>
        <w:spacing w:after="0" w:line="240" w:lineRule="atLeast"/>
        <w:ind w:left="567"/>
        <w:rPr>
          <w:iCs/>
          <w:szCs w:val="22"/>
        </w:rPr>
      </w:pPr>
      <w:r w:rsidRPr="009E0AC6">
        <w:rPr>
          <w:iCs/>
          <w:szCs w:val="22"/>
        </w:rPr>
        <w:t xml:space="preserve">Requirement </w:t>
      </w:r>
      <w:r>
        <w:rPr>
          <w:iCs/>
          <w:szCs w:val="22"/>
        </w:rPr>
        <w:t>24</w:t>
      </w:r>
      <w:r w:rsidRPr="009E0AC6">
        <w:rPr>
          <w:iCs/>
          <w:szCs w:val="22"/>
        </w:rPr>
        <w:t xml:space="preserve"> </w:t>
      </w:r>
      <w:r w:rsidR="00682848">
        <w:rPr>
          <w:iCs/>
          <w:szCs w:val="22"/>
        </w:rPr>
        <w:t xml:space="preserve">is </w:t>
      </w:r>
      <w:r w:rsidRPr="009E0AC6">
        <w:rPr>
          <w:iCs/>
          <w:szCs w:val="22"/>
        </w:rPr>
        <w:t>reproduced here for convenience</w:t>
      </w:r>
      <w:r w:rsidR="003F312F">
        <w:rPr>
          <w:iCs/>
          <w:szCs w:val="22"/>
        </w:rPr>
        <w:t>:</w:t>
      </w:r>
    </w:p>
    <w:p w14:paraId="2AF35590" w14:textId="0A05F69C" w:rsidR="0018407D" w:rsidRPr="003F312F" w:rsidRDefault="004C5B29" w:rsidP="00DC2BF3">
      <w:pPr>
        <w:pStyle w:val="BodyText"/>
        <w:spacing w:before="120" w:after="120" w:line="240" w:lineRule="atLeast"/>
        <w:ind w:left="567"/>
        <w:rPr>
          <w:b/>
          <w:iCs/>
          <w:szCs w:val="22"/>
        </w:rPr>
      </w:pPr>
      <w:r>
        <w:rPr>
          <w:iCs/>
          <w:szCs w:val="22"/>
        </w:rPr>
        <w:t>“</w:t>
      </w:r>
      <w:r w:rsidR="008A1E09" w:rsidRPr="003F312F">
        <w:rPr>
          <w:b/>
          <w:iCs/>
          <w:szCs w:val="22"/>
        </w:rPr>
        <w:t>Regiremen</w:t>
      </w:r>
      <w:r w:rsidR="00A65D1D" w:rsidRPr="003F312F">
        <w:rPr>
          <w:b/>
          <w:iCs/>
          <w:szCs w:val="22"/>
        </w:rPr>
        <w:t>t</w:t>
      </w:r>
      <w:r w:rsidR="0018407D" w:rsidRPr="003F312F">
        <w:rPr>
          <w:b/>
          <w:iCs/>
          <w:szCs w:val="22"/>
        </w:rPr>
        <w:t>24: Evaluation</w:t>
      </w:r>
      <w:r w:rsidR="00A65D1D" w:rsidRPr="003F312F">
        <w:rPr>
          <w:b/>
          <w:iCs/>
          <w:szCs w:val="22"/>
        </w:rPr>
        <w:t xml:space="preserve"> of hazards associated with human induced events</w:t>
      </w:r>
    </w:p>
    <w:p w14:paraId="1ADAF20E" w14:textId="79E4005B" w:rsidR="004C5B29" w:rsidRPr="003F312F" w:rsidRDefault="00D612A6" w:rsidP="00DC2BF3">
      <w:pPr>
        <w:pStyle w:val="BodyText"/>
        <w:spacing w:after="0" w:line="240" w:lineRule="atLeast"/>
        <w:ind w:left="567"/>
        <w:rPr>
          <w:b/>
          <w:iCs/>
          <w:szCs w:val="22"/>
        </w:rPr>
      </w:pPr>
      <w:r w:rsidRPr="003F312F">
        <w:rPr>
          <w:b/>
          <w:iCs/>
          <w:szCs w:val="22"/>
        </w:rPr>
        <w:t xml:space="preserve">The hazards associated with human induced events on the site or in the region shall be </w:t>
      </w:r>
      <w:r w:rsidR="005B0945" w:rsidRPr="003F312F">
        <w:rPr>
          <w:b/>
          <w:iCs/>
          <w:szCs w:val="22"/>
        </w:rPr>
        <w:t>evaluated</w:t>
      </w:r>
      <w:r w:rsidRPr="003F312F">
        <w:rPr>
          <w:b/>
          <w:iCs/>
          <w:szCs w:val="22"/>
        </w:rPr>
        <w:t>.</w:t>
      </w:r>
      <w:r w:rsidR="00682848">
        <w:rPr>
          <w:b/>
          <w:iCs/>
          <w:szCs w:val="22"/>
        </w:rPr>
        <w:t>"</w:t>
      </w:r>
    </w:p>
    <w:p w14:paraId="48377ED4" w14:textId="76DE582D" w:rsidR="00A52476" w:rsidRDefault="00E96E3F" w:rsidP="00A86F15">
      <w:pPr>
        <w:pStyle w:val="BodyText"/>
        <w:rPr>
          <w:iCs/>
          <w:szCs w:val="22"/>
        </w:rPr>
      </w:pPr>
      <w:bookmarkStart w:id="1" w:name="_Toc475001839"/>
      <w:bookmarkEnd w:id="1"/>
      <w:r w:rsidRPr="00E96E3F">
        <w:rPr>
          <w:iCs/>
          <w:szCs w:val="22"/>
        </w:rPr>
        <w:t xml:space="preserve">The current safety guide NS-G-3.1 concerning external human induced events covers nuclear power plants only, and a guide for other nuclear installations is missing. While revising this guide, expanding </w:t>
      </w:r>
      <w:r w:rsidRPr="00E96E3F">
        <w:rPr>
          <w:iCs/>
          <w:szCs w:val="22"/>
        </w:rPr>
        <w:lastRenderedPageBreak/>
        <w:t xml:space="preserve">the scope in this way is </w:t>
      </w:r>
      <w:r w:rsidR="00DE54D1" w:rsidRPr="00E96E3F">
        <w:rPr>
          <w:iCs/>
          <w:szCs w:val="22"/>
        </w:rPr>
        <w:t>more efficient and friendlier</w:t>
      </w:r>
      <w:r w:rsidRPr="00E96E3F">
        <w:rPr>
          <w:iCs/>
          <w:szCs w:val="22"/>
        </w:rPr>
        <w:t xml:space="preserve"> to users than developing separate safety guides for nuclear installations other than nuclear power plants. Covering all nuclear installations in the new series of site evaluation guides is the approach taken by other related safety guides, notably SSG-9, SSG-18 and SSG-21</w:t>
      </w:r>
      <w:r w:rsidR="001C42EE">
        <w:rPr>
          <w:iCs/>
          <w:szCs w:val="22"/>
        </w:rPr>
        <w:t xml:space="preserve"> (</w:t>
      </w:r>
      <w:r w:rsidR="001C42EE" w:rsidRPr="000C112B">
        <w:t>see</w:t>
      </w:r>
      <w:r w:rsidR="000C112B" w:rsidRPr="000C112B">
        <w:rPr>
          <w:iCs/>
          <w:szCs w:val="22"/>
        </w:rPr>
        <w:t xml:space="preserve"> section 6 for the titles of </w:t>
      </w:r>
      <w:r w:rsidR="009B30F2">
        <w:rPr>
          <w:iCs/>
          <w:szCs w:val="22"/>
        </w:rPr>
        <w:t>safety guides)</w:t>
      </w:r>
      <w:r w:rsidR="000C112B" w:rsidRPr="000C112B">
        <w:rPr>
          <w:iCs/>
          <w:szCs w:val="22"/>
        </w:rPr>
        <w:t>.</w:t>
      </w:r>
    </w:p>
    <w:p w14:paraId="733F90AC" w14:textId="77777777" w:rsidR="00C629FE" w:rsidRPr="00C629FE" w:rsidRDefault="00C629FE" w:rsidP="00C629FE">
      <w:pPr>
        <w:pStyle w:val="BodyText"/>
        <w:rPr>
          <w:iCs/>
          <w:szCs w:val="22"/>
        </w:rPr>
      </w:pPr>
      <w:r w:rsidRPr="00C629FE">
        <w:rPr>
          <w:iCs/>
          <w:szCs w:val="22"/>
        </w:rPr>
        <w:t>The current safety guide NS-G-3.1 issued in 2002 needs an update addressing the following issues:</w:t>
      </w:r>
    </w:p>
    <w:p w14:paraId="1255D206" w14:textId="05719C9B" w:rsidR="00554E03" w:rsidRDefault="00852372" w:rsidP="00C629FE">
      <w:pPr>
        <w:pStyle w:val="BodyText"/>
        <w:numPr>
          <w:ilvl w:val="0"/>
          <w:numId w:val="23"/>
        </w:numPr>
        <w:rPr>
          <w:iCs/>
          <w:szCs w:val="22"/>
        </w:rPr>
      </w:pPr>
      <w:r w:rsidRPr="00852372">
        <w:rPr>
          <w:iCs/>
          <w:szCs w:val="22"/>
        </w:rPr>
        <w:t>Major changes to other documents in the hierarchy (</w:t>
      </w:r>
      <w:r w:rsidR="007D184A">
        <w:rPr>
          <w:iCs/>
          <w:szCs w:val="22"/>
        </w:rPr>
        <w:t xml:space="preserve">e.g. </w:t>
      </w:r>
      <w:r>
        <w:rPr>
          <w:iCs/>
          <w:szCs w:val="22"/>
        </w:rPr>
        <w:t>SS</w:t>
      </w:r>
      <w:r w:rsidR="007D184A">
        <w:rPr>
          <w:iCs/>
          <w:szCs w:val="22"/>
        </w:rPr>
        <w:t>R</w:t>
      </w:r>
      <w:r>
        <w:rPr>
          <w:iCs/>
          <w:szCs w:val="22"/>
        </w:rPr>
        <w:t>-1</w:t>
      </w:r>
      <w:r w:rsidRPr="00852372">
        <w:rPr>
          <w:iCs/>
          <w:szCs w:val="22"/>
        </w:rPr>
        <w:t>) need to be reflected in NS-G-3.1.</w:t>
      </w:r>
    </w:p>
    <w:p w14:paraId="618F08D7" w14:textId="46F88082" w:rsidR="00554E03" w:rsidRDefault="00B46CCF" w:rsidP="00C629FE">
      <w:pPr>
        <w:pStyle w:val="BodyText"/>
        <w:numPr>
          <w:ilvl w:val="0"/>
          <w:numId w:val="23"/>
        </w:numPr>
        <w:rPr>
          <w:iCs/>
          <w:szCs w:val="22"/>
        </w:rPr>
      </w:pPr>
      <w:r w:rsidRPr="00B46CCF">
        <w:rPr>
          <w:iCs/>
          <w:szCs w:val="22"/>
        </w:rPr>
        <w:t>The gap between current practice in IAEA member states and certain aspects of the guidance set out in the existing publication needs to be addressed.</w:t>
      </w:r>
      <w:r w:rsidR="00677AB1">
        <w:rPr>
          <w:iCs/>
          <w:szCs w:val="22"/>
        </w:rPr>
        <w:t xml:space="preserve"> </w:t>
      </w:r>
    </w:p>
    <w:p w14:paraId="39655943" w14:textId="139AF231" w:rsidR="00C629FE" w:rsidRDefault="00677AB1" w:rsidP="00C629FE">
      <w:pPr>
        <w:pStyle w:val="BodyText"/>
        <w:numPr>
          <w:ilvl w:val="0"/>
          <w:numId w:val="23"/>
        </w:numPr>
        <w:rPr>
          <w:iCs/>
          <w:szCs w:val="22"/>
        </w:rPr>
      </w:pPr>
      <w:r w:rsidRPr="00677AB1">
        <w:rPr>
          <w:iCs/>
          <w:szCs w:val="22"/>
        </w:rPr>
        <w:t>Advances in technology and evolution of the techniques for the assessment of external human-induced hazards.</w:t>
      </w:r>
    </w:p>
    <w:p w14:paraId="3ABB4DEB" w14:textId="77777777" w:rsidR="00C629FE" w:rsidRPr="00C629FE" w:rsidRDefault="00C629FE" w:rsidP="00C629FE">
      <w:pPr>
        <w:pStyle w:val="BodyText"/>
        <w:rPr>
          <w:iCs/>
          <w:szCs w:val="22"/>
        </w:rPr>
      </w:pPr>
      <w:r w:rsidRPr="00C629FE">
        <w:rPr>
          <w:iCs/>
          <w:szCs w:val="22"/>
        </w:rPr>
        <w:t>Furthermore, the terminology used needs to be revised and made consistent with the new definitions in the safety requirements and the safety glossary (2016 edition).</w:t>
      </w:r>
    </w:p>
    <w:p w14:paraId="0FFD4343" w14:textId="1001B543" w:rsidR="001B6CF9" w:rsidRDefault="00C629FE" w:rsidP="00C629FE">
      <w:pPr>
        <w:pStyle w:val="BodyText"/>
        <w:rPr>
          <w:iCs/>
          <w:szCs w:val="22"/>
        </w:rPr>
      </w:pPr>
      <w:r w:rsidRPr="00C629FE">
        <w:rPr>
          <w:iCs/>
          <w:szCs w:val="22"/>
        </w:rPr>
        <w:t xml:space="preserve">The revision will take into consideration feedback from </w:t>
      </w:r>
      <w:r w:rsidR="00060546">
        <w:rPr>
          <w:iCs/>
          <w:szCs w:val="22"/>
        </w:rPr>
        <w:t xml:space="preserve">the IAEA </w:t>
      </w:r>
      <w:r w:rsidRPr="00C629FE">
        <w:rPr>
          <w:iCs/>
          <w:szCs w:val="22"/>
        </w:rPr>
        <w:t>technical safety review services</w:t>
      </w:r>
      <w:r w:rsidR="000C00EA">
        <w:rPr>
          <w:iCs/>
          <w:szCs w:val="22"/>
        </w:rPr>
        <w:t xml:space="preserve"> </w:t>
      </w:r>
      <w:r w:rsidR="001C42EE">
        <w:rPr>
          <w:iCs/>
          <w:szCs w:val="22"/>
        </w:rPr>
        <w:t xml:space="preserve">and </w:t>
      </w:r>
      <w:r w:rsidR="001C42EE" w:rsidRPr="00C629FE">
        <w:rPr>
          <w:iCs/>
          <w:szCs w:val="22"/>
        </w:rPr>
        <w:t>advisory</w:t>
      </w:r>
      <w:r w:rsidRPr="00C629FE">
        <w:rPr>
          <w:iCs/>
          <w:szCs w:val="22"/>
        </w:rPr>
        <w:t xml:space="preserve"> services</w:t>
      </w:r>
      <w:r w:rsidR="00083B9A">
        <w:rPr>
          <w:iCs/>
          <w:szCs w:val="22"/>
        </w:rPr>
        <w:t xml:space="preserve">. </w:t>
      </w:r>
      <w:r w:rsidR="003B5B9A">
        <w:rPr>
          <w:iCs/>
          <w:szCs w:val="22"/>
        </w:rPr>
        <w:t>M</w:t>
      </w:r>
      <w:r w:rsidR="003B5B9A" w:rsidRPr="00C629FE">
        <w:rPr>
          <w:iCs/>
          <w:szCs w:val="22"/>
        </w:rPr>
        <w:t>ethodologies</w:t>
      </w:r>
      <w:r w:rsidR="003B5B9A">
        <w:rPr>
          <w:iCs/>
          <w:szCs w:val="22"/>
        </w:rPr>
        <w:t xml:space="preserve"> and p</w:t>
      </w:r>
      <w:r w:rsidR="00990F23" w:rsidRPr="00C629FE">
        <w:rPr>
          <w:iCs/>
          <w:szCs w:val="22"/>
        </w:rPr>
        <w:t xml:space="preserve">ractices </w:t>
      </w:r>
      <w:r w:rsidR="00736810">
        <w:rPr>
          <w:iCs/>
          <w:szCs w:val="22"/>
        </w:rPr>
        <w:t xml:space="preserve">on </w:t>
      </w:r>
      <w:r w:rsidR="00736810" w:rsidRPr="00C629FE">
        <w:rPr>
          <w:iCs/>
          <w:szCs w:val="22"/>
        </w:rPr>
        <w:t>evaluation</w:t>
      </w:r>
      <w:r w:rsidR="00736810">
        <w:rPr>
          <w:iCs/>
          <w:szCs w:val="22"/>
        </w:rPr>
        <w:t xml:space="preserve"> of the </w:t>
      </w:r>
      <w:r w:rsidR="00990F23" w:rsidRPr="00C629FE">
        <w:rPr>
          <w:iCs/>
          <w:szCs w:val="22"/>
        </w:rPr>
        <w:t xml:space="preserve">external human-induced hazards in </w:t>
      </w:r>
      <w:r w:rsidR="007E2219">
        <w:rPr>
          <w:iCs/>
          <w:szCs w:val="22"/>
        </w:rPr>
        <w:t xml:space="preserve">nuclear installation site </w:t>
      </w:r>
      <w:r w:rsidRPr="00C629FE">
        <w:rPr>
          <w:iCs/>
          <w:szCs w:val="22"/>
        </w:rPr>
        <w:t xml:space="preserve">shared during </w:t>
      </w:r>
      <w:r w:rsidR="00870385">
        <w:rPr>
          <w:iCs/>
          <w:szCs w:val="22"/>
        </w:rPr>
        <w:t xml:space="preserve">the </w:t>
      </w:r>
      <w:r w:rsidRPr="00C629FE">
        <w:rPr>
          <w:iCs/>
          <w:szCs w:val="22"/>
        </w:rPr>
        <w:t>technical meeting in April 2019</w:t>
      </w:r>
      <w:r w:rsidR="00535D78">
        <w:rPr>
          <w:iCs/>
          <w:szCs w:val="22"/>
        </w:rPr>
        <w:t xml:space="preserve"> will also be taken into </w:t>
      </w:r>
      <w:r w:rsidR="003B5B9A">
        <w:rPr>
          <w:iCs/>
          <w:szCs w:val="22"/>
        </w:rPr>
        <w:t>consideration</w:t>
      </w:r>
      <w:r w:rsidR="000C00EA">
        <w:rPr>
          <w:iCs/>
          <w:szCs w:val="22"/>
        </w:rPr>
        <w:t>.</w:t>
      </w:r>
      <w:r w:rsidRPr="00C629FE">
        <w:rPr>
          <w:iCs/>
          <w:szCs w:val="22"/>
        </w:rPr>
        <w:t xml:space="preserve"> </w:t>
      </w:r>
    </w:p>
    <w:p w14:paraId="0895AE23" w14:textId="0BEA1E11" w:rsidR="00FA319C" w:rsidRDefault="00A17C97" w:rsidP="00C33763">
      <w:pPr>
        <w:pStyle w:val="BodyText"/>
        <w:numPr>
          <w:ilvl w:val="0"/>
          <w:numId w:val="19"/>
        </w:numPr>
        <w:spacing w:before="240"/>
        <w:ind w:left="357" w:hanging="357"/>
        <w:rPr>
          <w:b/>
          <w:bCs/>
        </w:rPr>
      </w:pPr>
      <w:r w:rsidRPr="00467564">
        <w:rPr>
          <w:b/>
          <w:bCs/>
        </w:rPr>
        <w:t>OBJECTIVE</w:t>
      </w:r>
      <w:r w:rsidR="00E0263C" w:rsidRPr="00467564">
        <w:rPr>
          <w:b/>
          <w:bCs/>
        </w:rPr>
        <w:t xml:space="preserve"> </w:t>
      </w:r>
    </w:p>
    <w:p w14:paraId="1464380C" w14:textId="30F0BB0D" w:rsidR="00A17C97" w:rsidRPr="00467564" w:rsidRDefault="008C5149" w:rsidP="00212133">
      <w:pPr>
        <w:pStyle w:val="BodyText"/>
        <w:rPr>
          <w:iCs/>
          <w:szCs w:val="22"/>
        </w:rPr>
      </w:pPr>
      <w:r w:rsidRPr="008C5149">
        <w:rPr>
          <w:iCs/>
          <w:szCs w:val="22"/>
        </w:rPr>
        <w:t xml:space="preserve">The main objective of the </w:t>
      </w:r>
      <w:r w:rsidR="00364749">
        <w:rPr>
          <w:iCs/>
          <w:szCs w:val="22"/>
        </w:rPr>
        <w:t xml:space="preserve">revision of the </w:t>
      </w:r>
      <w:r w:rsidRPr="008C5149">
        <w:rPr>
          <w:iCs/>
          <w:szCs w:val="22"/>
        </w:rPr>
        <w:t>safety guide is to provide recommendations and guidance on how to meet the applicable requirements</w:t>
      </w:r>
      <w:r w:rsidR="00F46EEE">
        <w:rPr>
          <w:iCs/>
          <w:szCs w:val="22"/>
        </w:rPr>
        <w:t xml:space="preserve"> in SSR-1, SSR-3 and SSR-4</w:t>
      </w:r>
      <w:r w:rsidR="00F46EEE" w:rsidRPr="008C5149">
        <w:rPr>
          <w:iCs/>
          <w:szCs w:val="22"/>
        </w:rPr>
        <w:t xml:space="preserve">. </w:t>
      </w:r>
      <w:r w:rsidR="00224D9B">
        <w:rPr>
          <w:iCs/>
          <w:szCs w:val="22"/>
        </w:rPr>
        <w:t xml:space="preserve">on </w:t>
      </w:r>
      <w:r w:rsidR="00F7104B">
        <w:rPr>
          <w:iCs/>
          <w:szCs w:val="22"/>
        </w:rPr>
        <w:t xml:space="preserve">evaluation of </w:t>
      </w:r>
      <w:r w:rsidRPr="008C5149">
        <w:rPr>
          <w:iCs/>
          <w:szCs w:val="22"/>
        </w:rPr>
        <w:t xml:space="preserve">external human induced hazards </w:t>
      </w:r>
      <w:r w:rsidR="001C42EE" w:rsidRPr="008C5149">
        <w:rPr>
          <w:iCs/>
          <w:szCs w:val="22"/>
        </w:rPr>
        <w:t>for nuclear</w:t>
      </w:r>
      <w:r w:rsidRPr="008C5149">
        <w:rPr>
          <w:iCs/>
          <w:szCs w:val="22"/>
        </w:rPr>
        <w:t xml:space="preserve"> installation</w:t>
      </w:r>
      <w:r w:rsidR="00F7104B">
        <w:rPr>
          <w:iCs/>
          <w:szCs w:val="22"/>
        </w:rPr>
        <w:t xml:space="preserve"> </w:t>
      </w:r>
      <w:r w:rsidRPr="008C5149">
        <w:rPr>
          <w:iCs/>
          <w:szCs w:val="22"/>
        </w:rPr>
        <w:t>s</w:t>
      </w:r>
      <w:r w:rsidR="00F7104B">
        <w:rPr>
          <w:iCs/>
          <w:szCs w:val="22"/>
        </w:rPr>
        <w:t>ite</w:t>
      </w:r>
      <w:r w:rsidR="000C00EA">
        <w:rPr>
          <w:iCs/>
          <w:szCs w:val="22"/>
        </w:rPr>
        <w:t>.</w:t>
      </w:r>
      <w:r w:rsidR="00F7104B">
        <w:rPr>
          <w:iCs/>
          <w:szCs w:val="22"/>
        </w:rPr>
        <w:t xml:space="preserve"> </w:t>
      </w:r>
      <w:r w:rsidRPr="008C5149">
        <w:rPr>
          <w:iCs/>
          <w:szCs w:val="22"/>
        </w:rPr>
        <w:t>The second objective is to align the guidance to the current international state of practice consistent with the safety requirements in IAEA Member States.</w:t>
      </w:r>
      <w:r w:rsidR="00116CCB">
        <w:rPr>
          <w:iCs/>
          <w:szCs w:val="22"/>
        </w:rPr>
        <w:t xml:space="preserve"> </w:t>
      </w:r>
      <w:r w:rsidR="00116CCB" w:rsidRPr="00116CCB">
        <w:rPr>
          <w:iCs/>
          <w:szCs w:val="22"/>
        </w:rPr>
        <w:t xml:space="preserve">Another objective of the </w:t>
      </w:r>
      <w:r w:rsidR="000C00EA">
        <w:rPr>
          <w:iCs/>
          <w:szCs w:val="22"/>
        </w:rPr>
        <w:t xml:space="preserve">revision of the </w:t>
      </w:r>
      <w:r w:rsidR="00116CCB" w:rsidRPr="00116CCB">
        <w:rPr>
          <w:iCs/>
          <w:szCs w:val="22"/>
        </w:rPr>
        <w:t>safety guide is to clarify the technical terms used</w:t>
      </w:r>
      <w:r w:rsidR="00116CCB">
        <w:rPr>
          <w:iCs/>
          <w:szCs w:val="22"/>
        </w:rPr>
        <w:t>.</w:t>
      </w:r>
    </w:p>
    <w:p w14:paraId="306EC59A" w14:textId="77777777" w:rsidR="00FA319C" w:rsidRDefault="00C710DB" w:rsidP="00C33763">
      <w:pPr>
        <w:pStyle w:val="BodyText"/>
        <w:numPr>
          <w:ilvl w:val="0"/>
          <w:numId w:val="19"/>
        </w:numPr>
        <w:spacing w:before="240"/>
        <w:ind w:left="357" w:hanging="357"/>
        <w:rPr>
          <w:b/>
          <w:bCs/>
        </w:rPr>
      </w:pPr>
      <w:r w:rsidRPr="00467564">
        <w:rPr>
          <w:b/>
          <w:bCs/>
        </w:rPr>
        <w:t xml:space="preserve">SCOPE </w:t>
      </w:r>
    </w:p>
    <w:p w14:paraId="31120717" w14:textId="583415EC" w:rsidR="008C5149" w:rsidRDefault="008C5149" w:rsidP="008C5149">
      <w:pPr>
        <w:pStyle w:val="Default"/>
        <w:spacing w:before="120" w:after="120"/>
        <w:jc w:val="both"/>
        <w:rPr>
          <w:sz w:val="22"/>
          <w:szCs w:val="22"/>
        </w:rPr>
      </w:pPr>
      <w:r>
        <w:rPr>
          <w:sz w:val="22"/>
          <w:szCs w:val="22"/>
        </w:rPr>
        <w:t xml:space="preserve">The scope of the facilities covered by the proposed guide will be expanded from </w:t>
      </w:r>
      <w:r w:rsidR="008F39F4">
        <w:rPr>
          <w:sz w:val="22"/>
          <w:szCs w:val="22"/>
        </w:rPr>
        <w:t>NPPs</w:t>
      </w:r>
      <w:r>
        <w:rPr>
          <w:sz w:val="22"/>
          <w:szCs w:val="22"/>
        </w:rPr>
        <w:t xml:space="preserve"> to all nuclear installations in the revision. </w:t>
      </w:r>
    </w:p>
    <w:p w14:paraId="1BA6CC68" w14:textId="77777777" w:rsidR="008C5149" w:rsidRDefault="008C5149" w:rsidP="008C5149">
      <w:pPr>
        <w:pStyle w:val="Default"/>
        <w:spacing w:before="120" w:after="120"/>
        <w:jc w:val="both"/>
        <w:rPr>
          <w:sz w:val="22"/>
          <w:szCs w:val="22"/>
        </w:rPr>
      </w:pPr>
      <w:r>
        <w:rPr>
          <w:sz w:val="22"/>
          <w:szCs w:val="22"/>
        </w:rPr>
        <w:t xml:space="preserve">The scope of the hazards to be covered by the proposed guide will be kept the same as in the existing safety guide, unless there is a strong need expressed by IAEA Member States for adding a new human-induced hazard. At the time of writing this preparation profile, the secretariat identifies no need for additional human-induced phenomena to be included in the revised safety guide to the existing list of hazards (listed as in the Annex). </w:t>
      </w:r>
    </w:p>
    <w:p w14:paraId="62E5CD4F" w14:textId="0DF5A153" w:rsidR="008C5149" w:rsidRDefault="008C5149">
      <w:pPr>
        <w:pStyle w:val="BodyText"/>
        <w:spacing w:before="120" w:after="120"/>
        <w:rPr>
          <w:szCs w:val="22"/>
        </w:rPr>
      </w:pPr>
      <w:r>
        <w:rPr>
          <w:szCs w:val="22"/>
        </w:rPr>
        <w:t xml:space="preserve">The process to evaluate hazards consists of: a) identification of sources, b) identification of potential external events </w:t>
      </w:r>
      <w:r w:rsidR="00F631C1">
        <w:rPr>
          <w:szCs w:val="22"/>
        </w:rPr>
        <w:t>arising from these</w:t>
      </w:r>
      <w:r>
        <w:rPr>
          <w:szCs w:val="22"/>
        </w:rPr>
        <w:t xml:space="preserve"> sources, c) screening of the potential external events, d) evaluation of hazards and e) characterization of loading conditions. The proposed guide will cover the process of site evaluation up to this point. The Draft Safety Guide DS498 (revision of NS-G-1.5) will cover the process of design of nuclear installations against external hazards excluding earthquakes, which includes f) design and evaluation of structures, systems and components and g) performance</w:t>
      </w:r>
      <w:r w:rsidR="009229BB">
        <w:rPr>
          <w:szCs w:val="22"/>
        </w:rPr>
        <w:t xml:space="preserve"> and</w:t>
      </w:r>
      <w:r>
        <w:rPr>
          <w:szCs w:val="22"/>
        </w:rPr>
        <w:t xml:space="preserve"> assessment of the nuclear installation.</w:t>
      </w:r>
      <w:r w:rsidR="00F76201" w:rsidRPr="00F76201">
        <w:t xml:space="preserve"> </w:t>
      </w:r>
      <w:r w:rsidR="00F76201" w:rsidRPr="00F76201">
        <w:rPr>
          <w:szCs w:val="22"/>
        </w:rPr>
        <w:t>The scope includes hazards due to interactions of multiple facilities.</w:t>
      </w:r>
      <w:bookmarkStart w:id="2" w:name="_GoBack"/>
      <w:bookmarkEnd w:id="2"/>
    </w:p>
    <w:p w14:paraId="595E13B4" w14:textId="3F40EFF0" w:rsidR="008C5149" w:rsidRPr="009B30F2" w:rsidRDefault="00EA67B6" w:rsidP="009B30F2">
      <w:pPr>
        <w:jc w:val="both"/>
        <w:rPr>
          <w:sz w:val="22"/>
          <w:szCs w:val="22"/>
        </w:rPr>
      </w:pPr>
      <w:r w:rsidRPr="009B30F2">
        <w:rPr>
          <w:sz w:val="22"/>
          <w:szCs w:val="22"/>
        </w:rPr>
        <w:t xml:space="preserve">Evaluation of the effects of </w:t>
      </w:r>
      <w:r w:rsidR="000C00EA" w:rsidRPr="009B30F2">
        <w:rPr>
          <w:sz w:val="22"/>
          <w:szCs w:val="22"/>
        </w:rPr>
        <w:t>willful</w:t>
      </w:r>
      <w:r w:rsidRPr="009B30F2">
        <w:rPr>
          <w:sz w:val="22"/>
          <w:szCs w:val="22"/>
        </w:rPr>
        <w:t xml:space="preserve"> human actions or malicious acts on nuclear installations are not included in the scope of this safety guide. The external human-induced events considered in the proposed </w:t>
      </w:r>
      <w:r w:rsidRPr="009B30F2">
        <w:rPr>
          <w:sz w:val="22"/>
          <w:szCs w:val="22"/>
        </w:rPr>
        <w:lastRenderedPageBreak/>
        <w:t>guide will be of accidental origin. However, the methods to be described in it have some implications to evaluating impacts (for instance, pressure waves, heat, projectiles) of all external human-induced events.</w:t>
      </w:r>
    </w:p>
    <w:p w14:paraId="33F9828C" w14:textId="77777777" w:rsidR="00FA319C" w:rsidRPr="00FA319C" w:rsidRDefault="00481A4D" w:rsidP="00C33763">
      <w:pPr>
        <w:pStyle w:val="BodyText"/>
        <w:numPr>
          <w:ilvl w:val="0"/>
          <w:numId w:val="19"/>
        </w:numPr>
        <w:spacing w:before="240"/>
        <w:ind w:left="357" w:hanging="357"/>
        <w:rPr>
          <w:iCs/>
          <w:szCs w:val="22"/>
        </w:rPr>
      </w:pPr>
      <w:r w:rsidRPr="00467564">
        <w:rPr>
          <w:b/>
          <w:bCs/>
        </w:rPr>
        <w:t>P</w:t>
      </w:r>
      <w:r w:rsidR="008347F7" w:rsidRPr="00467564">
        <w:rPr>
          <w:b/>
          <w:bCs/>
        </w:rPr>
        <w:t>LACE</w:t>
      </w:r>
      <w:r w:rsidRPr="00467564">
        <w:rPr>
          <w:b/>
          <w:bCs/>
        </w:rPr>
        <w:t xml:space="preserve"> IN THE OVERALL STRUCTURE OF </w:t>
      </w:r>
      <w:r w:rsidR="0017772C" w:rsidRPr="00467564">
        <w:rPr>
          <w:b/>
          <w:bCs/>
        </w:rPr>
        <w:t>THE RELEVANT SERIES</w:t>
      </w:r>
      <w:r w:rsidRPr="00467564">
        <w:rPr>
          <w:b/>
          <w:bCs/>
        </w:rPr>
        <w:t xml:space="preserve"> AND </w:t>
      </w:r>
      <w:r w:rsidR="00142442" w:rsidRPr="00467564">
        <w:rPr>
          <w:b/>
          <w:bCs/>
        </w:rPr>
        <w:t>INTERFACES</w:t>
      </w:r>
      <w:r w:rsidRPr="00467564">
        <w:rPr>
          <w:b/>
          <w:bCs/>
        </w:rPr>
        <w:t xml:space="preserve"> WITH EXISTING AND/OR PLANNED </w:t>
      </w:r>
      <w:r w:rsidR="008347F7" w:rsidRPr="00467564">
        <w:rPr>
          <w:b/>
          <w:bCs/>
        </w:rPr>
        <w:t xml:space="preserve">PUBLICATIONS </w:t>
      </w:r>
    </w:p>
    <w:p w14:paraId="58FD6CA1" w14:textId="77777777" w:rsidR="00EA67B6" w:rsidRDefault="00EA67B6" w:rsidP="00EA67B6">
      <w:pPr>
        <w:pStyle w:val="Default"/>
        <w:rPr>
          <w:sz w:val="22"/>
          <w:szCs w:val="22"/>
        </w:rPr>
      </w:pPr>
      <w:r>
        <w:rPr>
          <w:sz w:val="22"/>
          <w:szCs w:val="22"/>
        </w:rPr>
        <w:t xml:space="preserve">The proposed safety guide falls within the thematic area of site evaluation and will interface with the following IAEA Safety Standards and other publications (this is not, and cannot be, regarded as an exclusive or exhaustive list): </w:t>
      </w:r>
    </w:p>
    <w:p w14:paraId="0D3D4205" w14:textId="3941B0EA" w:rsidR="00EA67B6" w:rsidRDefault="00EA67B6" w:rsidP="00EA67B6">
      <w:pPr>
        <w:pStyle w:val="Default"/>
        <w:numPr>
          <w:ilvl w:val="0"/>
          <w:numId w:val="23"/>
        </w:numPr>
        <w:spacing w:after="218"/>
        <w:rPr>
          <w:sz w:val="22"/>
          <w:szCs w:val="22"/>
        </w:rPr>
      </w:pPr>
      <w:r>
        <w:rPr>
          <w:sz w:val="22"/>
          <w:szCs w:val="22"/>
        </w:rPr>
        <w:t>Site Evaluation for Nuclear Installations (</w:t>
      </w:r>
      <w:r w:rsidR="00B92611">
        <w:rPr>
          <w:sz w:val="22"/>
          <w:szCs w:val="22"/>
        </w:rPr>
        <w:t>SSR-1</w:t>
      </w:r>
      <w:r>
        <w:rPr>
          <w:sz w:val="22"/>
          <w:szCs w:val="22"/>
        </w:rPr>
        <w:t xml:space="preserve">) </w:t>
      </w:r>
    </w:p>
    <w:p w14:paraId="021A7204" w14:textId="1EED0A48" w:rsidR="00EA67B6" w:rsidRDefault="00EA67B6" w:rsidP="00EA67B6">
      <w:pPr>
        <w:pStyle w:val="Default"/>
        <w:numPr>
          <w:ilvl w:val="0"/>
          <w:numId w:val="23"/>
        </w:numPr>
        <w:spacing w:after="218"/>
        <w:rPr>
          <w:sz w:val="22"/>
          <w:szCs w:val="22"/>
        </w:rPr>
      </w:pPr>
      <w:r>
        <w:rPr>
          <w:sz w:val="22"/>
          <w:szCs w:val="22"/>
        </w:rPr>
        <w:t xml:space="preserve">Safety of Research Reactors (SSR-3) </w:t>
      </w:r>
    </w:p>
    <w:p w14:paraId="4B94BFC5" w14:textId="06B0204F" w:rsidR="00EA67B6" w:rsidRDefault="00EA67B6" w:rsidP="00EA67B6">
      <w:pPr>
        <w:pStyle w:val="Default"/>
        <w:numPr>
          <w:ilvl w:val="0"/>
          <w:numId w:val="23"/>
        </w:numPr>
        <w:spacing w:after="218"/>
        <w:rPr>
          <w:sz w:val="22"/>
          <w:szCs w:val="22"/>
        </w:rPr>
      </w:pPr>
      <w:r>
        <w:rPr>
          <w:sz w:val="22"/>
          <w:szCs w:val="22"/>
        </w:rPr>
        <w:t xml:space="preserve">Safety of Nuclear Fuel Cycle Facilities (SSR-4) </w:t>
      </w:r>
    </w:p>
    <w:p w14:paraId="248DCAE0" w14:textId="2DD43A5C" w:rsidR="00EA67B6" w:rsidRDefault="00EA67B6" w:rsidP="00EA67B6">
      <w:pPr>
        <w:pStyle w:val="Default"/>
        <w:numPr>
          <w:ilvl w:val="0"/>
          <w:numId w:val="23"/>
        </w:numPr>
        <w:spacing w:after="218"/>
        <w:rPr>
          <w:sz w:val="22"/>
          <w:szCs w:val="22"/>
        </w:rPr>
      </w:pPr>
      <w:r>
        <w:rPr>
          <w:sz w:val="22"/>
          <w:szCs w:val="22"/>
        </w:rPr>
        <w:t xml:space="preserve">Leadership and Management for Safety (GSR Part 2) </w:t>
      </w:r>
    </w:p>
    <w:p w14:paraId="6EACC9D7" w14:textId="41CFB616" w:rsidR="00EA67B6" w:rsidRDefault="00EA67B6" w:rsidP="00EA67B6">
      <w:pPr>
        <w:pStyle w:val="Default"/>
        <w:numPr>
          <w:ilvl w:val="0"/>
          <w:numId w:val="23"/>
        </w:numPr>
        <w:spacing w:after="218"/>
        <w:rPr>
          <w:sz w:val="22"/>
          <w:szCs w:val="22"/>
        </w:rPr>
      </w:pPr>
      <w:r>
        <w:rPr>
          <w:sz w:val="22"/>
          <w:szCs w:val="22"/>
        </w:rPr>
        <w:t xml:space="preserve">Safety Assessment for Facilities and Activities (GSR Part 4 (Rev.1)) </w:t>
      </w:r>
    </w:p>
    <w:p w14:paraId="75C82E78" w14:textId="58893B97" w:rsidR="00EA67B6" w:rsidRPr="00F04672" w:rsidRDefault="00EA67B6" w:rsidP="00EA67B6">
      <w:pPr>
        <w:pStyle w:val="Default"/>
        <w:numPr>
          <w:ilvl w:val="0"/>
          <w:numId w:val="23"/>
        </w:numPr>
        <w:spacing w:after="218"/>
        <w:rPr>
          <w:sz w:val="22"/>
          <w:szCs w:val="22"/>
        </w:rPr>
      </w:pPr>
      <w:r w:rsidRPr="00F04672">
        <w:rPr>
          <w:sz w:val="22"/>
          <w:szCs w:val="22"/>
        </w:rPr>
        <w:t xml:space="preserve">Seismic Hazards in Site Evaluation for Nuclear Installations (DS507, revision of SSG-9) </w:t>
      </w:r>
    </w:p>
    <w:p w14:paraId="1BABAB0E" w14:textId="23BFE247" w:rsidR="00EA67B6" w:rsidRPr="00F04672" w:rsidRDefault="00EA67B6" w:rsidP="00EA67B6">
      <w:pPr>
        <w:pStyle w:val="Default"/>
        <w:numPr>
          <w:ilvl w:val="0"/>
          <w:numId w:val="23"/>
        </w:numPr>
        <w:spacing w:after="218"/>
        <w:rPr>
          <w:sz w:val="22"/>
          <w:szCs w:val="22"/>
        </w:rPr>
      </w:pPr>
      <w:r w:rsidRPr="00F04672">
        <w:rPr>
          <w:sz w:val="22"/>
          <w:szCs w:val="22"/>
        </w:rPr>
        <w:t xml:space="preserve">Meteorological and Hydrological Hazards in Site Evaluation for Nuclear Installations (SSG-18) </w:t>
      </w:r>
    </w:p>
    <w:p w14:paraId="23CDFC7F" w14:textId="13589024" w:rsidR="00EA67B6" w:rsidRPr="00F04672" w:rsidRDefault="00EA67B6" w:rsidP="00EA67B6">
      <w:pPr>
        <w:pStyle w:val="Default"/>
        <w:numPr>
          <w:ilvl w:val="0"/>
          <w:numId w:val="23"/>
        </w:numPr>
        <w:spacing w:after="218"/>
        <w:rPr>
          <w:sz w:val="22"/>
          <w:szCs w:val="22"/>
        </w:rPr>
      </w:pPr>
      <w:r w:rsidRPr="00F04672">
        <w:rPr>
          <w:sz w:val="22"/>
          <w:szCs w:val="22"/>
        </w:rPr>
        <w:t xml:space="preserve">Volcanic Hazards in Site Evaluation for Nuclear Installations (SSG-21) </w:t>
      </w:r>
    </w:p>
    <w:p w14:paraId="305C67C2" w14:textId="479E8075" w:rsidR="00EA67B6" w:rsidRDefault="00EA67B6" w:rsidP="00EA67B6">
      <w:pPr>
        <w:pStyle w:val="Default"/>
        <w:numPr>
          <w:ilvl w:val="0"/>
          <w:numId w:val="23"/>
        </w:numPr>
        <w:spacing w:after="218"/>
        <w:rPr>
          <w:sz w:val="22"/>
          <w:szCs w:val="22"/>
        </w:rPr>
      </w:pPr>
      <w:r>
        <w:rPr>
          <w:sz w:val="22"/>
          <w:szCs w:val="22"/>
        </w:rPr>
        <w:t xml:space="preserve">Design of Instrumentation and Control Systems for Nuclear Power Plants (SSG-39) </w:t>
      </w:r>
    </w:p>
    <w:p w14:paraId="64054C39" w14:textId="26B2D801" w:rsidR="00EA67B6" w:rsidRDefault="00EA67B6" w:rsidP="00EA67B6">
      <w:pPr>
        <w:pStyle w:val="Default"/>
        <w:numPr>
          <w:ilvl w:val="0"/>
          <w:numId w:val="23"/>
        </w:numPr>
        <w:spacing w:after="218"/>
        <w:rPr>
          <w:sz w:val="22"/>
          <w:szCs w:val="22"/>
        </w:rPr>
      </w:pPr>
      <w:r>
        <w:rPr>
          <w:sz w:val="22"/>
          <w:szCs w:val="22"/>
        </w:rPr>
        <w:t xml:space="preserve">Design of Auxiliary Systems and Supporting Systems for Nuclear Power Plants (DS440) </w:t>
      </w:r>
    </w:p>
    <w:p w14:paraId="3A4A233D" w14:textId="36156D7D" w:rsidR="00EA67B6" w:rsidRDefault="00EA67B6" w:rsidP="00EA67B6">
      <w:pPr>
        <w:pStyle w:val="Default"/>
        <w:numPr>
          <w:ilvl w:val="0"/>
          <w:numId w:val="23"/>
        </w:numPr>
        <w:spacing w:after="218"/>
        <w:rPr>
          <w:sz w:val="22"/>
          <w:szCs w:val="22"/>
        </w:rPr>
      </w:pPr>
      <w:r>
        <w:rPr>
          <w:sz w:val="22"/>
          <w:szCs w:val="22"/>
        </w:rPr>
        <w:t xml:space="preserve">Protection against Internal Hazards in the Design of Nuclear Power Plants (DS494, revision and combination of NS-G-1.7 and NS-G-1.11) </w:t>
      </w:r>
    </w:p>
    <w:p w14:paraId="4936B0A7" w14:textId="6F16270E" w:rsidR="00EA67B6" w:rsidRDefault="00EA67B6" w:rsidP="00EA67B6">
      <w:pPr>
        <w:pStyle w:val="Default"/>
        <w:numPr>
          <w:ilvl w:val="0"/>
          <w:numId w:val="23"/>
        </w:numPr>
        <w:spacing w:after="218"/>
        <w:rPr>
          <w:sz w:val="22"/>
          <w:szCs w:val="22"/>
        </w:rPr>
      </w:pPr>
      <w:r>
        <w:rPr>
          <w:sz w:val="22"/>
          <w:szCs w:val="22"/>
        </w:rPr>
        <w:t xml:space="preserve">External Events Excluding Earthquakes in the Design of Nuclear Installations (DS498, revision of NS-G-1.5) </w:t>
      </w:r>
    </w:p>
    <w:p w14:paraId="5223DA2C" w14:textId="3FE52B56" w:rsidR="00EA67B6" w:rsidRDefault="00EA67B6" w:rsidP="00EA67B6">
      <w:pPr>
        <w:pStyle w:val="Default"/>
        <w:numPr>
          <w:ilvl w:val="0"/>
          <w:numId w:val="23"/>
        </w:numPr>
        <w:spacing w:after="218"/>
        <w:rPr>
          <w:sz w:val="22"/>
          <w:szCs w:val="22"/>
        </w:rPr>
      </w:pPr>
      <w:r>
        <w:rPr>
          <w:sz w:val="22"/>
          <w:szCs w:val="22"/>
        </w:rPr>
        <w:t xml:space="preserve">Protection against Internal and External Hazards in the Operation of Nuclear Power Plants (DS503, revision of NS-G-2.1) </w:t>
      </w:r>
    </w:p>
    <w:p w14:paraId="4475AC37" w14:textId="55BC67C5" w:rsidR="00EA67B6" w:rsidRDefault="00EA67B6" w:rsidP="00EA67B6">
      <w:pPr>
        <w:pStyle w:val="Default"/>
        <w:numPr>
          <w:ilvl w:val="0"/>
          <w:numId w:val="23"/>
        </w:numPr>
        <w:spacing w:after="218"/>
        <w:rPr>
          <w:sz w:val="22"/>
          <w:szCs w:val="22"/>
        </w:rPr>
      </w:pPr>
      <w:r>
        <w:rPr>
          <w:sz w:val="22"/>
          <w:szCs w:val="22"/>
        </w:rPr>
        <w:t xml:space="preserve">Safety Aspects of Nuclear Power Plants in Human Induced External Events: General Considerations (Safety Reports Series No. 86) </w:t>
      </w:r>
    </w:p>
    <w:p w14:paraId="715C98D6" w14:textId="37E5CF20" w:rsidR="00EA67B6" w:rsidRDefault="00EA67B6" w:rsidP="00EA67B6">
      <w:pPr>
        <w:pStyle w:val="Default"/>
        <w:numPr>
          <w:ilvl w:val="0"/>
          <w:numId w:val="23"/>
        </w:numPr>
        <w:spacing w:after="218"/>
        <w:rPr>
          <w:sz w:val="22"/>
          <w:szCs w:val="22"/>
        </w:rPr>
      </w:pPr>
      <w:r>
        <w:rPr>
          <w:sz w:val="22"/>
          <w:szCs w:val="22"/>
        </w:rPr>
        <w:t xml:space="preserve">Safety Aspects of Nuclear Power Plants in Human Induced External Events: Assessment of Structures (Safety Reports Series No. 87) </w:t>
      </w:r>
    </w:p>
    <w:p w14:paraId="0860484D" w14:textId="0647E14F" w:rsidR="00EA67B6" w:rsidRDefault="00EA67B6" w:rsidP="00EA67B6">
      <w:pPr>
        <w:pStyle w:val="Default"/>
        <w:numPr>
          <w:ilvl w:val="0"/>
          <w:numId w:val="23"/>
        </w:numPr>
        <w:rPr>
          <w:sz w:val="22"/>
          <w:szCs w:val="22"/>
        </w:rPr>
      </w:pPr>
      <w:r>
        <w:rPr>
          <w:sz w:val="22"/>
          <w:szCs w:val="22"/>
        </w:rPr>
        <w:t xml:space="preserve">Safety Aspects of Nuclear Power Plants in Human Induced External Events: Margin Assessment (Safety Reports Series No. 88) </w:t>
      </w:r>
    </w:p>
    <w:p w14:paraId="63C4FB8B" w14:textId="1012B19A" w:rsidR="00FA319C" w:rsidRDefault="008347F7" w:rsidP="00C33763">
      <w:pPr>
        <w:pStyle w:val="BodyText"/>
        <w:numPr>
          <w:ilvl w:val="0"/>
          <w:numId w:val="19"/>
        </w:numPr>
        <w:spacing w:before="240"/>
        <w:ind w:left="357" w:hanging="357"/>
        <w:rPr>
          <w:b/>
          <w:bCs/>
        </w:rPr>
      </w:pPr>
      <w:r w:rsidRPr="00467564">
        <w:rPr>
          <w:b/>
          <w:bCs/>
        </w:rPr>
        <w:t xml:space="preserve">OVERVIEW </w:t>
      </w:r>
    </w:p>
    <w:p w14:paraId="6D11B075" w14:textId="77777777" w:rsidR="00912BF3" w:rsidRDefault="00912BF3" w:rsidP="00E2423F">
      <w:pPr>
        <w:pStyle w:val="Default"/>
        <w:spacing w:before="120" w:after="120"/>
        <w:jc w:val="both"/>
        <w:rPr>
          <w:sz w:val="22"/>
          <w:szCs w:val="22"/>
        </w:rPr>
      </w:pPr>
      <w:r>
        <w:rPr>
          <w:sz w:val="22"/>
          <w:szCs w:val="22"/>
        </w:rPr>
        <w:t xml:space="preserve">The proposed safety guide will have a structure consisting of general recommendations, recommendations specific to hazards, recommendations for a graded approach and for the application of the management system. </w:t>
      </w:r>
    </w:p>
    <w:p w14:paraId="51540CBF" w14:textId="77777777" w:rsidR="00E2423F" w:rsidRDefault="00E2423F" w:rsidP="00E2423F">
      <w:pPr>
        <w:pStyle w:val="Default"/>
        <w:spacing w:before="120" w:after="120"/>
        <w:jc w:val="both"/>
        <w:rPr>
          <w:sz w:val="22"/>
          <w:szCs w:val="22"/>
        </w:rPr>
      </w:pPr>
      <w:r>
        <w:rPr>
          <w:sz w:val="22"/>
          <w:szCs w:val="22"/>
        </w:rPr>
        <w:lastRenderedPageBreak/>
        <w:t xml:space="preserve">As for general aspects, the proposed safety guide will address or consider the following: </w:t>
      </w:r>
    </w:p>
    <w:p w14:paraId="2079D261" w14:textId="282CDBF9" w:rsidR="00E2423F" w:rsidRDefault="00E2423F" w:rsidP="009F0781">
      <w:pPr>
        <w:pStyle w:val="Default"/>
        <w:numPr>
          <w:ilvl w:val="0"/>
          <w:numId w:val="23"/>
        </w:numPr>
        <w:spacing w:after="218"/>
        <w:rPr>
          <w:sz w:val="22"/>
          <w:szCs w:val="22"/>
        </w:rPr>
      </w:pPr>
      <w:r>
        <w:rPr>
          <w:sz w:val="22"/>
          <w:szCs w:val="22"/>
        </w:rPr>
        <w:t xml:space="preserve">The existing recommendations of NS-G-3.1 will be revised to ensure consistency with the future Safety Requirements on Site Evaluation for Nuclear Installations, SSR-1; </w:t>
      </w:r>
    </w:p>
    <w:p w14:paraId="7C88A8A7" w14:textId="0F0CB883" w:rsidR="00E2423F" w:rsidRDefault="00E2423F" w:rsidP="009F0781">
      <w:pPr>
        <w:pStyle w:val="Default"/>
        <w:numPr>
          <w:ilvl w:val="0"/>
          <w:numId w:val="23"/>
        </w:numPr>
        <w:rPr>
          <w:sz w:val="22"/>
          <w:szCs w:val="22"/>
        </w:rPr>
      </w:pPr>
      <w:r>
        <w:rPr>
          <w:sz w:val="22"/>
          <w:szCs w:val="22"/>
        </w:rPr>
        <w:t xml:space="preserve">Application of the management system in site evaluation. </w:t>
      </w:r>
    </w:p>
    <w:p w14:paraId="21BB1192" w14:textId="77777777" w:rsidR="00E2423F" w:rsidRDefault="00E2423F" w:rsidP="009F0781">
      <w:pPr>
        <w:pStyle w:val="Default"/>
        <w:rPr>
          <w:sz w:val="22"/>
          <w:szCs w:val="22"/>
        </w:rPr>
      </w:pPr>
    </w:p>
    <w:p w14:paraId="209DCE1B" w14:textId="77777777" w:rsidR="00E2423F" w:rsidRDefault="00E2423F" w:rsidP="009F0781">
      <w:pPr>
        <w:pStyle w:val="Default"/>
        <w:spacing w:after="120"/>
        <w:rPr>
          <w:sz w:val="22"/>
          <w:szCs w:val="22"/>
        </w:rPr>
      </w:pPr>
      <w:r>
        <w:rPr>
          <w:sz w:val="22"/>
          <w:szCs w:val="22"/>
        </w:rPr>
        <w:t xml:space="preserve">As for technical aspects, the proposed safety guide will address or consider the following: </w:t>
      </w:r>
    </w:p>
    <w:p w14:paraId="21C33F09" w14:textId="77777777" w:rsidR="005B7DAB" w:rsidRDefault="005B7DAB" w:rsidP="005B7DAB">
      <w:pPr>
        <w:pStyle w:val="Default"/>
        <w:numPr>
          <w:ilvl w:val="0"/>
          <w:numId w:val="29"/>
        </w:numPr>
        <w:spacing w:after="220"/>
        <w:rPr>
          <w:sz w:val="22"/>
          <w:szCs w:val="22"/>
        </w:rPr>
      </w:pPr>
      <w:r>
        <w:rPr>
          <w:sz w:val="22"/>
          <w:szCs w:val="22"/>
        </w:rPr>
        <w:t xml:space="preserve">Overall review on the applicability of the flow-chart of the existing safety guide; </w:t>
      </w:r>
    </w:p>
    <w:p w14:paraId="5A560C24" w14:textId="77777777" w:rsidR="005B7DAB" w:rsidRDefault="005B7DAB" w:rsidP="005B7DAB">
      <w:pPr>
        <w:pStyle w:val="Default"/>
        <w:numPr>
          <w:ilvl w:val="0"/>
          <w:numId w:val="29"/>
        </w:numPr>
        <w:spacing w:after="220"/>
        <w:rPr>
          <w:sz w:val="22"/>
          <w:szCs w:val="22"/>
        </w:rPr>
      </w:pPr>
      <w:r>
        <w:rPr>
          <w:sz w:val="22"/>
          <w:szCs w:val="22"/>
        </w:rPr>
        <w:t xml:space="preserve">More elaboration of methodologies evaluating some of the hazards; </w:t>
      </w:r>
    </w:p>
    <w:p w14:paraId="437450D5" w14:textId="77777777" w:rsidR="00314AF5" w:rsidRDefault="00314AF5" w:rsidP="009F0781">
      <w:pPr>
        <w:pStyle w:val="Default"/>
        <w:numPr>
          <w:ilvl w:val="0"/>
          <w:numId w:val="29"/>
        </w:numPr>
        <w:spacing w:after="220"/>
        <w:rPr>
          <w:sz w:val="22"/>
          <w:szCs w:val="22"/>
        </w:rPr>
      </w:pPr>
      <w:r w:rsidRPr="007B6459">
        <w:rPr>
          <w:sz w:val="22"/>
          <w:szCs w:val="22"/>
        </w:rPr>
        <w:t>Evaluation of external human induced hazards for nuclear installations other than nuclear power plants</w:t>
      </w:r>
    </w:p>
    <w:p w14:paraId="60F8A0E6" w14:textId="1618B75F" w:rsidR="00E2423F" w:rsidRDefault="00B11B91" w:rsidP="009F0781">
      <w:pPr>
        <w:pStyle w:val="Default"/>
        <w:numPr>
          <w:ilvl w:val="0"/>
          <w:numId w:val="29"/>
        </w:numPr>
        <w:spacing w:after="220"/>
        <w:rPr>
          <w:sz w:val="22"/>
          <w:szCs w:val="22"/>
        </w:rPr>
      </w:pPr>
      <w:r w:rsidRPr="00B11B91">
        <w:rPr>
          <w:sz w:val="22"/>
          <w:szCs w:val="22"/>
        </w:rPr>
        <w:t>Guidance to determine in a reasonably practicable manner applicable combinations of external (natural and / or human induced) hazards</w:t>
      </w:r>
      <w:r w:rsidR="00E2423F">
        <w:rPr>
          <w:sz w:val="22"/>
          <w:szCs w:val="22"/>
        </w:rPr>
        <w:t xml:space="preserve">; </w:t>
      </w:r>
    </w:p>
    <w:p w14:paraId="120D9167" w14:textId="46B9C276" w:rsidR="005B7DAB" w:rsidRPr="009B30F2" w:rsidRDefault="00E2423F" w:rsidP="002B4B07">
      <w:pPr>
        <w:pStyle w:val="Default"/>
        <w:numPr>
          <w:ilvl w:val="0"/>
          <w:numId w:val="29"/>
        </w:numPr>
        <w:spacing w:after="220"/>
      </w:pPr>
      <w:r>
        <w:rPr>
          <w:sz w:val="22"/>
          <w:szCs w:val="22"/>
        </w:rPr>
        <w:t xml:space="preserve">Provisions of monitoring and updating of relevant human activities, industrial activities, infrastructure and provisions of periodic review of hazards; </w:t>
      </w:r>
    </w:p>
    <w:p w14:paraId="0C8C5119" w14:textId="319B341B" w:rsidR="00CB3737" w:rsidRDefault="006F7DEC" w:rsidP="009F0781">
      <w:pPr>
        <w:pStyle w:val="BodyText"/>
        <w:spacing w:before="120"/>
        <w:rPr>
          <w:iCs/>
          <w:szCs w:val="22"/>
        </w:rPr>
      </w:pPr>
      <w:r w:rsidRPr="006F7DEC">
        <w:rPr>
          <w:iCs/>
          <w:szCs w:val="22"/>
        </w:rPr>
        <w:t xml:space="preserve">The contents of the proposed safety guide will be </w:t>
      </w:r>
      <w:proofErr w:type="gramStart"/>
      <w:r w:rsidRPr="006F7DEC">
        <w:rPr>
          <w:iCs/>
          <w:szCs w:val="22"/>
        </w:rPr>
        <w:t>similar to</w:t>
      </w:r>
      <w:proofErr w:type="gramEnd"/>
      <w:r w:rsidRPr="006F7DEC">
        <w:rPr>
          <w:iCs/>
          <w:szCs w:val="22"/>
        </w:rPr>
        <w:t xml:space="preserve"> the existing safety guide on external human-induced events in site evaluation for NPPs, with some amendments. The planned table of contents is as follows:</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tblGrid>
      <w:tr w:rsidR="00F43E4F" w14:paraId="039D18D7" w14:textId="77777777" w:rsidTr="00940765">
        <w:tc>
          <w:tcPr>
            <w:tcW w:w="7513" w:type="dxa"/>
          </w:tcPr>
          <w:p w14:paraId="0112A1C9" w14:textId="77777777" w:rsidR="00F43E4F" w:rsidRDefault="00F43E4F" w:rsidP="00A52476">
            <w:pPr>
              <w:pStyle w:val="BodyText"/>
              <w:numPr>
                <w:ilvl w:val="0"/>
                <w:numId w:val="20"/>
              </w:numPr>
              <w:spacing w:after="120" w:line="240" w:lineRule="auto"/>
              <w:jc w:val="left"/>
              <w:rPr>
                <w:iCs/>
                <w:szCs w:val="22"/>
              </w:rPr>
            </w:pPr>
            <w:r>
              <w:rPr>
                <w:iCs/>
                <w:szCs w:val="22"/>
              </w:rPr>
              <w:t>Introduction</w:t>
            </w:r>
          </w:p>
          <w:p w14:paraId="78B3DB2D" w14:textId="733A054B" w:rsidR="00F43E4F" w:rsidRDefault="00F43E4F" w:rsidP="00A52476">
            <w:pPr>
              <w:pStyle w:val="BodyText"/>
              <w:numPr>
                <w:ilvl w:val="0"/>
                <w:numId w:val="20"/>
              </w:numPr>
              <w:spacing w:after="120" w:line="240" w:lineRule="auto"/>
              <w:jc w:val="left"/>
              <w:rPr>
                <w:iCs/>
                <w:szCs w:val="22"/>
              </w:rPr>
            </w:pPr>
            <w:r>
              <w:rPr>
                <w:iCs/>
                <w:szCs w:val="22"/>
              </w:rPr>
              <w:t xml:space="preserve">General </w:t>
            </w:r>
            <w:r w:rsidR="00D64328">
              <w:rPr>
                <w:iCs/>
                <w:szCs w:val="22"/>
              </w:rPr>
              <w:t>recommendations</w:t>
            </w:r>
          </w:p>
          <w:p w14:paraId="29238DF6" w14:textId="77777777" w:rsidR="00F43E4F" w:rsidRDefault="00F43E4F" w:rsidP="00A52476">
            <w:pPr>
              <w:pStyle w:val="BodyText"/>
              <w:numPr>
                <w:ilvl w:val="0"/>
                <w:numId w:val="20"/>
              </w:numPr>
              <w:spacing w:after="120" w:line="240" w:lineRule="auto"/>
              <w:jc w:val="left"/>
              <w:rPr>
                <w:iCs/>
                <w:szCs w:val="22"/>
              </w:rPr>
            </w:pPr>
            <w:r>
              <w:rPr>
                <w:iCs/>
                <w:szCs w:val="22"/>
              </w:rPr>
              <w:t>Data collection and investigations</w:t>
            </w:r>
          </w:p>
          <w:p w14:paraId="03A6D3A6" w14:textId="77777777" w:rsidR="00F43E4F" w:rsidRDefault="00F43E4F" w:rsidP="00A52476">
            <w:pPr>
              <w:pStyle w:val="BodyText"/>
              <w:numPr>
                <w:ilvl w:val="0"/>
                <w:numId w:val="20"/>
              </w:numPr>
              <w:spacing w:after="120" w:line="240" w:lineRule="auto"/>
              <w:jc w:val="left"/>
              <w:rPr>
                <w:iCs/>
                <w:szCs w:val="22"/>
              </w:rPr>
            </w:pPr>
            <w:r>
              <w:rPr>
                <w:iCs/>
                <w:szCs w:val="22"/>
              </w:rPr>
              <w:t>Screening and evaluation procedures</w:t>
            </w:r>
          </w:p>
          <w:p w14:paraId="78DDDB92" w14:textId="01C0C2A8" w:rsidR="00D64328" w:rsidRDefault="00D64328" w:rsidP="00A52476">
            <w:pPr>
              <w:pStyle w:val="BodyText"/>
              <w:numPr>
                <w:ilvl w:val="0"/>
                <w:numId w:val="20"/>
              </w:numPr>
              <w:spacing w:after="120" w:line="240" w:lineRule="auto"/>
              <w:jc w:val="left"/>
              <w:rPr>
                <w:iCs/>
                <w:szCs w:val="22"/>
              </w:rPr>
            </w:pPr>
            <w:r>
              <w:rPr>
                <w:iCs/>
                <w:szCs w:val="22"/>
              </w:rPr>
              <w:t xml:space="preserve">Recommendations of evaluating specific hazards </w:t>
            </w:r>
            <w:r w:rsidR="0018551C">
              <w:rPr>
                <w:iCs/>
                <w:szCs w:val="22"/>
              </w:rPr>
              <w:t>–</w:t>
            </w:r>
            <w:r>
              <w:rPr>
                <w:iCs/>
                <w:szCs w:val="22"/>
              </w:rPr>
              <w:t xml:space="preserve"> </w:t>
            </w:r>
            <w:r w:rsidR="0018551C">
              <w:rPr>
                <w:iCs/>
                <w:szCs w:val="22"/>
              </w:rPr>
              <w:t>Aircraft crashes</w:t>
            </w:r>
          </w:p>
          <w:p w14:paraId="25C6EF61" w14:textId="16568E54" w:rsidR="00D64328" w:rsidRDefault="00D64328" w:rsidP="00A52476">
            <w:pPr>
              <w:pStyle w:val="BodyText"/>
              <w:numPr>
                <w:ilvl w:val="0"/>
                <w:numId w:val="20"/>
              </w:numPr>
              <w:spacing w:after="120" w:line="240" w:lineRule="auto"/>
              <w:jc w:val="left"/>
              <w:rPr>
                <w:iCs/>
                <w:szCs w:val="22"/>
              </w:rPr>
            </w:pPr>
            <w:r>
              <w:rPr>
                <w:iCs/>
                <w:szCs w:val="22"/>
              </w:rPr>
              <w:t>Recommendations of evaluating specific hazards</w:t>
            </w:r>
            <w:r w:rsidR="0018551C">
              <w:rPr>
                <w:iCs/>
                <w:szCs w:val="22"/>
              </w:rPr>
              <w:t xml:space="preserve"> – Release of hazardous substances</w:t>
            </w:r>
          </w:p>
          <w:p w14:paraId="684DA58C" w14:textId="3DF26D50" w:rsidR="00D64328" w:rsidRDefault="00D64328" w:rsidP="00A52476">
            <w:pPr>
              <w:pStyle w:val="BodyText"/>
              <w:numPr>
                <w:ilvl w:val="0"/>
                <w:numId w:val="20"/>
              </w:numPr>
              <w:spacing w:after="120" w:line="240" w:lineRule="auto"/>
              <w:jc w:val="left"/>
              <w:rPr>
                <w:iCs/>
                <w:szCs w:val="22"/>
              </w:rPr>
            </w:pPr>
            <w:r>
              <w:rPr>
                <w:iCs/>
                <w:szCs w:val="22"/>
              </w:rPr>
              <w:t>Recommendations of evaluating specific hazards</w:t>
            </w:r>
            <w:r w:rsidR="0018551C">
              <w:rPr>
                <w:iCs/>
                <w:szCs w:val="22"/>
              </w:rPr>
              <w:t xml:space="preserve"> – Ex</w:t>
            </w:r>
            <w:r w:rsidR="00E51D30">
              <w:rPr>
                <w:iCs/>
                <w:szCs w:val="22"/>
              </w:rPr>
              <w:t>ternal ex</w:t>
            </w:r>
            <w:r w:rsidR="0018551C">
              <w:rPr>
                <w:iCs/>
                <w:szCs w:val="22"/>
              </w:rPr>
              <w:t xml:space="preserve">plosions </w:t>
            </w:r>
          </w:p>
          <w:p w14:paraId="2B1D8B80" w14:textId="3760D1BD" w:rsidR="00D64328" w:rsidRDefault="00D64328" w:rsidP="00A52476">
            <w:pPr>
              <w:pStyle w:val="BodyText"/>
              <w:numPr>
                <w:ilvl w:val="0"/>
                <w:numId w:val="20"/>
              </w:numPr>
              <w:spacing w:after="120" w:line="240" w:lineRule="auto"/>
              <w:jc w:val="left"/>
              <w:rPr>
                <w:iCs/>
                <w:szCs w:val="22"/>
              </w:rPr>
            </w:pPr>
            <w:r>
              <w:rPr>
                <w:iCs/>
                <w:szCs w:val="22"/>
              </w:rPr>
              <w:t>Recommendations of evaluating specific hazards</w:t>
            </w:r>
            <w:r w:rsidR="0018551C">
              <w:rPr>
                <w:iCs/>
                <w:szCs w:val="22"/>
              </w:rPr>
              <w:t xml:space="preserve"> – External fire </w:t>
            </w:r>
          </w:p>
          <w:p w14:paraId="411B2752" w14:textId="1DF83C16" w:rsidR="00D64328" w:rsidRDefault="00D64328" w:rsidP="00A52476">
            <w:pPr>
              <w:pStyle w:val="BodyText"/>
              <w:numPr>
                <w:ilvl w:val="0"/>
                <w:numId w:val="20"/>
              </w:numPr>
              <w:spacing w:after="120" w:line="240" w:lineRule="auto"/>
              <w:jc w:val="left"/>
              <w:rPr>
                <w:iCs/>
                <w:szCs w:val="22"/>
              </w:rPr>
            </w:pPr>
            <w:r>
              <w:rPr>
                <w:iCs/>
                <w:szCs w:val="22"/>
              </w:rPr>
              <w:t>Recommendations of evaluating specific hazards</w:t>
            </w:r>
            <w:r w:rsidR="0018551C">
              <w:rPr>
                <w:iCs/>
                <w:szCs w:val="22"/>
              </w:rPr>
              <w:t xml:space="preserve"> – Other external human induced hazards</w:t>
            </w:r>
          </w:p>
          <w:p w14:paraId="2F43BE22" w14:textId="77777777" w:rsidR="00137008" w:rsidRDefault="00137008" w:rsidP="00A52476">
            <w:pPr>
              <w:pStyle w:val="BodyText"/>
              <w:numPr>
                <w:ilvl w:val="0"/>
                <w:numId w:val="20"/>
              </w:numPr>
              <w:spacing w:after="120" w:line="240" w:lineRule="auto"/>
              <w:jc w:val="left"/>
              <w:rPr>
                <w:iCs/>
                <w:szCs w:val="22"/>
              </w:rPr>
            </w:pPr>
            <w:r>
              <w:rPr>
                <w:iCs/>
                <w:szCs w:val="22"/>
              </w:rPr>
              <w:t>Evaluation of external human induced hazards for nuclear installations other than nuclear power plants</w:t>
            </w:r>
          </w:p>
          <w:p w14:paraId="65766466" w14:textId="02DBC7BE" w:rsidR="00F43E4F" w:rsidRDefault="000C7F31" w:rsidP="00A52476">
            <w:pPr>
              <w:pStyle w:val="BodyText"/>
              <w:numPr>
                <w:ilvl w:val="0"/>
                <w:numId w:val="20"/>
              </w:numPr>
              <w:spacing w:after="120" w:line="240" w:lineRule="auto"/>
              <w:jc w:val="left"/>
              <w:rPr>
                <w:iCs/>
                <w:szCs w:val="22"/>
              </w:rPr>
            </w:pPr>
            <w:r>
              <w:rPr>
                <w:iCs/>
                <w:szCs w:val="22"/>
              </w:rPr>
              <w:t>Application of the m</w:t>
            </w:r>
            <w:r w:rsidR="00137008">
              <w:rPr>
                <w:iCs/>
                <w:szCs w:val="22"/>
              </w:rPr>
              <w:t>anagement</w:t>
            </w:r>
            <w:r>
              <w:rPr>
                <w:iCs/>
                <w:szCs w:val="22"/>
              </w:rPr>
              <w:t xml:space="preserve"> system</w:t>
            </w:r>
          </w:p>
          <w:p w14:paraId="0090F67B" w14:textId="77777777" w:rsidR="00F43E4F" w:rsidRDefault="00F43E4F" w:rsidP="00A52476">
            <w:pPr>
              <w:pStyle w:val="BodyText"/>
              <w:spacing w:after="120" w:line="240" w:lineRule="auto"/>
              <w:ind w:left="360"/>
              <w:jc w:val="left"/>
              <w:rPr>
                <w:iCs/>
                <w:szCs w:val="22"/>
              </w:rPr>
            </w:pPr>
            <w:r>
              <w:rPr>
                <w:iCs/>
                <w:szCs w:val="22"/>
              </w:rPr>
              <w:t>References</w:t>
            </w:r>
          </w:p>
          <w:p w14:paraId="20D3602E" w14:textId="77777777" w:rsidR="00B13B3A" w:rsidRDefault="00B13B3A" w:rsidP="009B30F2">
            <w:pPr>
              <w:pStyle w:val="BodyText"/>
              <w:spacing w:after="120" w:line="240" w:lineRule="auto"/>
              <w:jc w:val="left"/>
              <w:rPr>
                <w:iCs/>
                <w:szCs w:val="22"/>
              </w:rPr>
            </w:pPr>
          </w:p>
          <w:p w14:paraId="51F9A8AC" w14:textId="77777777" w:rsidR="000419FE" w:rsidRDefault="000419FE" w:rsidP="009B30F2">
            <w:pPr>
              <w:pStyle w:val="BodyText"/>
              <w:spacing w:after="120" w:line="240" w:lineRule="auto"/>
              <w:jc w:val="left"/>
              <w:rPr>
                <w:iCs/>
                <w:szCs w:val="22"/>
              </w:rPr>
            </w:pPr>
          </w:p>
          <w:p w14:paraId="3A78439E" w14:textId="77777777" w:rsidR="000419FE" w:rsidRDefault="000419FE" w:rsidP="009B30F2">
            <w:pPr>
              <w:pStyle w:val="BodyText"/>
              <w:spacing w:after="120" w:line="240" w:lineRule="auto"/>
              <w:jc w:val="left"/>
              <w:rPr>
                <w:iCs/>
                <w:szCs w:val="22"/>
              </w:rPr>
            </w:pPr>
          </w:p>
          <w:p w14:paraId="0330D662" w14:textId="71C8ABEB" w:rsidR="000419FE" w:rsidRPr="00F43E4F" w:rsidRDefault="000419FE" w:rsidP="009B30F2">
            <w:pPr>
              <w:pStyle w:val="BodyText"/>
              <w:spacing w:after="120" w:line="240" w:lineRule="auto"/>
              <w:jc w:val="left"/>
              <w:rPr>
                <w:iCs/>
                <w:szCs w:val="22"/>
              </w:rPr>
            </w:pPr>
          </w:p>
        </w:tc>
      </w:tr>
    </w:tbl>
    <w:p w14:paraId="1D91904B" w14:textId="31A64FFE" w:rsidR="00FA319C" w:rsidRDefault="00142442" w:rsidP="00C33763">
      <w:pPr>
        <w:pStyle w:val="BodyText"/>
        <w:numPr>
          <w:ilvl w:val="0"/>
          <w:numId w:val="19"/>
        </w:numPr>
        <w:spacing w:before="240"/>
        <w:ind w:left="357" w:hanging="357"/>
        <w:rPr>
          <w:b/>
          <w:bCs/>
        </w:rPr>
      </w:pPr>
      <w:r w:rsidRPr="00467564">
        <w:rPr>
          <w:b/>
          <w:bCs/>
        </w:rPr>
        <w:lastRenderedPageBreak/>
        <w:t>PRODUCTION</w:t>
      </w:r>
      <w:r w:rsidR="00C7358B" w:rsidRPr="00467564">
        <w:rPr>
          <w:b/>
          <w:bCs/>
        </w:rPr>
        <w:t xml:space="preserve"> SCHEDULE</w:t>
      </w:r>
      <w:r w:rsidRPr="00467564">
        <w:rPr>
          <w:b/>
          <w:bCs/>
        </w:rPr>
        <w:t xml:space="preserve">: </w:t>
      </w:r>
    </w:p>
    <w:p w14:paraId="725053F3" w14:textId="4E8B2B88" w:rsidR="00142442" w:rsidRPr="00467564" w:rsidRDefault="00142442" w:rsidP="00FA319C">
      <w:pPr>
        <w:pStyle w:val="BodyText"/>
        <w:spacing w:line="220" w:lineRule="atLeast"/>
        <w:jc w:val="left"/>
        <w:rPr>
          <w:sz w:val="20"/>
        </w:rPr>
      </w:pPr>
      <w:r w:rsidRPr="00467564">
        <w:rPr>
          <w:sz w:val="20"/>
        </w:rPr>
        <w:t xml:space="preserve">Provisional schedule for preparation of the document, outlining </w:t>
      </w:r>
      <w:r w:rsidR="009F2AA1" w:rsidRPr="00467564">
        <w:rPr>
          <w:sz w:val="20"/>
        </w:rPr>
        <w:t xml:space="preserve">realistic </w:t>
      </w:r>
      <w:r w:rsidR="00D34F6B" w:rsidRPr="00467564">
        <w:rPr>
          <w:sz w:val="20"/>
        </w:rPr>
        <w:t xml:space="preserve">expected </w:t>
      </w:r>
      <w:r w:rsidRPr="00467564">
        <w:rPr>
          <w:sz w:val="20"/>
        </w:rPr>
        <w:t>dates for</w:t>
      </w:r>
      <w:r w:rsidR="003157DB" w:rsidRPr="00467564">
        <w:rPr>
          <w:sz w:val="20"/>
        </w:rPr>
        <w:t xml:space="preserve"> </w:t>
      </w:r>
      <w:r w:rsidR="0046657C" w:rsidRPr="00467564">
        <w:rPr>
          <w:sz w:val="20"/>
        </w:rPr>
        <w:t>each step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5"/>
        <w:gridCol w:w="1384"/>
        <w:gridCol w:w="1385"/>
        <w:gridCol w:w="1385"/>
      </w:tblGrid>
      <w:tr w:rsidR="003157DB" w:rsidRPr="00467564" w14:paraId="11B1BCAE" w14:textId="77777777" w:rsidTr="00940765">
        <w:tc>
          <w:tcPr>
            <w:tcW w:w="4885" w:type="dxa"/>
            <w:shd w:val="clear" w:color="auto" w:fill="auto"/>
          </w:tcPr>
          <w:p w14:paraId="0EB19022" w14:textId="77777777" w:rsidR="003157DB" w:rsidRPr="00467564" w:rsidRDefault="003157DB" w:rsidP="001F54DD">
            <w:pPr>
              <w:pStyle w:val="BodyText"/>
              <w:spacing w:after="0" w:line="220" w:lineRule="atLeast"/>
              <w:jc w:val="left"/>
              <w:rPr>
                <w:color w:val="000000"/>
                <w:sz w:val="20"/>
              </w:rPr>
            </w:pPr>
          </w:p>
        </w:tc>
        <w:tc>
          <w:tcPr>
            <w:tcW w:w="1384" w:type="dxa"/>
            <w:shd w:val="clear" w:color="auto" w:fill="auto"/>
          </w:tcPr>
          <w:p w14:paraId="4CF32FC2" w14:textId="77777777" w:rsidR="003157DB" w:rsidRPr="00467564" w:rsidRDefault="008638E8" w:rsidP="001F54DD">
            <w:pPr>
              <w:pStyle w:val="BodyText"/>
              <w:spacing w:after="0" w:line="220" w:lineRule="atLeast"/>
              <w:jc w:val="left"/>
              <w:rPr>
                <w:color w:val="000000"/>
                <w:sz w:val="18"/>
                <w:szCs w:val="18"/>
              </w:rPr>
            </w:pPr>
            <w:r w:rsidRPr="00467564">
              <w:rPr>
                <w:color w:val="000000"/>
                <w:sz w:val="18"/>
                <w:szCs w:val="18"/>
              </w:rPr>
              <w:t>A</w:t>
            </w:r>
            <w:r w:rsidR="003157DB" w:rsidRPr="00467564">
              <w:rPr>
                <w:color w:val="000000"/>
                <w:sz w:val="18"/>
                <w:szCs w:val="18"/>
              </w:rPr>
              <w:t>*</w:t>
            </w:r>
          </w:p>
        </w:tc>
        <w:tc>
          <w:tcPr>
            <w:tcW w:w="1385" w:type="dxa"/>
            <w:shd w:val="clear" w:color="auto" w:fill="auto"/>
          </w:tcPr>
          <w:p w14:paraId="287C034A" w14:textId="77777777" w:rsidR="003157DB" w:rsidRPr="00467564" w:rsidRDefault="008638E8" w:rsidP="001F54DD">
            <w:pPr>
              <w:pStyle w:val="BodyText"/>
              <w:spacing w:after="0" w:line="220" w:lineRule="atLeast"/>
              <w:jc w:val="left"/>
              <w:rPr>
                <w:color w:val="000000"/>
                <w:sz w:val="18"/>
                <w:szCs w:val="18"/>
              </w:rPr>
            </w:pPr>
            <w:r w:rsidRPr="00467564">
              <w:rPr>
                <w:color w:val="000000"/>
                <w:sz w:val="18"/>
                <w:szCs w:val="18"/>
              </w:rPr>
              <w:t>B</w:t>
            </w:r>
            <w:r w:rsidR="003157DB" w:rsidRPr="00467564">
              <w:rPr>
                <w:color w:val="000000"/>
                <w:sz w:val="18"/>
                <w:szCs w:val="18"/>
              </w:rPr>
              <w:t>*</w:t>
            </w:r>
          </w:p>
        </w:tc>
        <w:tc>
          <w:tcPr>
            <w:tcW w:w="1385" w:type="dxa"/>
            <w:shd w:val="clear" w:color="auto" w:fill="auto"/>
          </w:tcPr>
          <w:p w14:paraId="3896F13E" w14:textId="77777777" w:rsidR="003157DB" w:rsidRPr="00467564" w:rsidRDefault="008638E8" w:rsidP="001F54DD">
            <w:pPr>
              <w:pStyle w:val="BodyText"/>
              <w:spacing w:after="0" w:line="220" w:lineRule="atLeast"/>
              <w:jc w:val="left"/>
              <w:rPr>
                <w:color w:val="000000"/>
                <w:sz w:val="18"/>
                <w:szCs w:val="18"/>
              </w:rPr>
            </w:pPr>
            <w:r w:rsidRPr="00467564">
              <w:rPr>
                <w:color w:val="000000"/>
                <w:sz w:val="18"/>
                <w:szCs w:val="18"/>
              </w:rPr>
              <w:t>C</w:t>
            </w:r>
            <w:r w:rsidR="003157DB" w:rsidRPr="00467564">
              <w:rPr>
                <w:color w:val="000000"/>
                <w:sz w:val="18"/>
                <w:szCs w:val="18"/>
              </w:rPr>
              <w:t>*</w:t>
            </w:r>
          </w:p>
        </w:tc>
      </w:tr>
      <w:tr w:rsidR="003157DB" w:rsidRPr="00467564" w14:paraId="1BA4EB21" w14:textId="77777777" w:rsidTr="00940765">
        <w:tc>
          <w:tcPr>
            <w:tcW w:w="4885" w:type="dxa"/>
            <w:shd w:val="clear" w:color="auto" w:fill="auto"/>
          </w:tcPr>
          <w:p w14:paraId="6AA01AED" w14:textId="77777777" w:rsidR="003157DB" w:rsidRPr="00467564" w:rsidRDefault="003157DB" w:rsidP="001F54DD">
            <w:pPr>
              <w:pStyle w:val="BodyText"/>
              <w:spacing w:after="0" w:line="220" w:lineRule="atLeast"/>
              <w:jc w:val="left"/>
              <w:rPr>
                <w:color w:val="000000"/>
                <w:sz w:val="20"/>
              </w:rPr>
            </w:pPr>
            <w:r w:rsidRPr="00467564">
              <w:rPr>
                <w:color w:val="000000"/>
                <w:sz w:val="20"/>
              </w:rPr>
              <w:t>STEP 1: Preparing a DPP</w:t>
            </w:r>
          </w:p>
        </w:tc>
        <w:tc>
          <w:tcPr>
            <w:tcW w:w="1384" w:type="dxa"/>
            <w:shd w:val="clear" w:color="auto" w:fill="auto"/>
          </w:tcPr>
          <w:p w14:paraId="1B35ED63" w14:textId="5F785AE3" w:rsidR="003157DB" w:rsidRPr="00467564" w:rsidRDefault="000A2867" w:rsidP="001F54DD">
            <w:pPr>
              <w:pStyle w:val="BodyText"/>
              <w:spacing w:after="0" w:line="220" w:lineRule="atLeast"/>
              <w:jc w:val="left"/>
              <w:rPr>
                <w:color w:val="000000"/>
                <w:sz w:val="20"/>
              </w:rPr>
            </w:pPr>
            <w:r>
              <w:rPr>
                <w:color w:val="000000"/>
                <w:sz w:val="20"/>
              </w:rPr>
              <w:t>DONE</w:t>
            </w:r>
          </w:p>
        </w:tc>
        <w:tc>
          <w:tcPr>
            <w:tcW w:w="1385" w:type="dxa"/>
            <w:shd w:val="clear" w:color="auto" w:fill="auto"/>
          </w:tcPr>
          <w:p w14:paraId="7EE0A908" w14:textId="77777777" w:rsidR="003157DB" w:rsidRPr="00467564" w:rsidRDefault="003157DB" w:rsidP="001F54DD">
            <w:pPr>
              <w:pStyle w:val="BodyText"/>
              <w:spacing w:after="0" w:line="220" w:lineRule="atLeast"/>
              <w:jc w:val="left"/>
              <w:rPr>
                <w:color w:val="000000"/>
                <w:sz w:val="20"/>
              </w:rPr>
            </w:pPr>
          </w:p>
        </w:tc>
        <w:tc>
          <w:tcPr>
            <w:tcW w:w="1385" w:type="dxa"/>
            <w:shd w:val="clear" w:color="auto" w:fill="auto"/>
          </w:tcPr>
          <w:p w14:paraId="0BC18F58" w14:textId="77777777" w:rsidR="003157DB" w:rsidRPr="00467564" w:rsidRDefault="003157DB" w:rsidP="001F54DD">
            <w:pPr>
              <w:pStyle w:val="BodyText"/>
              <w:spacing w:after="0" w:line="220" w:lineRule="atLeast"/>
              <w:jc w:val="left"/>
              <w:rPr>
                <w:color w:val="000000"/>
                <w:sz w:val="20"/>
              </w:rPr>
            </w:pPr>
          </w:p>
        </w:tc>
      </w:tr>
      <w:tr w:rsidR="003157DB" w:rsidRPr="00467564" w14:paraId="442E56B9" w14:textId="77777777" w:rsidTr="00940765">
        <w:tc>
          <w:tcPr>
            <w:tcW w:w="4885" w:type="dxa"/>
            <w:shd w:val="clear" w:color="auto" w:fill="auto"/>
          </w:tcPr>
          <w:p w14:paraId="20DD0165" w14:textId="77777777" w:rsidR="003157DB" w:rsidRPr="00467564" w:rsidRDefault="003157DB" w:rsidP="001F54DD">
            <w:pPr>
              <w:pStyle w:val="BodyText"/>
              <w:spacing w:after="0" w:line="220" w:lineRule="atLeast"/>
              <w:jc w:val="left"/>
              <w:rPr>
                <w:color w:val="000000"/>
                <w:sz w:val="20"/>
              </w:rPr>
            </w:pPr>
            <w:r w:rsidRPr="00467564">
              <w:rPr>
                <w:color w:val="000000"/>
                <w:sz w:val="20"/>
              </w:rPr>
              <w:t xml:space="preserve">STEP 2: </w:t>
            </w:r>
            <w:r w:rsidRPr="00467564">
              <w:rPr>
                <w:sz w:val="20"/>
              </w:rPr>
              <w:t>Approval of DPP by the Coordination Committee</w:t>
            </w:r>
          </w:p>
        </w:tc>
        <w:tc>
          <w:tcPr>
            <w:tcW w:w="1384" w:type="dxa"/>
            <w:shd w:val="clear" w:color="auto" w:fill="auto"/>
          </w:tcPr>
          <w:p w14:paraId="598B4034" w14:textId="05B9599B" w:rsidR="003157DB" w:rsidRPr="00467564" w:rsidRDefault="004F20A7" w:rsidP="001F54DD">
            <w:pPr>
              <w:pStyle w:val="BodyText"/>
              <w:spacing w:after="0" w:line="220" w:lineRule="atLeast"/>
              <w:jc w:val="left"/>
              <w:rPr>
                <w:color w:val="000000"/>
                <w:sz w:val="20"/>
              </w:rPr>
            </w:pPr>
            <w:r>
              <w:rPr>
                <w:color w:val="000000"/>
                <w:sz w:val="20"/>
              </w:rPr>
              <w:t>Jan. 2019</w:t>
            </w:r>
          </w:p>
        </w:tc>
        <w:tc>
          <w:tcPr>
            <w:tcW w:w="1385" w:type="dxa"/>
            <w:shd w:val="clear" w:color="auto" w:fill="auto"/>
          </w:tcPr>
          <w:p w14:paraId="4E2AF3CA" w14:textId="77777777" w:rsidR="003157DB" w:rsidRPr="00467564" w:rsidRDefault="003157DB" w:rsidP="001F54DD">
            <w:pPr>
              <w:pStyle w:val="BodyText"/>
              <w:spacing w:after="0" w:line="220" w:lineRule="atLeast"/>
              <w:jc w:val="left"/>
              <w:rPr>
                <w:color w:val="000000"/>
                <w:sz w:val="20"/>
              </w:rPr>
            </w:pPr>
          </w:p>
        </w:tc>
        <w:tc>
          <w:tcPr>
            <w:tcW w:w="1385" w:type="dxa"/>
            <w:tcBorders>
              <w:bottom w:val="single" w:sz="4" w:space="0" w:color="auto"/>
            </w:tcBorders>
            <w:shd w:val="clear" w:color="auto" w:fill="auto"/>
          </w:tcPr>
          <w:p w14:paraId="60D7719C" w14:textId="77777777" w:rsidR="003157DB" w:rsidRPr="00467564" w:rsidRDefault="003157DB" w:rsidP="001F54DD">
            <w:pPr>
              <w:pStyle w:val="BodyText"/>
              <w:spacing w:after="0" w:line="220" w:lineRule="atLeast"/>
              <w:jc w:val="left"/>
              <w:rPr>
                <w:color w:val="000000"/>
                <w:sz w:val="20"/>
              </w:rPr>
            </w:pPr>
          </w:p>
        </w:tc>
      </w:tr>
      <w:tr w:rsidR="003157DB" w:rsidRPr="00467564" w14:paraId="3FD96B4A" w14:textId="77777777" w:rsidTr="00940765">
        <w:tc>
          <w:tcPr>
            <w:tcW w:w="4885" w:type="dxa"/>
            <w:shd w:val="clear" w:color="auto" w:fill="auto"/>
          </w:tcPr>
          <w:p w14:paraId="40C1C402" w14:textId="77777777" w:rsidR="003157DB" w:rsidRPr="00467564" w:rsidRDefault="003157DB" w:rsidP="001F54DD">
            <w:pPr>
              <w:pStyle w:val="BodyText"/>
              <w:spacing w:after="0" w:line="220" w:lineRule="atLeast"/>
              <w:jc w:val="left"/>
              <w:rPr>
                <w:color w:val="000000"/>
                <w:sz w:val="20"/>
              </w:rPr>
            </w:pPr>
            <w:r w:rsidRPr="00467564">
              <w:rPr>
                <w:color w:val="000000"/>
                <w:sz w:val="20"/>
              </w:rPr>
              <w:t>STEP 3: Approval</w:t>
            </w:r>
            <w:r w:rsidRPr="00467564">
              <w:rPr>
                <w:sz w:val="20"/>
              </w:rPr>
              <w:t xml:space="preserve"> of DPP by the </w:t>
            </w:r>
            <w:r w:rsidR="00A17C97" w:rsidRPr="00467564">
              <w:rPr>
                <w:sz w:val="20"/>
              </w:rPr>
              <w:t>relevant review</w:t>
            </w:r>
            <w:r w:rsidRPr="00467564">
              <w:rPr>
                <w:sz w:val="20"/>
              </w:rPr>
              <w:t xml:space="preserve"> Committees </w:t>
            </w:r>
          </w:p>
        </w:tc>
        <w:tc>
          <w:tcPr>
            <w:tcW w:w="1384" w:type="dxa"/>
            <w:shd w:val="clear" w:color="auto" w:fill="auto"/>
          </w:tcPr>
          <w:p w14:paraId="64896188" w14:textId="373D583C" w:rsidR="003157DB" w:rsidRPr="00467564" w:rsidRDefault="004F20A7" w:rsidP="001F54DD">
            <w:pPr>
              <w:pStyle w:val="BodyText"/>
              <w:spacing w:after="0" w:line="220" w:lineRule="atLeast"/>
              <w:jc w:val="left"/>
              <w:rPr>
                <w:color w:val="000000"/>
                <w:sz w:val="20"/>
              </w:rPr>
            </w:pPr>
            <w:r>
              <w:rPr>
                <w:color w:val="000000"/>
                <w:sz w:val="20"/>
              </w:rPr>
              <w:t>June 2019</w:t>
            </w:r>
          </w:p>
        </w:tc>
        <w:tc>
          <w:tcPr>
            <w:tcW w:w="1385" w:type="dxa"/>
            <w:tcBorders>
              <w:bottom w:val="single" w:sz="4" w:space="0" w:color="auto"/>
            </w:tcBorders>
            <w:shd w:val="clear" w:color="auto" w:fill="auto"/>
          </w:tcPr>
          <w:p w14:paraId="056F9253" w14:textId="77777777" w:rsidR="003157DB" w:rsidRPr="00467564" w:rsidRDefault="003157DB" w:rsidP="001F54DD">
            <w:pPr>
              <w:pStyle w:val="BodyText"/>
              <w:spacing w:after="0" w:line="220" w:lineRule="atLeast"/>
              <w:jc w:val="left"/>
              <w:rPr>
                <w:color w:val="000000"/>
                <w:sz w:val="20"/>
              </w:rPr>
            </w:pPr>
          </w:p>
        </w:tc>
        <w:tc>
          <w:tcPr>
            <w:tcW w:w="1385" w:type="dxa"/>
            <w:shd w:val="clear" w:color="auto" w:fill="606060"/>
          </w:tcPr>
          <w:p w14:paraId="244D2D8E" w14:textId="77777777" w:rsidR="003157DB" w:rsidRPr="00467564" w:rsidRDefault="003157DB" w:rsidP="001F54DD">
            <w:pPr>
              <w:pStyle w:val="BodyText"/>
              <w:spacing w:after="0" w:line="220" w:lineRule="atLeast"/>
              <w:jc w:val="left"/>
              <w:rPr>
                <w:color w:val="000000"/>
                <w:sz w:val="20"/>
              </w:rPr>
            </w:pPr>
          </w:p>
        </w:tc>
      </w:tr>
      <w:tr w:rsidR="003157DB" w:rsidRPr="00467564" w14:paraId="72054C8D" w14:textId="77777777" w:rsidTr="00940765">
        <w:tc>
          <w:tcPr>
            <w:tcW w:w="4885" w:type="dxa"/>
            <w:shd w:val="clear" w:color="auto" w:fill="auto"/>
          </w:tcPr>
          <w:p w14:paraId="12F5D365" w14:textId="77777777" w:rsidR="003157DB" w:rsidRPr="00467564" w:rsidRDefault="003157DB" w:rsidP="001F54DD">
            <w:pPr>
              <w:pStyle w:val="BodyText"/>
              <w:spacing w:after="0" w:line="220" w:lineRule="atLeast"/>
              <w:jc w:val="left"/>
              <w:rPr>
                <w:color w:val="000000"/>
                <w:sz w:val="20"/>
              </w:rPr>
            </w:pPr>
            <w:r w:rsidRPr="00467564">
              <w:rPr>
                <w:color w:val="000000"/>
                <w:sz w:val="20"/>
              </w:rPr>
              <w:t xml:space="preserve">STEP 4: </w:t>
            </w:r>
            <w:r w:rsidRPr="00467564">
              <w:rPr>
                <w:sz w:val="20"/>
              </w:rPr>
              <w:t>Approval of DPP by the CSS</w:t>
            </w:r>
          </w:p>
        </w:tc>
        <w:tc>
          <w:tcPr>
            <w:tcW w:w="1384" w:type="dxa"/>
            <w:shd w:val="clear" w:color="auto" w:fill="auto"/>
          </w:tcPr>
          <w:p w14:paraId="7BBB978A" w14:textId="18C88046" w:rsidR="003157DB" w:rsidRPr="00467564" w:rsidRDefault="00DD3AE0" w:rsidP="001F54DD">
            <w:pPr>
              <w:pStyle w:val="BodyText"/>
              <w:spacing w:after="0" w:line="220" w:lineRule="atLeast"/>
              <w:jc w:val="left"/>
              <w:rPr>
                <w:color w:val="000000"/>
                <w:sz w:val="20"/>
              </w:rPr>
            </w:pPr>
            <w:r>
              <w:rPr>
                <w:color w:val="000000"/>
                <w:sz w:val="20"/>
              </w:rPr>
              <w:t>Dec</w:t>
            </w:r>
            <w:r w:rsidR="004F20A7">
              <w:rPr>
                <w:color w:val="000000"/>
                <w:sz w:val="20"/>
              </w:rPr>
              <w:t>. 2019</w:t>
            </w:r>
          </w:p>
        </w:tc>
        <w:tc>
          <w:tcPr>
            <w:tcW w:w="1385" w:type="dxa"/>
            <w:shd w:val="clear" w:color="auto" w:fill="606060"/>
          </w:tcPr>
          <w:p w14:paraId="66B17EC5" w14:textId="77777777" w:rsidR="003157DB" w:rsidRPr="00467564" w:rsidRDefault="003157DB" w:rsidP="001F54DD">
            <w:pPr>
              <w:pStyle w:val="BodyText"/>
              <w:spacing w:after="0" w:line="220" w:lineRule="atLeast"/>
              <w:jc w:val="left"/>
              <w:rPr>
                <w:color w:val="000000"/>
                <w:sz w:val="20"/>
              </w:rPr>
            </w:pPr>
          </w:p>
        </w:tc>
        <w:tc>
          <w:tcPr>
            <w:tcW w:w="1385" w:type="dxa"/>
            <w:shd w:val="clear" w:color="auto" w:fill="606060"/>
          </w:tcPr>
          <w:p w14:paraId="42592C4D" w14:textId="77777777" w:rsidR="003157DB" w:rsidRPr="00467564" w:rsidRDefault="003157DB" w:rsidP="001F54DD">
            <w:pPr>
              <w:pStyle w:val="BodyText"/>
              <w:spacing w:after="0" w:line="220" w:lineRule="atLeast"/>
              <w:jc w:val="left"/>
              <w:rPr>
                <w:color w:val="000000"/>
                <w:sz w:val="20"/>
              </w:rPr>
            </w:pPr>
          </w:p>
        </w:tc>
      </w:tr>
      <w:tr w:rsidR="003157DB" w:rsidRPr="00467564" w14:paraId="2A0E533C" w14:textId="77777777" w:rsidTr="00940765">
        <w:tc>
          <w:tcPr>
            <w:tcW w:w="4885" w:type="dxa"/>
            <w:shd w:val="clear" w:color="auto" w:fill="auto"/>
          </w:tcPr>
          <w:p w14:paraId="4DC42441" w14:textId="77777777" w:rsidR="003C633C" w:rsidRDefault="003157DB" w:rsidP="004F20A7">
            <w:pPr>
              <w:pStyle w:val="BodyText"/>
              <w:spacing w:after="0" w:line="220" w:lineRule="atLeast"/>
              <w:jc w:val="left"/>
              <w:rPr>
                <w:color w:val="000000"/>
                <w:sz w:val="20"/>
              </w:rPr>
            </w:pPr>
            <w:r w:rsidRPr="00467564">
              <w:rPr>
                <w:color w:val="000000"/>
                <w:sz w:val="20"/>
              </w:rPr>
              <w:t>STEP 5: Preparing the draft</w:t>
            </w:r>
          </w:p>
          <w:p w14:paraId="2B49095D" w14:textId="44569C61" w:rsidR="009F21C8" w:rsidRPr="00467564" w:rsidRDefault="009F21C8" w:rsidP="004F20A7">
            <w:pPr>
              <w:pStyle w:val="BodyText"/>
              <w:spacing w:after="0" w:line="220" w:lineRule="atLeast"/>
              <w:jc w:val="left"/>
              <w:rPr>
                <w:color w:val="000000"/>
                <w:sz w:val="20"/>
              </w:rPr>
            </w:pPr>
            <w:r w:rsidRPr="009F21C8">
              <w:rPr>
                <w:color w:val="000000"/>
                <w:sz w:val="20"/>
              </w:rPr>
              <w:t>Indicate as to whether a TM is expected to be organized for the preparation of the draft</w:t>
            </w:r>
          </w:p>
        </w:tc>
        <w:tc>
          <w:tcPr>
            <w:tcW w:w="1384" w:type="dxa"/>
            <w:shd w:val="clear" w:color="auto" w:fill="auto"/>
          </w:tcPr>
          <w:p w14:paraId="2BF8F66D" w14:textId="0FC87E35" w:rsidR="003157DB" w:rsidRPr="00467564" w:rsidRDefault="009F21C8" w:rsidP="00750116">
            <w:pPr>
              <w:pStyle w:val="BodyText"/>
              <w:spacing w:line="220" w:lineRule="atLeast"/>
              <w:jc w:val="left"/>
              <w:rPr>
                <w:color w:val="000000"/>
                <w:sz w:val="20"/>
              </w:rPr>
            </w:pPr>
            <w:r w:rsidRPr="009F21C8">
              <w:rPr>
                <w:color w:val="000000"/>
                <w:sz w:val="20"/>
              </w:rPr>
              <w:t>TM April 2019</w:t>
            </w:r>
            <w:r w:rsidR="00750116">
              <w:rPr>
                <w:color w:val="000000"/>
                <w:sz w:val="20"/>
              </w:rPr>
              <w:t xml:space="preserve"> </w:t>
            </w:r>
            <w:r w:rsidRPr="009F21C8">
              <w:rPr>
                <w:color w:val="000000"/>
                <w:sz w:val="20"/>
              </w:rPr>
              <w:t>Complete Final Draft 1Q 2020</w:t>
            </w:r>
          </w:p>
        </w:tc>
        <w:tc>
          <w:tcPr>
            <w:tcW w:w="1385" w:type="dxa"/>
            <w:shd w:val="clear" w:color="auto" w:fill="auto"/>
          </w:tcPr>
          <w:p w14:paraId="09126B93" w14:textId="77777777" w:rsidR="003157DB" w:rsidRPr="00467564" w:rsidRDefault="003157DB" w:rsidP="001F54DD">
            <w:pPr>
              <w:pStyle w:val="BodyText"/>
              <w:spacing w:after="0" w:line="220" w:lineRule="atLeast"/>
              <w:jc w:val="left"/>
              <w:rPr>
                <w:color w:val="000000"/>
                <w:sz w:val="20"/>
              </w:rPr>
            </w:pPr>
          </w:p>
        </w:tc>
        <w:tc>
          <w:tcPr>
            <w:tcW w:w="1385" w:type="dxa"/>
            <w:shd w:val="clear" w:color="auto" w:fill="606060"/>
          </w:tcPr>
          <w:p w14:paraId="22B58DD1" w14:textId="77777777" w:rsidR="003157DB" w:rsidRPr="00467564" w:rsidRDefault="003157DB" w:rsidP="001F54DD">
            <w:pPr>
              <w:pStyle w:val="BodyText"/>
              <w:spacing w:after="0" w:line="220" w:lineRule="atLeast"/>
              <w:jc w:val="left"/>
              <w:rPr>
                <w:color w:val="000000"/>
                <w:sz w:val="20"/>
              </w:rPr>
            </w:pPr>
          </w:p>
        </w:tc>
      </w:tr>
      <w:tr w:rsidR="003157DB" w:rsidRPr="00467564" w14:paraId="75E07EA5" w14:textId="77777777" w:rsidTr="00940765">
        <w:tc>
          <w:tcPr>
            <w:tcW w:w="4885" w:type="dxa"/>
            <w:shd w:val="clear" w:color="auto" w:fill="auto"/>
          </w:tcPr>
          <w:p w14:paraId="029BE324" w14:textId="77777777" w:rsidR="003157DB" w:rsidRPr="00467564" w:rsidRDefault="003157DB" w:rsidP="001F54DD">
            <w:pPr>
              <w:pStyle w:val="BodyText"/>
              <w:spacing w:after="0" w:line="220" w:lineRule="atLeast"/>
              <w:jc w:val="left"/>
              <w:rPr>
                <w:color w:val="000000"/>
                <w:sz w:val="20"/>
              </w:rPr>
            </w:pPr>
            <w:r w:rsidRPr="00467564">
              <w:rPr>
                <w:color w:val="000000"/>
                <w:sz w:val="20"/>
              </w:rPr>
              <w:t xml:space="preserve">STEP 6: </w:t>
            </w:r>
            <w:r w:rsidRPr="00467564">
              <w:rPr>
                <w:sz w:val="20"/>
              </w:rPr>
              <w:t>Approval of draft by the Coordination Committee</w:t>
            </w:r>
          </w:p>
        </w:tc>
        <w:tc>
          <w:tcPr>
            <w:tcW w:w="1384" w:type="dxa"/>
            <w:shd w:val="clear" w:color="auto" w:fill="auto"/>
          </w:tcPr>
          <w:p w14:paraId="3165945A" w14:textId="3C0FDE30" w:rsidR="003157DB" w:rsidRPr="00467564" w:rsidRDefault="00750116" w:rsidP="001F54DD">
            <w:pPr>
              <w:pStyle w:val="BodyText"/>
              <w:spacing w:after="0" w:line="220" w:lineRule="atLeast"/>
              <w:jc w:val="left"/>
              <w:rPr>
                <w:color w:val="000000"/>
                <w:sz w:val="20"/>
              </w:rPr>
            </w:pPr>
            <w:r>
              <w:rPr>
                <w:color w:val="000000"/>
                <w:sz w:val="20"/>
              </w:rPr>
              <w:t>2Q</w:t>
            </w:r>
            <w:r w:rsidR="00940765">
              <w:rPr>
                <w:color w:val="000000"/>
                <w:sz w:val="20"/>
              </w:rPr>
              <w:t xml:space="preserve"> 2020</w:t>
            </w:r>
          </w:p>
        </w:tc>
        <w:tc>
          <w:tcPr>
            <w:tcW w:w="1385" w:type="dxa"/>
            <w:shd w:val="clear" w:color="auto" w:fill="auto"/>
          </w:tcPr>
          <w:p w14:paraId="20F903FC" w14:textId="77777777" w:rsidR="003157DB" w:rsidRPr="00467564" w:rsidRDefault="003157DB" w:rsidP="001F54DD">
            <w:pPr>
              <w:pStyle w:val="BodyText"/>
              <w:spacing w:after="0" w:line="220" w:lineRule="atLeast"/>
              <w:jc w:val="left"/>
              <w:rPr>
                <w:color w:val="000000"/>
                <w:sz w:val="20"/>
              </w:rPr>
            </w:pPr>
          </w:p>
        </w:tc>
        <w:tc>
          <w:tcPr>
            <w:tcW w:w="1385" w:type="dxa"/>
            <w:shd w:val="clear" w:color="auto" w:fill="606060"/>
          </w:tcPr>
          <w:p w14:paraId="0C1AA960" w14:textId="77777777" w:rsidR="003157DB" w:rsidRPr="00467564" w:rsidRDefault="003157DB" w:rsidP="001F54DD">
            <w:pPr>
              <w:pStyle w:val="BodyText"/>
              <w:spacing w:after="0" w:line="220" w:lineRule="atLeast"/>
              <w:jc w:val="left"/>
              <w:rPr>
                <w:color w:val="000000"/>
                <w:sz w:val="20"/>
              </w:rPr>
            </w:pPr>
          </w:p>
        </w:tc>
      </w:tr>
      <w:tr w:rsidR="003157DB" w:rsidRPr="00467564" w14:paraId="021C5FB1" w14:textId="77777777" w:rsidTr="00940765">
        <w:tc>
          <w:tcPr>
            <w:tcW w:w="4885" w:type="dxa"/>
            <w:shd w:val="clear" w:color="auto" w:fill="auto"/>
          </w:tcPr>
          <w:p w14:paraId="406777AD" w14:textId="77777777" w:rsidR="003157DB" w:rsidRPr="00467564" w:rsidRDefault="003157DB" w:rsidP="001F54DD">
            <w:pPr>
              <w:pStyle w:val="BodyText"/>
              <w:spacing w:after="0" w:line="220" w:lineRule="atLeast"/>
              <w:jc w:val="left"/>
              <w:rPr>
                <w:color w:val="000000"/>
                <w:sz w:val="20"/>
              </w:rPr>
            </w:pPr>
            <w:r w:rsidRPr="00467564">
              <w:rPr>
                <w:color w:val="000000"/>
                <w:sz w:val="20"/>
              </w:rPr>
              <w:t xml:space="preserve">STEP 7: </w:t>
            </w:r>
            <w:r w:rsidRPr="00467564">
              <w:rPr>
                <w:sz w:val="20"/>
              </w:rPr>
              <w:t xml:space="preserve">Approval by the </w:t>
            </w:r>
            <w:r w:rsidR="00A17C97" w:rsidRPr="00467564">
              <w:rPr>
                <w:sz w:val="20"/>
              </w:rPr>
              <w:t>relevant review</w:t>
            </w:r>
            <w:r w:rsidRPr="00467564">
              <w:rPr>
                <w:sz w:val="20"/>
              </w:rPr>
              <w:t xml:space="preserve"> Committees for submission to Member States for comments</w:t>
            </w:r>
          </w:p>
        </w:tc>
        <w:tc>
          <w:tcPr>
            <w:tcW w:w="1384" w:type="dxa"/>
            <w:shd w:val="clear" w:color="auto" w:fill="auto"/>
          </w:tcPr>
          <w:p w14:paraId="5C670BE0" w14:textId="544BC516" w:rsidR="003157DB" w:rsidRPr="00467564" w:rsidRDefault="004916DD" w:rsidP="001F54DD">
            <w:pPr>
              <w:pStyle w:val="BodyText"/>
              <w:spacing w:after="0" w:line="220" w:lineRule="atLeast"/>
              <w:jc w:val="left"/>
              <w:rPr>
                <w:color w:val="000000"/>
                <w:sz w:val="20"/>
              </w:rPr>
            </w:pPr>
            <w:r>
              <w:rPr>
                <w:color w:val="000000"/>
                <w:sz w:val="20"/>
              </w:rPr>
              <w:t>2Q</w:t>
            </w:r>
            <w:r w:rsidR="004F20A7">
              <w:rPr>
                <w:color w:val="000000"/>
                <w:sz w:val="20"/>
              </w:rPr>
              <w:t xml:space="preserve"> 2020</w:t>
            </w:r>
          </w:p>
        </w:tc>
        <w:tc>
          <w:tcPr>
            <w:tcW w:w="1385" w:type="dxa"/>
            <w:shd w:val="clear" w:color="auto" w:fill="auto"/>
          </w:tcPr>
          <w:p w14:paraId="783F7D05" w14:textId="77777777" w:rsidR="003157DB" w:rsidRPr="00467564" w:rsidRDefault="003157DB" w:rsidP="001F54DD">
            <w:pPr>
              <w:pStyle w:val="BodyText"/>
              <w:spacing w:after="0" w:line="220" w:lineRule="atLeast"/>
              <w:jc w:val="left"/>
              <w:rPr>
                <w:color w:val="000000"/>
                <w:sz w:val="20"/>
              </w:rPr>
            </w:pPr>
          </w:p>
        </w:tc>
        <w:tc>
          <w:tcPr>
            <w:tcW w:w="1385" w:type="dxa"/>
            <w:shd w:val="clear" w:color="auto" w:fill="606060"/>
          </w:tcPr>
          <w:p w14:paraId="36AC1131" w14:textId="77777777" w:rsidR="003157DB" w:rsidRPr="00467564" w:rsidRDefault="003157DB" w:rsidP="001F54DD">
            <w:pPr>
              <w:pStyle w:val="BodyText"/>
              <w:spacing w:after="0" w:line="220" w:lineRule="atLeast"/>
              <w:jc w:val="left"/>
              <w:rPr>
                <w:color w:val="000000"/>
                <w:sz w:val="20"/>
              </w:rPr>
            </w:pPr>
          </w:p>
        </w:tc>
      </w:tr>
      <w:tr w:rsidR="003157DB" w:rsidRPr="00467564" w14:paraId="52A0A7F5" w14:textId="77777777" w:rsidTr="00940765">
        <w:tc>
          <w:tcPr>
            <w:tcW w:w="4885" w:type="dxa"/>
            <w:shd w:val="clear" w:color="auto" w:fill="auto"/>
          </w:tcPr>
          <w:p w14:paraId="158FC971" w14:textId="77777777" w:rsidR="003157DB" w:rsidRPr="00467564" w:rsidRDefault="003157DB" w:rsidP="001F54DD">
            <w:pPr>
              <w:pStyle w:val="BodyText"/>
              <w:spacing w:after="0" w:line="220" w:lineRule="atLeast"/>
              <w:jc w:val="left"/>
              <w:rPr>
                <w:color w:val="000000"/>
                <w:sz w:val="20"/>
              </w:rPr>
            </w:pPr>
            <w:r w:rsidRPr="00467564">
              <w:rPr>
                <w:color w:val="000000"/>
                <w:sz w:val="20"/>
              </w:rPr>
              <w:t>STEP 8: Soliciting comments by Member States</w:t>
            </w:r>
          </w:p>
        </w:tc>
        <w:tc>
          <w:tcPr>
            <w:tcW w:w="1384" w:type="dxa"/>
            <w:shd w:val="clear" w:color="auto" w:fill="auto"/>
          </w:tcPr>
          <w:p w14:paraId="482FBA1C" w14:textId="5C0BDC4B" w:rsidR="003157DB" w:rsidRPr="00467564" w:rsidRDefault="004916DD" w:rsidP="00823900">
            <w:pPr>
              <w:pStyle w:val="BodyText"/>
              <w:spacing w:after="0" w:line="220" w:lineRule="atLeast"/>
              <w:jc w:val="left"/>
              <w:rPr>
                <w:color w:val="000000"/>
                <w:sz w:val="20"/>
              </w:rPr>
            </w:pPr>
            <w:r>
              <w:rPr>
                <w:color w:val="000000"/>
                <w:sz w:val="20"/>
              </w:rPr>
              <w:t>3Q</w:t>
            </w:r>
            <w:r w:rsidR="00940765">
              <w:rPr>
                <w:color w:val="000000"/>
                <w:sz w:val="20"/>
              </w:rPr>
              <w:t xml:space="preserve"> 2020</w:t>
            </w:r>
          </w:p>
        </w:tc>
        <w:tc>
          <w:tcPr>
            <w:tcW w:w="1385" w:type="dxa"/>
            <w:shd w:val="clear" w:color="auto" w:fill="auto"/>
          </w:tcPr>
          <w:p w14:paraId="6A03AEA5" w14:textId="77777777" w:rsidR="003157DB" w:rsidRPr="00467564" w:rsidRDefault="003157DB" w:rsidP="001F54DD">
            <w:pPr>
              <w:pStyle w:val="BodyText"/>
              <w:spacing w:after="0" w:line="220" w:lineRule="atLeast"/>
              <w:jc w:val="left"/>
              <w:rPr>
                <w:color w:val="000000"/>
                <w:sz w:val="20"/>
              </w:rPr>
            </w:pPr>
          </w:p>
        </w:tc>
        <w:tc>
          <w:tcPr>
            <w:tcW w:w="1385" w:type="dxa"/>
            <w:shd w:val="clear" w:color="auto" w:fill="606060"/>
          </w:tcPr>
          <w:p w14:paraId="2A4FCE0E" w14:textId="77777777" w:rsidR="003157DB" w:rsidRPr="00467564" w:rsidRDefault="003157DB" w:rsidP="001F54DD">
            <w:pPr>
              <w:pStyle w:val="BodyText"/>
              <w:spacing w:after="0" w:line="220" w:lineRule="atLeast"/>
              <w:jc w:val="left"/>
              <w:rPr>
                <w:color w:val="000000"/>
                <w:sz w:val="20"/>
              </w:rPr>
            </w:pPr>
          </w:p>
        </w:tc>
      </w:tr>
      <w:tr w:rsidR="003157DB" w:rsidRPr="00467564" w14:paraId="2C604F58" w14:textId="77777777" w:rsidTr="00940765">
        <w:tc>
          <w:tcPr>
            <w:tcW w:w="4885" w:type="dxa"/>
            <w:shd w:val="clear" w:color="auto" w:fill="auto"/>
          </w:tcPr>
          <w:p w14:paraId="785836AB" w14:textId="77777777" w:rsidR="003157DB" w:rsidRPr="00467564" w:rsidRDefault="003157DB" w:rsidP="001F54DD">
            <w:pPr>
              <w:pStyle w:val="BodyText"/>
              <w:spacing w:after="0" w:line="220" w:lineRule="atLeast"/>
              <w:jc w:val="left"/>
              <w:rPr>
                <w:color w:val="000000"/>
                <w:sz w:val="20"/>
              </w:rPr>
            </w:pPr>
            <w:r w:rsidRPr="00467564">
              <w:rPr>
                <w:color w:val="000000"/>
                <w:sz w:val="20"/>
              </w:rPr>
              <w:t>STEP 9: Addressing comments by Member States</w:t>
            </w:r>
          </w:p>
        </w:tc>
        <w:tc>
          <w:tcPr>
            <w:tcW w:w="1384" w:type="dxa"/>
            <w:shd w:val="clear" w:color="auto" w:fill="auto"/>
          </w:tcPr>
          <w:p w14:paraId="6B364810" w14:textId="09E32EB9" w:rsidR="003157DB" w:rsidRPr="00467564" w:rsidRDefault="004916DD" w:rsidP="00823900">
            <w:pPr>
              <w:pStyle w:val="BodyText"/>
              <w:spacing w:after="0" w:line="220" w:lineRule="atLeast"/>
              <w:jc w:val="left"/>
              <w:rPr>
                <w:color w:val="000000"/>
                <w:sz w:val="20"/>
              </w:rPr>
            </w:pPr>
            <w:r>
              <w:rPr>
                <w:color w:val="000000"/>
                <w:sz w:val="20"/>
              </w:rPr>
              <w:t>1Q</w:t>
            </w:r>
            <w:r w:rsidR="00940765">
              <w:rPr>
                <w:color w:val="000000"/>
                <w:sz w:val="20"/>
              </w:rPr>
              <w:t xml:space="preserve"> 2021</w:t>
            </w:r>
          </w:p>
        </w:tc>
        <w:tc>
          <w:tcPr>
            <w:tcW w:w="1385" w:type="dxa"/>
            <w:shd w:val="clear" w:color="auto" w:fill="auto"/>
          </w:tcPr>
          <w:p w14:paraId="1C777717" w14:textId="77777777" w:rsidR="003157DB" w:rsidRPr="00467564" w:rsidRDefault="003157DB" w:rsidP="001F54DD">
            <w:pPr>
              <w:pStyle w:val="BodyText"/>
              <w:spacing w:after="0" w:line="220" w:lineRule="atLeast"/>
              <w:jc w:val="left"/>
              <w:rPr>
                <w:color w:val="000000"/>
                <w:sz w:val="20"/>
              </w:rPr>
            </w:pPr>
          </w:p>
        </w:tc>
        <w:tc>
          <w:tcPr>
            <w:tcW w:w="1385" w:type="dxa"/>
            <w:shd w:val="clear" w:color="auto" w:fill="606060"/>
          </w:tcPr>
          <w:p w14:paraId="2E2068C6" w14:textId="77777777" w:rsidR="003157DB" w:rsidRPr="00467564" w:rsidRDefault="003157DB" w:rsidP="001F54DD">
            <w:pPr>
              <w:pStyle w:val="BodyText"/>
              <w:spacing w:after="0" w:line="220" w:lineRule="atLeast"/>
              <w:jc w:val="left"/>
              <w:rPr>
                <w:color w:val="000000"/>
                <w:sz w:val="20"/>
              </w:rPr>
            </w:pPr>
          </w:p>
        </w:tc>
      </w:tr>
      <w:tr w:rsidR="003157DB" w:rsidRPr="00467564" w14:paraId="7CEA1D6A" w14:textId="77777777" w:rsidTr="00940765">
        <w:tc>
          <w:tcPr>
            <w:tcW w:w="4885" w:type="dxa"/>
            <w:shd w:val="clear" w:color="auto" w:fill="auto"/>
          </w:tcPr>
          <w:p w14:paraId="05D0AD87" w14:textId="77777777" w:rsidR="003157DB" w:rsidRPr="00467564" w:rsidRDefault="003157DB" w:rsidP="001F54DD">
            <w:pPr>
              <w:pStyle w:val="BodyText"/>
              <w:spacing w:after="0" w:line="220" w:lineRule="atLeast"/>
              <w:jc w:val="left"/>
              <w:rPr>
                <w:sz w:val="20"/>
              </w:rPr>
            </w:pPr>
            <w:r w:rsidRPr="00467564">
              <w:rPr>
                <w:color w:val="000000"/>
                <w:sz w:val="20"/>
              </w:rPr>
              <w:t xml:space="preserve">STEP 10: </w:t>
            </w:r>
            <w:r w:rsidRPr="00467564">
              <w:rPr>
                <w:sz w:val="20"/>
              </w:rPr>
              <w:t>Approval of the revised draft by the Coordination Committee</w:t>
            </w:r>
          </w:p>
        </w:tc>
        <w:tc>
          <w:tcPr>
            <w:tcW w:w="1384" w:type="dxa"/>
            <w:shd w:val="clear" w:color="auto" w:fill="auto"/>
          </w:tcPr>
          <w:p w14:paraId="319DBD41" w14:textId="5328518B" w:rsidR="003157DB" w:rsidRPr="00467564" w:rsidRDefault="004916DD" w:rsidP="001F54DD">
            <w:pPr>
              <w:pStyle w:val="BodyText"/>
              <w:spacing w:after="0" w:line="220" w:lineRule="atLeast"/>
              <w:jc w:val="left"/>
              <w:rPr>
                <w:color w:val="000000"/>
                <w:sz w:val="20"/>
              </w:rPr>
            </w:pPr>
            <w:r>
              <w:rPr>
                <w:color w:val="000000"/>
                <w:sz w:val="20"/>
              </w:rPr>
              <w:t xml:space="preserve">2Q </w:t>
            </w:r>
            <w:r w:rsidR="004F20A7">
              <w:rPr>
                <w:color w:val="000000"/>
                <w:sz w:val="20"/>
              </w:rPr>
              <w:t>2021</w:t>
            </w:r>
          </w:p>
        </w:tc>
        <w:tc>
          <w:tcPr>
            <w:tcW w:w="1385" w:type="dxa"/>
            <w:shd w:val="clear" w:color="auto" w:fill="auto"/>
          </w:tcPr>
          <w:p w14:paraId="0B723CB6" w14:textId="77777777" w:rsidR="003157DB" w:rsidRPr="00467564" w:rsidRDefault="003157DB" w:rsidP="001F54DD">
            <w:pPr>
              <w:pStyle w:val="BodyText"/>
              <w:spacing w:after="0" w:line="220" w:lineRule="atLeast"/>
              <w:jc w:val="left"/>
              <w:rPr>
                <w:color w:val="000000"/>
                <w:sz w:val="20"/>
              </w:rPr>
            </w:pPr>
          </w:p>
        </w:tc>
        <w:tc>
          <w:tcPr>
            <w:tcW w:w="1385" w:type="dxa"/>
            <w:shd w:val="clear" w:color="auto" w:fill="606060"/>
          </w:tcPr>
          <w:p w14:paraId="388FBA48" w14:textId="77777777" w:rsidR="003157DB" w:rsidRPr="00467564" w:rsidRDefault="003157DB" w:rsidP="001F54DD">
            <w:pPr>
              <w:pStyle w:val="BodyText"/>
              <w:spacing w:after="0" w:line="220" w:lineRule="atLeast"/>
              <w:jc w:val="left"/>
              <w:rPr>
                <w:color w:val="000000"/>
                <w:sz w:val="20"/>
              </w:rPr>
            </w:pPr>
          </w:p>
        </w:tc>
      </w:tr>
      <w:tr w:rsidR="003157DB" w:rsidRPr="00467564" w14:paraId="37BC1D3F" w14:textId="77777777" w:rsidTr="00940765">
        <w:tc>
          <w:tcPr>
            <w:tcW w:w="4885" w:type="dxa"/>
            <w:shd w:val="clear" w:color="auto" w:fill="auto"/>
          </w:tcPr>
          <w:p w14:paraId="3C7773BA" w14:textId="77777777" w:rsidR="003157DB" w:rsidRPr="00467564" w:rsidRDefault="003157DB" w:rsidP="00E8447E">
            <w:pPr>
              <w:pStyle w:val="BodyText"/>
              <w:spacing w:after="0" w:line="220" w:lineRule="atLeast"/>
              <w:jc w:val="left"/>
              <w:rPr>
                <w:color w:val="000000"/>
                <w:sz w:val="20"/>
              </w:rPr>
            </w:pPr>
            <w:r w:rsidRPr="00467564">
              <w:rPr>
                <w:color w:val="000000"/>
                <w:sz w:val="20"/>
              </w:rPr>
              <w:t xml:space="preserve">STEP 11: </w:t>
            </w:r>
            <w:r w:rsidRPr="00467564">
              <w:rPr>
                <w:sz w:val="20"/>
              </w:rPr>
              <w:t xml:space="preserve">Approval by the </w:t>
            </w:r>
            <w:r w:rsidR="00A17C97" w:rsidRPr="00467564">
              <w:rPr>
                <w:sz w:val="20"/>
              </w:rPr>
              <w:t>relevant review</w:t>
            </w:r>
            <w:r w:rsidRPr="00467564">
              <w:rPr>
                <w:sz w:val="20"/>
              </w:rPr>
              <w:t xml:space="preserve"> Committees</w:t>
            </w:r>
          </w:p>
        </w:tc>
        <w:tc>
          <w:tcPr>
            <w:tcW w:w="1384" w:type="dxa"/>
            <w:shd w:val="clear" w:color="auto" w:fill="auto"/>
          </w:tcPr>
          <w:p w14:paraId="4D9F891A" w14:textId="6D37DC94" w:rsidR="003157DB" w:rsidRPr="00467564" w:rsidRDefault="00006DF7" w:rsidP="001F54DD">
            <w:pPr>
              <w:pStyle w:val="BodyText"/>
              <w:spacing w:after="0" w:line="220" w:lineRule="atLeast"/>
              <w:jc w:val="left"/>
              <w:rPr>
                <w:color w:val="000000"/>
                <w:sz w:val="20"/>
              </w:rPr>
            </w:pPr>
            <w:r>
              <w:rPr>
                <w:color w:val="000000"/>
                <w:sz w:val="20"/>
              </w:rPr>
              <w:t xml:space="preserve">4Q </w:t>
            </w:r>
            <w:r w:rsidR="004F20A7">
              <w:rPr>
                <w:color w:val="000000"/>
                <w:sz w:val="20"/>
              </w:rPr>
              <w:t>2021</w:t>
            </w:r>
          </w:p>
        </w:tc>
        <w:tc>
          <w:tcPr>
            <w:tcW w:w="1385" w:type="dxa"/>
            <w:tcBorders>
              <w:bottom w:val="single" w:sz="4" w:space="0" w:color="auto"/>
            </w:tcBorders>
            <w:shd w:val="clear" w:color="auto" w:fill="auto"/>
          </w:tcPr>
          <w:p w14:paraId="7C5B7ED0" w14:textId="77777777" w:rsidR="003157DB" w:rsidRPr="00467564" w:rsidRDefault="003157DB" w:rsidP="001F54DD">
            <w:pPr>
              <w:pStyle w:val="BodyText"/>
              <w:spacing w:after="0" w:line="220" w:lineRule="atLeast"/>
              <w:jc w:val="left"/>
              <w:rPr>
                <w:color w:val="000000"/>
                <w:sz w:val="20"/>
              </w:rPr>
            </w:pPr>
          </w:p>
        </w:tc>
        <w:tc>
          <w:tcPr>
            <w:tcW w:w="1385" w:type="dxa"/>
            <w:shd w:val="clear" w:color="auto" w:fill="606060"/>
          </w:tcPr>
          <w:p w14:paraId="5D1CDFA1" w14:textId="77777777" w:rsidR="003157DB" w:rsidRPr="00467564" w:rsidRDefault="003157DB" w:rsidP="001F54DD">
            <w:pPr>
              <w:pStyle w:val="BodyText"/>
              <w:spacing w:after="0" w:line="220" w:lineRule="atLeast"/>
              <w:jc w:val="left"/>
              <w:rPr>
                <w:color w:val="000000"/>
                <w:sz w:val="20"/>
              </w:rPr>
            </w:pPr>
          </w:p>
        </w:tc>
      </w:tr>
      <w:tr w:rsidR="003157DB" w:rsidRPr="00467564" w14:paraId="01B281EB" w14:textId="77777777" w:rsidTr="00940765">
        <w:tc>
          <w:tcPr>
            <w:tcW w:w="4885" w:type="dxa"/>
            <w:shd w:val="clear" w:color="auto" w:fill="auto"/>
          </w:tcPr>
          <w:p w14:paraId="46BADA18" w14:textId="77777777" w:rsidR="003157DB" w:rsidRPr="00467564" w:rsidRDefault="003157DB" w:rsidP="001F54DD">
            <w:pPr>
              <w:pStyle w:val="BodyText"/>
              <w:spacing w:after="0" w:line="220" w:lineRule="atLeast"/>
              <w:jc w:val="left"/>
              <w:rPr>
                <w:color w:val="000000"/>
                <w:sz w:val="20"/>
              </w:rPr>
            </w:pPr>
            <w:r w:rsidRPr="00467564">
              <w:rPr>
                <w:color w:val="000000"/>
                <w:sz w:val="20"/>
              </w:rPr>
              <w:t xml:space="preserve">STEP 12: </w:t>
            </w:r>
            <w:r w:rsidRPr="00467564">
              <w:rPr>
                <w:sz w:val="20"/>
              </w:rPr>
              <w:t>Endorsement by the CSS</w:t>
            </w:r>
          </w:p>
        </w:tc>
        <w:tc>
          <w:tcPr>
            <w:tcW w:w="1384" w:type="dxa"/>
            <w:shd w:val="clear" w:color="auto" w:fill="auto"/>
          </w:tcPr>
          <w:p w14:paraId="094DAD41" w14:textId="1C62C8EF" w:rsidR="003157DB" w:rsidRPr="00467564" w:rsidRDefault="00006DF7" w:rsidP="00823900">
            <w:pPr>
              <w:pStyle w:val="BodyText"/>
              <w:spacing w:after="0" w:line="220" w:lineRule="atLeast"/>
              <w:jc w:val="left"/>
              <w:rPr>
                <w:color w:val="000000"/>
                <w:sz w:val="20"/>
              </w:rPr>
            </w:pPr>
            <w:r>
              <w:rPr>
                <w:color w:val="000000"/>
                <w:sz w:val="20"/>
              </w:rPr>
              <w:t>2Q</w:t>
            </w:r>
            <w:r w:rsidR="004F20A7">
              <w:rPr>
                <w:color w:val="000000"/>
                <w:sz w:val="20"/>
              </w:rPr>
              <w:t xml:space="preserve"> 2022</w:t>
            </w:r>
          </w:p>
        </w:tc>
        <w:tc>
          <w:tcPr>
            <w:tcW w:w="1385" w:type="dxa"/>
            <w:shd w:val="clear" w:color="auto" w:fill="606060"/>
          </w:tcPr>
          <w:p w14:paraId="03FC44A0" w14:textId="77777777" w:rsidR="003157DB" w:rsidRPr="00467564" w:rsidRDefault="003157DB" w:rsidP="001F54DD">
            <w:pPr>
              <w:pStyle w:val="BodyText"/>
              <w:spacing w:after="0" w:line="220" w:lineRule="atLeast"/>
              <w:jc w:val="left"/>
              <w:rPr>
                <w:color w:val="000000"/>
                <w:sz w:val="20"/>
              </w:rPr>
            </w:pPr>
          </w:p>
        </w:tc>
        <w:tc>
          <w:tcPr>
            <w:tcW w:w="1385" w:type="dxa"/>
            <w:shd w:val="clear" w:color="auto" w:fill="606060"/>
          </w:tcPr>
          <w:p w14:paraId="7FE14F77" w14:textId="77777777" w:rsidR="003157DB" w:rsidRPr="00467564" w:rsidRDefault="003157DB" w:rsidP="001F54DD">
            <w:pPr>
              <w:pStyle w:val="BodyText"/>
              <w:spacing w:after="0" w:line="220" w:lineRule="atLeast"/>
              <w:jc w:val="left"/>
              <w:rPr>
                <w:color w:val="000000"/>
                <w:sz w:val="20"/>
              </w:rPr>
            </w:pPr>
          </w:p>
        </w:tc>
      </w:tr>
      <w:tr w:rsidR="003157DB" w:rsidRPr="00467564" w14:paraId="19F80758" w14:textId="77777777" w:rsidTr="00940765">
        <w:tc>
          <w:tcPr>
            <w:tcW w:w="4885" w:type="dxa"/>
            <w:shd w:val="clear" w:color="auto" w:fill="auto"/>
          </w:tcPr>
          <w:p w14:paraId="382EC740" w14:textId="77777777" w:rsidR="003157DB" w:rsidRPr="00467564" w:rsidRDefault="003157DB" w:rsidP="001F54DD">
            <w:pPr>
              <w:pStyle w:val="BodyText"/>
              <w:spacing w:after="0" w:line="220" w:lineRule="atLeast"/>
              <w:jc w:val="left"/>
              <w:rPr>
                <w:color w:val="000000"/>
                <w:sz w:val="20"/>
              </w:rPr>
            </w:pPr>
            <w:r w:rsidRPr="00467564">
              <w:rPr>
                <w:color w:val="000000"/>
                <w:sz w:val="20"/>
              </w:rPr>
              <w:t>STEP 13: Establishment by the Publications Committee and/or Board of Governors (for SF and SR only))</w:t>
            </w:r>
          </w:p>
        </w:tc>
        <w:tc>
          <w:tcPr>
            <w:tcW w:w="1384" w:type="dxa"/>
            <w:shd w:val="clear" w:color="auto" w:fill="auto"/>
          </w:tcPr>
          <w:p w14:paraId="759EA28A" w14:textId="6097391C" w:rsidR="003157DB" w:rsidRPr="00467564" w:rsidRDefault="00F66FB7" w:rsidP="001F54DD">
            <w:pPr>
              <w:pStyle w:val="BodyText"/>
              <w:spacing w:after="0" w:line="220" w:lineRule="atLeast"/>
              <w:jc w:val="left"/>
              <w:rPr>
                <w:color w:val="000000"/>
                <w:sz w:val="20"/>
              </w:rPr>
            </w:pPr>
            <w:r>
              <w:rPr>
                <w:color w:val="000000"/>
                <w:sz w:val="20"/>
              </w:rPr>
              <w:t>3Q</w:t>
            </w:r>
            <w:r w:rsidR="004F20A7">
              <w:rPr>
                <w:color w:val="000000"/>
                <w:sz w:val="20"/>
              </w:rPr>
              <w:t xml:space="preserve"> 2022</w:t>
            </w:r>
          </w:p>
        </w:tc>
        <w:tc>
          <w:tcPr>
            <w:tcW w:w="1385" w:type="dxa"/>
            <w:shd w:val="clear" w:color="auto" w:fill="auto"/>
          </w:tcPr>
          <w:p w14:paraId="61CE7321" w14:textId="77777777" w:rsidR="003157DB" w:rsidRPr="00467564" w:rsidRDefault="003157DB" w:rsidP="001F54DD">
            <w:pPr>
              <w:pStyle w:val="BodyText"/>
              <w:spacing w:after="0" w:line="220" w:lineRule="atLeast"/>
              <w:jc w:val="left"/>
              <w:rPr>
                <w:color w:val="000000"/>
                <w:sz w:val="20"/>
              </w:rPr>
            </w:pPr>
          </w:p>
        </w:tc>
        <w:tc>
          <w:tcPr>
            <w:tcW w:w="1385" w:type="dxa"/>
            <w:shd w:val="clear" w:color="auto" w:fill="auto"/>
          </w:tcPr>
          <w:p w14:paraId="4823A183" w14:textId="77777777" w:rsidR="003157DB" w:rsidRPr="00467564" w:rsidRDefault="003157DB" w:rsidP="001F54DD">
            <w:pPr>
              <w:pStyle w:val="BodyText"/>
              <w:spacing w:after="0" w:line="220" w:lineRule="atLeast"/>
              <w:jc w:val="left"/>
              <w:rPr>
                <w:color w:val="000000"/>
                <w:sz w:val="20"/>
              </w:rPr>
            </w:pPr>
          </w:p>
        </w:tc>
      </w:tr>
      <w:tr w:rsidR="003157DB" w:rsidRPr="00467564" w14:paraId="129FBD3A" w14:textId="77777777" w:rsidTr="00940765">
        <w:tc>
          <w:tcPr>
            <w:tcW w:w="4885" w:type="dxa"/>
            <w:shd w:val="clear" w:color="auto" w:fill="auto"/>
          </w:tcPr>
          <w:p w14:paraId="5B3E6BE5" w14:textId="77777777" w:rsidR="003157DB" w:rsidRPr="00467564" w:rsidRDefault="003157DB" w:rsidP="001F54DD">
            <w:pPr>
              <w:pStyle w:val="BodyText"/>
              <w:spacing w:after="0" w:line="220" w:lineRule="atLeast"/>
              <w:jc w:val="left"/>
              <w:rPr>
                <w:color w:val="000000"/>
                <w:sz w:val="20"/>
              </w:rPr>
            </w:pPr>
            <w:r w:rsidRPr="00467564">
              <w:rPr>
                <w:color w:val="000000"/>
                <w:sz w:val="20"/>
              </w:rPr>
              <w:t xml:space="preserve">STEP 14: </w:t>
            </w:r>
            <w:r w:rsidRPr="00467564">
              <w:rPr>
                <w:sz w:val="20"/>
              </w:rPr>
              <w:t>Target publication date</w:t>
            </w:r>
          </w:p>
        </w:tc>
        <w:tc>
          <w:tcPr>
            <w:tcW w:w="1384" w:type="dxa"/>
            <w:shd w:val="clear" w:color="auto" w:fill="auto"/>
          </w:tcPr>
          <w:p w14:paraId="04BE217D" w14:textId="79151BA6" w:rsidR="003157DB" w:rsidRPr="00467564" w:rsidRDefault="004F20A7" w:rsidP="001F54DD">
            <w:pPr>
              <w:pStyle w:val="BodyText"/>
              <w:spacing w:after="0" w:line="220" w:lineRule="atLeast"/>
              <w:jc w:val="left"/>
              <w:rPr>
                <w:color w:val="000000"/>
                <w:sz w:val="20"/>
              </w:rPr>
            </w:pPr>
            <w:r>
              <w:rPr>
                <w:color w:val="000000"/>
                <w:sz w:val="20"/>
              </w:rPr>
              <w:t>4Q 2022</w:t>
            </w:r>
          </w:p>
        </w:tc>
        <w:tc>
          <w:tcPr>
            <w:tcW w:w="1385" w:type="dxa"/>
            <w:shd w:val="clear" w:color="auto" w:fill="auto"/>
          </w:tcPr>
          <w:p w14:paraId="0D175E1A" w14:textId="77777777" w:rsidR="003157DB" w:rsidRPr="00467564" w:rsidRDefault="003157DB" w:rsidP="001F54DD">
            <w:pPr>
              <w:pStyle w:val="BodyText"/>
              <w:spacing w:after="0" w:line="220" w:lineRule="atLeast"/>
              <w:jc w:val="left"/>
              <w:rPr>
                <w:color w:val="000000"/>
                <w:sz w:val="20"/>
              </w:rPr>
            </w:pPr>
          </w:p>
        </w:tc>
        <w:tc>
          <w:tcPr>
            <w:tcW w:w="1385" w:type="dxa"/>
            <w:shd w:val="clear" w:color="auto" w:fill="auto"/>
          </w:tcPr>
          <w:p w14:paraId="5481CCEF" w14:textId="77777777" w:rsidR="003157DB" w:rsidRPr="00467564" w:rsidRDefault="003157DB" w:rsidP="001F54DD">
            <w:pPr>
              <w:pStyle w:val="BodyText"/>
              <w:spacing w:after="0" w:line="220" w:lineRule="atLeast"/>
              <w:jc w:val="left"/>
              <w:rPr>
                <w:color w:val="000000"/>
                <w:sz w:val="20"/>
              </w:rPr>
            </w:pPr>
          </w:p>
        </w:tc>
      </w:tr>
    </w:tbl>
    <w:p w14:paraId="472A8915" w14:textId="77777777" w:rsidR="004B2B15" w:rsidRPr="004B2B15" w:rsidRDefault="004B2B15" w:rsidP="004B2B15">
      <w:pPr>
        <w:pStyle w:val="BodyText"/>
        <w:spacing w:before="120" w:after="0" w:line="220" w:lineRule="atLeast"/>
        <w:ind w:left="567"/>
        <w:rPr>
          <w:i/>
        </w:rPr>
      </w:pPr>
      <w:r w:rsidRPr="004B2B15">
        <w:rPr>
          <w:i/>
        </w:rPr>
        <w:t>• Column A for Safety Fundamentals, Safety Requirements and Safety Guides.</w:t>
      </w:r>
    </w:p>
    <w:p w14:paraId="45D9C19F" w14:textId="77777777" w:rsidR="004B2B15" w:rsidRPr="004B2B15" w:rsidRDefault="004B2B15" w:rsidP="004B2B15">
      <w:pPr>
        <w:pStyle w:val="BodyText"/>
        <w:spacing w:after="0" w:line="220" w:lineRule="atLeast"/>
        <w:ind w:left="567"/>
        <w:rPr>
          <w:i/>
        </w:rPr>
      </w:pPr>
      <w:r w:rsidRPr="004B2B15">
        <w:rPr>
          <w:i/>
        </w:rPr>
        <w:t>• Column B for Nuclear Security Series publications</w:t>
      </w:r>
    </w:p>
    <w:p w14:paraId="0BFF9232" w14:textId="4DE5C62E" w:rsidR="00C1760B" w:rsidRDefault="004B2B15" w:rsidP="004B2B15">
      <w:pPr>
        <w:pStyle w:val="BodyText"/>
        <w:spacing w:after="0" w:line="220" w:lineRule="atLeast"/>
        <w:ind w:left="567"/>
        <w:jc w:val="left"/>
        <w:rPr>
          <w:i/>
        </w:rPr>
      </w:pPr>
      <w:r w:rsidRPr="004B2B15">
        <w:rPr>
          <w:i/>
        </w:rPr>
        <w:t>• Column C for TECDOCs, safety reports and other publications</w:t>
      </w:r>
    </w:p>
    <w:p w14:paraId="4A60CA03" w14:textId="62D87802" w:rsidR="00FA319C" w:rsidRDefault="00916868" w:rsidP="00C33763">
      <w:pPr>
        <w:pStyle w:val="BodyText"/>
        <w:numPr>
          <w:ilvl w:val="0"/>
          <w:numId w:val="19"/>
        </w:numPr>
        <w:spacing w:before="240"/>
        <w:ind w:left="357" w:hanging="357"/>
        <w:rPr>
          <w:b/>
          <w:bCs/>
        </w:rPr>
      </w:pPr>
      <w:r w:rsidRPr="00467564">
        <w:rPr>
          <w:b/>
          <w:bCs/>
        </w:rPr>
        <w:t>RESOURCES</w:t>
      </w:r>
    </w:p>
    <w:p w14:paraId="68F2FB62" w14:textId="7BCC10C9" w:rsidR="00916868" w:rsidRDefault="004B2D36" w:rsidP="00940765">
      <w:pPr>
        <w:pStyle w:val="BodyText"/>
        <w:ind w:left="360"/>
        <w:rPr>
          <w:sz w:val="20"/>
        </w:rPr>
      </w:pPr>
      <w:r w:rsidRPr="004B2D36">
        <w:rPr>
          <w:sz w:val="20"/>
        </w:rPr>
        <w:t>20 staff-weeks of professional staff plus 80 thousand Euros for a Technical Meeting and consultancy meetings.</w:t>
      </w:r>
    </w:p>
    <w:sectPr w:rsidR="00916868" w:rsidSect="00E7536E">
      <w:headerReference w:type="even" r:id="rId11"/>
      <w:headerReference w:type="default" r:id="rId12"/>
      <w:footerReference w:type="even" r:id="rId13"/>
      <w:footerReference w:type="default" r:id="rId14"/>
      <w:headerReference w:type="first" r:id="rId15"/>
      <w:footerReference w:type="first" r:id="rId16"/>
      <w:pgSz w:w="11907" w:h="16840" w:code="9"/>
      <w:pgMar w:top="1531" w:right="1418" w:bottom="2127" w:left="1418" w:header="539" w:footer="96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DA6F5" w14:textId="77777777" w:rsidR="004037F0" w:rsidRDefault="004037F0">
      <w:r>
        <w:separator/>
      </w:r>
    </w:p>
  </w:endnote>
  <w:endnote w:type="continuationSeparator" w:id="0">
    <w:p w14:paraId="33C2821D" w14:textId="77777777" w:rsidR="004037F0" w:rsidRDefault="004037F0">
      <w:r>
        <w:continuationSeparator/>
      </w:r>
    </w:p>
  </w:endnote>
  <w:endnote w:type="continuationNotice" w:id="1">
    <w:p w14:paraId="36A9D0E1" w14:textId="77777777" w:rsidR="004037F0" w:rsidRDefault="004037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E84C4" w14:textId="36014F23" w:rsidR="00154551" w:rsidRDefault="00154551">
    <w:pPr>
      <w:pStyle w:val="zyxClassification1"/>
    </w:pPr>
    <w:r>
      <w:fldChar w:fldCharType="begin"/>
    </w:r>
    <w:r>
      <w:instrText xml:space="preserve"> DOCPROPERTY "IaeaClassification"  \* MERGEFORMAT </w:instrText>
    </w:r>
    <w:r>
      <w:fldChar w:fldCharType="end"/>
    </w:r>
  </w:p>
  <w:p w14:paraId="6A681CC8" w14:textId="6EBEA258" w:rsidR="00154551" w:rsidRDefault="00154551">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2088285"/>
      <w:docPartObj>
        <w:docPartGallery w:val="Page Numbers (Bottom of Page)"/>
        <w:docPartUnique/>
      </w:docPartObj>
    </w:sdtPr>
    <w:sdtEndPr>
      <w:rPr>
        <w:noProof/>
      </w:rPr>
    </w:sdtEndPr>
    <w:sdtContent>
      <w:p w14:paraId="397A48F8" w14:textId="73C9595D" w:rsidR="00154551" w:rsidRDefault="00154551">
        <w:pPr>
          <w:pStyle w:val="Footer"/>
          <w:jc w:val="right"/>
        </w:pPr>
        <w:r>
          <w:fldChar w:fldCharType="begin"/>
        </w:r>
        <w:r>
          <w:instrText xml:space="preserve"> PAGE   \* MERGEFORMAT </w:instrText>
        </w:r>
        <w:r>
          <w:fldChar w:fldCharType="separate"/>
        </w:r>
        <w:r w:rsidR="00537926">
          <w:rPr>
            <w:noProof/>
          </w:rPr>
          <w:t>5</w:t>
        </w:r>
        <w:r>
          <w:rPr>
            <w:noProof/>
          </w:rPr>
          <w:fldChar w:fldCharType="end"/>
        </w:r>
      </w:p>
    </w:sdtContent>
  </w:sdt>
  <w:p w14:paraId="25C7B8D1" w14:textId="2ABD412E" w:rsidR="00154551" w:rsidRDefault="00154551">
    <w:pPr>
      <w:pStyle w:val="zyxClassification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154551" w14:paraId="44CCDF8D" w14:textId="77777777">
      <w:trPr>
        <w:cantSplit/>
      </w:trPr>
      <w:tc>
        <w:tcPr>
          <w:tcW w:w="4644" w:type="dxa"/>
        </w:tcPr>
        <w:p w14:paraId="7FE6FAF0" w14:textId="71CFD6EB" w:rsidR="00154551" w:rsidRDefault="00154551" w:rsidP="00FA319C">
          <w:pPr>
            <w:pStyle w:val="zyxSensitivity"/>
            <w:framePr w:wrap="auto" w:vAnchor="margin" w:hAnchor="text" w:xAlign="left" w:yAlign="inline"/>
            <w:suppressOverlap w:val="0"/>
          </w:pPr>
        </w:p>
      </w:tc>
      <w:bookmarkStart w:id="3" w:name="DOC_bkmClassification2"/>
      <w:tc>
        <w:tcPr>
          <w:tcW w:w="5670" w:type="dxa"/>
          <w:tcMar>
            <w:right w:w="249" w:type="dxa"/>
          </w:tcMar>
        </w:tcPr>
        <w:p w14:paraId="5B35C86A" w14:textId="625AB5A2" w:rsidR="00154551" w:rsidRDefault="00154551">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3"/>
        <w:p w14:paraId="395674D5" w14:textId="3B8A87ED" w:rsidR="00154551" w:rsidRDefault="00154551">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p w14:paraId="02A90BB4" w14:textId="77777777" w:rsidR="00154551" w:rsidRDefault="00154551">
    <w:bookmarkStart w:id="4" w:name="DOC_bkmFileName"/>
    <w:r>
      <w:rPr>
        <w:sz w:val="16"/>
      </w:rPr>
      <w:t>NS-SPESS F DPP-V.10- 6 July 2015</w:t>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93AF7" w14:textId="77777777" w:rsidR="004037F0" w:rsidRDefault="004037F0">
      <w:r>
        <w:t>___________________________________________________________________________</w:t>
      </w:r>
    </w:p>
  </w:footnote>
  <w:footnote w:type="continuationSeparator" w:id="0">
    <w:p w14:paraId="551D423C" w14:textId="77777777" w:rsidR="004037F0" w:rsidRDefault="004037F0">
      <w:r>
        <w:t>___________________________________________________________________________</w:t>
      </w:r>
    </w:p>
  </w:footnote>
  <w:footnote w:type="continuationNotice" w:id="1">
    <w:p w14:paraId="5D325A8E" w14:textId="77777777" w:rsidR="004037F0" w:rsidRDefault="004037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9126499"/>
      <w:docPartObj>
        <w:docPartGallery w:val="Page Numbers (Top of Page)"/>
        <w:docPartUnique/>
      </w:docPartObj>
    </w:sdtPr>
    <w:sdtEndPr>
      <w:rPr>
        <w:noProof/>
      </w:rPr>
    </w:sdtEndPr>
    <w:sdtContent>
      <w:p w14:paraId="4CF8E6B5" w14:textId="69C0158D" w:rsidR="00154551" w:rsidRDefault="00154551">
        <w:pPr>
          <w:pStyle w:val="Header"/>
        </w:pPr>
        <w:r>
          <w:fldChar w:fldCharType="begin"/>
        </w:r>
        <w:r>
          <w:instrText xml:space="preserve"> PAGE   \* MERGEFORMAT </w:instrText>
        </w:r>
        <w:r>
          <w:fldChar w:fldCharType="separate"/>
        </w:r>
        <w:r w:rsidR="00537926">
          <w:rPr>
            <w:noProof/>
          </w:rPr>
          <w:t>6</w:t>
        </w:r>
        <w:r>
          <w:rPr>
            <w:noProof/>
          </w:rPr>
          <w:fldChar w:fldCharType="end"/>
        </w:r>
      </w:p>
    </w:sdtContent>
  </w:sdt>
  <w:p w14:paraId="18BEA28A" w14:textId="77F6F54B" w:rsidR="00154551" w:rsidRDefault="00154551">
    <w:pPr>
      <w:pStyle w:val="zyxClassification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3949154"/>
      <w:docPartObj>
        <w:docPartGallery w:val="Page Numbers (Top of Page)"/>
        <w:docPartUnique/>
      </w:docPartObj>
    </w:sdtPr>
    <w:sdtEndPr>
      <w:rPr>
        <w:noProof/>
      </w:rPr>
    </w:sdtEndPr>
    <w:sdtContent>
      <w:p w14:paraId="4B31D457" w14:textId="06CB985D" w:rsidR="00154551" w:rsidRDefault="00154551">
        <w:pPr>
          <w:pStyle w:val="Header"/>
        </w:pPr>
        <w:r>
          <w:fldChar w:fldCharType="begin"/>
        </w:r>
        <w:r>
          <w:instrText xml:space="preserve"> PAGE   \* MERGEFORMAT </w:instrText>
        </w:r>
        <w:r>
          <w:fldChar w:fldCharType="separate"/>
        </w:r>
        <w:r w:rsidR="00537926">
          <w:rPr>
            <w:noProof/>
          </w:rPr>
          <w:t>5</w:t>
        </w:r>
        <w:r>
          <w:rPr>
            <w:noProof/>
          </w:rPr>
          <w:fldChar w:fldCharType="end"/>
        </w:r>
      </w:p>
    </w:sdtContent>
  </w:sdt>
  <w:p w14:paraId="6DD81821" w14:textId="77777777" w:rsidR="00154551" w:rsidRDefault="00154551">
    <w:pPr>
      <w:jc w:val="right"/>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2937281"/>
      <w:docPartObj>
        <w:docPartGallery w:val="Page Numbers (Top of Page)"/>
        <w:docPartUnique/>
      </w:docPartObj>
    </w:sdtPr>
    <w:sdtEndPr>
      <w:rPr>
        <w:noProof/>
      </w:rPr>
    </w:sdtEndPr>
    <w:sdtContent>
      <w:p w14:paraId="3A1CD98C" w14:textId="1B1FAF3A" w:rsidR="00154551" w:rsidRDefault="00154551">
        <w:pPr>
          <w:pStyle w:val="Header"/>
        </w:pPr>
        <w:r>
          <w:fldChar w:fldCharType="begin"/>
        </w:r>
        <w:r>
          <w:instrText xml:space="preserve"> PAGE   \* MERGEFORMAT </w:instrText>
        </w:r>
        <w:r>
          <w:fldChar w:fldCharType="separate"/>
        </w:r>
        <w:r w:rsidR="00537926">
          <w:rPr>
            <w:noProof/>
          </w:rPr>
          <w:t>1</w:t>
        </w:r>
        <w:r>
          <w:rPr>
            <w:noProof/>
          </w:rPr>
          <w:fldChar w:fldCharType="end"/>
        </w:r>
      </w:p>
    </w:sdtContent>
  </w:sdt>
  <w:p w14:paraId="4C20299E" w14:textId="46AE84C1" w:rsidR="00154551" w:rsidRDefault="001545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5A63794"/>
    <w:multiLevelType w:val="hybridMultilevel"/>
    <w:tmpl w:val="D71A72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CC7ACA"/>
    <w:multiLevelType w:val="hybridMultilevel"/>
    <w:tmpl w:val="CA9A2F0E"/>
    <w:lvl w:ilvl="0" w:tplc="8F368BEA">
      <w:start w:val="1"/>
      <w:numFmt w:val="decimal"/>
      <w:lvlText w:val="5.%1."/>
      <w:lvlJc w:val="left"/>
      <w:pPr>
        <w:ind w:left="360" w:hanging="360"/>
      </w:pPr>
      <w:rPr>
        <w:rFonts w:cs="Times New Roman" w:hint="default"/>
        <w:bCs w:val="0"/>
        <w:i w:val="0"/>
        <w:iCs w:val="0"/>
        <w: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15DC4774"/>
    <w:multiLevelType w:val="hybridMultilevel"/>
    <w:tmpl w:val="BDFAB988"/>
    <w:lvl w:ilvl="0" w:tplc="08090001">
      <w:start w:val="1"/>
      <w:numFmt w:val="bullet"/>
      <w:lvlText w:val=""/>
      <w:lvlJc w:val="left"/>
      <w:pPr>
        <w:ind w:left="84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3B1B58"/>
    <w:multiLevelType w:val="hybridMultilevel"/>
    <w:tmpl w:val="4488611C"/>
    <w:lvl w:ilvl="0" w:tplc="2544227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6B1CFF"/>
    <w:multiLevelType w:val="hybridMultilevel"/>
    <w:tmpl w:val="9A182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5B03E4"/>
    <w:multiLevelType w:val="hybridMultilevel"/>
    <w:tmpl w:val="A03A4E82"/>
    <w:lvl w:ilvl="0" w:tplc="2544227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DB3EBD"/>
    <w:multiLevelType w:val="hybridMultilevel"/>
    <w:tmpl w:val="0E960574"/>
    <w:lvl w:ilvl="0" w:tplc="04050001">
      <w:start w:val="1"/>
      <w:numFmt w:val="bullet"/>
      <w:lvlText w:val=""/>
      <w:lvlJc w:val="left"/>
      <w:pPr>
        <w:ind w:left="756" w:hanging="360"/>
      </w:pPr>
      <w:rPr>
        <w:rFonts w:ascii="Symbol" w:hAnsi="Symbol" w:hint="default"/>
      </w:rPr>
    </w:lvl>
    <w:lvl w:ilvl="1" w:tplc="04050003" w:tentative="1">
      <w:start w:val="1"/>
      <w:numFmt w:val="bullet"/>
      <w:lvlText w:val="o"/>
      <w:lvlJc w:val="left"/>
      <w:pPr>
        <w:ind w:left="1476" w:hanging="360"/>
      </w:pPr>
      <w:rPr>
        <w:rFonts w:ascii="Courier New" w:hAnsi="Courier New" w:cs="Courier New" w:hint="default"/>
      </w:rPr>
    </w:lvl>
    <w:lvl w:ilvl="2" w:tplc="04050005" w:tentative="1">
      <w:start w:val="1"/>
      <w:numFmt w:val="bullet"/>
      <w:lvlText w:val=""/>
      <w:lvlJc w:val="left"/>
      <w:pPr>
        <w:ind w:left="2196" w:hanging="360"/>
      </w:pPr>
      <w:rPr>
        <w:rFonts w:ascii="Wingdings" w:hAnsi="Wingdings" w:hint="default"/>
      </w:rPr>
    </w:lvl>
    <w:lvl w:ilvl="3" w:tplc="04050001" w:tentative="1">
      <w:start w:val="1"/>
      <w:numFmt w:val="bullet"/>
      <w:lvlText w:val=""/>
      <w:lvlJc w:val="left"/>
      <w:pPr>
        <w:ind w:left="2916" w:hanging="360"/>
      </w:pPr>
      <w:rPr>
        <w:rFonts w:ascii="Symbol" w:hAnsi="Symbol" w:hint="default"/>
      </w:rPr>
    </w:lvl>
    <w:lvl w:ilvl="4" w:tplc="04050003" w:tentative="1">
      <w:start w:val="1"/>
      <w:numFmt w:val="bullet"/>
      <w:lvlText w:val="o"/>
      <w:lvlJc w:val="left"/>
      <w:pPr>
        <w:ind w:left="3636" w:hanging="360"/>
      </w:pPr>
      <w:rPr>
        <w:rFonts w:ascii="Courier New" w:hAnsi="Courier New" w:cs="Courier New" w:hint="default"/>
      </w:rPr>
    </w:lvl>
    <w:lvl w:ilvl="5" w:tplc="04050005" w:tentative="1">
      <w:start w:val="1"/>
      <w:numFmt w:val="bullet"/>
      <w:lvlText w:val=""/>
      <w:lvlJc w:val="left"/>
      <w:pPr>
        <w:ind w:left="4356" w:hanging="360"/>
      </w:pPr>
      <w:rPr>
        <w:rFonts w:ascii="Wingdings" w:hAnsi="Wingdings" w:hint="default"/>
      </w:rPr>
    </w:lvl>
    <w:lvl w:ilvl="6" w:tplc="04050001" w:tentative="1">
      <w:start w:val="1"/>
      <w:numFmt w:val="bullet"/>
      <w:lvlText w:val=""/>
      <w:lvlJc w:val="left"/>
      <w:pPr>
        <w:ind w:left="5076" w:hanging="360"/>
      </w:pPr>
      <w:rPr>
        <w:rFonts w:ascii="Symbol" w:hAnsi="Symbol" w:hint="default"/>
      </w:rPr>
    </w:lvl>
    <w:lvl w:ilvl="7" w:tplc="04050003" w:tentative="1">
      <w:start w:val="1"/>
      <w:numFmt w:val="bullet"/>
      <w:lvlText w:val="o"/>
      <w:lvlJc w:val="left"/>
      <w:pPr>
        <w:ind w:left="5796" w:hanging="360"/>
      </w:pPr>
      <w:rPr>
        <w:rFonts w:ascii="Courier New" w:hAnsi="Courier New" w:cs="Courier New" w:hint="default"/>
      </w:rPr>
    </w:lvl>
    <w:lvl w:ilvl="8" w:tplc="04050005" w:tentative="1">
      <w:start w:val="1"/>
      <w:numFmt w:val="bullet"/>
      <w:lvlText w:val=""/>
      <w:lvlJc w:val="left"/>
      <w:pPr>
        <w:ind w:left="6516" w:hanging="360"/>
      </w:pPr>
      <w:rPr>
        <w:rFonts w:ascii="Wingdings" w:hAnsi="Wingdings" w:hint="default"/>
      </w:rPr>
    </w:lvl>
  </w:abstractNum>
  <w:abstractNum w:abstractNumId="9" w15:restartNumberingAfterBreak="0">
    <w:nsid w:val="2A4B3E76"/>
    <w:multiLevelType w:val="hybridMultilevel"/>
    <w:tmpl w:val="E872E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11" w15:restartNumberingAfterBreak="0">
    <w:nsid w:val="33F57774"/>
    <w:multiLevelType w:val="hybridMultilevel"/>
    <w:tmpl w:val="898669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CFD7655"/>
    <w:multiLevelType w:val="hybridMultilevel"/>
    <w:tmpl w:val="5CDCC324"/>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3" w15:restartNumberingAfterBreak="0">
    <w:nsid w:val="3FDA5251"/>
    <w:multiLevelType w:val="hybridMultilevel"/>
    <w:tmpl w:val="67826CF4"/>
    <w:lvl w:ilvl="0" w:tplc="2544227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EE2183"/>
    <w:multiLevelType w:val="hybridMultilevel"/>
    <w:tmpl w:val="B66E5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E6C0E0"/>
    <w:multiLevelType w:val="hybridMultilevel"/>
    <w:tmpl w:val="B8F92B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D92854C"/>
    <w:multiLevelType w:val="hybridMultilevel"/>
    <w:tmpl w:val="DF859C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09775B6"/>
    <w:multiLevelType w:val="hybridMultilevel"/>
    <w:tmpl w:val="9E7ED4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9" w15:restartNumberingAfterBreak="0">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CB4460"/>
    <w:multiLevelType w:val="hybridMultilevel"/>
    <w:tmpl w:val="B686DA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427424"/>
    <w:multiLevelType w:val="hybridMultilevel"/>
    <w:tmpl w:val="CAA6D8D2"/>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51E727D"/>
    <w:multiLevelType w:val="hybridMultilevel"/>
    <w:tmpl w:val="C14C0872"/>
    <w:lvl w:ilvl="0" w:tplc="0809000F">
      <w:start w:val="1"/>
      <w:numFmt w:val="decimal"/>
      <w:lvlText w:val="%1."/>
      <w:lvlJc w:val="left"/>
      <w:pPr>
        <w:ind w:left="8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2428C8"/>
    <w:multiLevelType w:val="hybridMultilevel"/>
    <w:tmpl w:val="76E012E2"/>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24" w15:restartNumberingAfterBreak="0">
    <w:nsid w:val="6DB342F0"/>
    <w:multiLevelType w:val="hybridMultilevel"/>
    <w:tmpl w:val="836EA86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26" w15:restartNumberingAfterBreak="0">
    <w:nsid w:val="70C16B89"/>
    <w:multiLevelType w:val="hybridMultilevel"/>
    <w:tmpl w:val="54001AD4"/>
    <w:lvl w:ilvl="0" w:tplc="2544227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AF0B36"/>
    <w:multiLevelType w:val="hybridMultilevel"/>
    <w:tmpl w:val="901864A4"/>
    <w:lvl w:ilvl="0" w:tplc="54686C5E">
      <w:start w:val="33"/>
      <w:numFmt w:val="decimal"/>
      <w:lvlText w:val="5.%1."/>
      <w:lvlJc w:val="left"/>
      <w:pPr>
        <w:ind w:left="927" w:hanging="360"/>
      </w:pPr>
      <w:rPr>
        <w:rFonts w:cs="Times New Roman" w:hint="default"/>
        <w:bCs w:val="0"/>
        <w:i w:val="0"/>
        <w:iCs w:val="0"/>
        <w:caps w:val="0"/>
        <w:strike w:val="0"/>
        <w:dstrike w:val="0"/>
        <w:vanish w:val="0"/>
        <w:color w:val="000000"/>
        <w:spacing w:val="0"/>
        <w:kern w:val="0"/>
        <w:position w:val="0"/>
        <w:u w:val="none"/>
        <w:effect w:val="none"/>
        <w:vertAlign w:val="baseline"/>
        <w:em w:val="none"/>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CD261FF"/>
    <w:multiLevelType w:val="hybridMultilevel"/>
    <w:tmpl w:val="5BE00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25"/>
  </w:num>
  <w:num w:numId="4">
    <w:abstractNumId w:val="25"/>
  </w:num>
  <w:num w:numId="5">
    <w:abstractNumId w:val="25"/>
  </w:num>
  <w:num w:numId="6">
    <w:abstractNumId w:val="10"/>
  </w:num>
  <w:num w:numId="7">
    <w:abstractNumId w:val="19"/>
  </w:num>
  <w:num w:numId="8">
    <w:abstractNumId w:val="28"/>
  </w:num>
  <w:num w:numId="9">
    <w:abstractNumId w:val="2"/>
  </w:num>
  <w:num w:numId="10">
    <w:abstractNumId w:val="12"/>
  </w:num>
  <w:num w:numId="11">
    <w:abstractNumId w:val="8"/>
  </w:num>
  <w:num w:numId="12">
    <w:abstractNumId w:val="23"/>
  </w:num>
  <w:num w:numId="13">
    <w:abstractNumId w:val="5"/>
  </w:num>
  <w:num w:numId="14">
    <w:abstractNumId w:val="22"/>
  </w:num>
  <w:num w:numId="15">
    <w:abstractNumId w:val="14"/>
  </w:num>
  <w:num w:numId="16">
    <w:abstractNumId w:val="3"/>
  </w:num>
  <w:num w:numId="17">
    <w:abstractNumId w:val="17"/>
  </w:num>
  <w:num w:numId="18">
    <w:abstractNumId w:val="20"/>
  </w:num>
  <w:num w:numId="19">
    <w:abstractNumId w:val="11"/>
  </w:num>
  <w:num w:numId="20">
    <w:abstractNumId w:val="24"/>
  </w:num>
  <w:num w:numId="21">
    <w:abstractNumId w:val="29"/>
  </w:num>
  <w:num w:numId="22">
    <w:abstractNumId w:val="9"/>
  </w:num>
  <w:num w:numId="23">
    <w:abstractNumId w:val="6"/>
  </w:num>
  <w:num w:numId="24">
    <w:abstractNumId w:val="16"/>
  </w:num>
  <w:num w:numId="25">
    <w:abstractNumId w:val="26"/>
  </w:num>
  <w:num w:numId="26">
    <w:abstractNumId w:val="15"/>
  </w:num>
  <w:num w:numId="27">
    <w:abstractNumId w:val="0"/>
  </w:num>
  <w:num w:numId="28">
    <w:abstractNumId w:val="13"/>
  </w:num>
  <w:num w:numId="29">
    <w:abstractNumId w:val="4"/>
  </w:num>
  <w:num w:numId="30">
    <w:abstractNumId w:val="1"/>
  </w:num>
  <w:num w:numId="31">
    <w:abstractNumId w:val="21"/>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87477"/>
    <w:rsid w:val="00002427"/>
    <w:rsid w:val="00004D11"/>
    <w:rsid w:val="00006DF7"/>
    <w:rsid w:val="00014BE6"/>
    <w:rsid w:val="00016ABE"/>
    <w:rsid w:val="000419FE"/>
    <w:rsid w:val="0005300A"/>
    <w:rsid w:val="00054DD3"/>
    <w:rsid w:val="00060546"/>
    <w:rsid w:val="00073BE4"/>
    <w:rsid w:val="0008169A"/>
    <w:rsid w:val="00083B9A"/>
    <w:rsid w:val="00087477"/>
    <w:rsid w:val="000A2867"/>
    <w:rsid w:val="000A29B1"/>
    <w:rsid w:val="000A7823"/>
    <w:rsid w:val="000A7E74"/>
    <w:rsid w:val="000C00EA"/>
    <w:rsid w:val="000C112B"/>
    <w:rsid w:val="000C4F5C"/>
    <w:rsid w:val="000C7F31"/>
    <w:rsid w:val="000D26AA"/>
    <w:rsid w:val="000E12EF"/>
    <w:rsid w:val="000F23FF"/>
    <w:rsid w:val="001151BB"/>
    <w:rsid w:val="0011613B"/>
    <w:rsid w:val="00116CCB"/>
    <w:rsid w:val="00120880"/>
    <w:rsid w:val="001230D3"/>
    <w:rsid w:val="00134B16"/>
    <w:rsid w:val="00134B78"/>
    <w:rsid w:val="0013654B"/>
    <w:rsid w:val="00137008"/>
    <w:rsid w:val="00137047"/>
    <w:rsid w:val="00142442"/>
    <w:rsid w:val="00147627"/>
    <w:rsid w:val="00154551"/>
    <w:rsid w:val="001635EC"/>
    <w:rsid w:val="0017112A"/>
    <w:rsid w:val="00175A81"/>
    <w:rsid w:val="0017772C"/>
    <w:rsid w:val="0018407D"/>
    <w:rsid w:val="0018551C"/>
    <w:rsid w:val="0018569B"/>
    <w:rsid w:val="00190989"/>
    <w:rsid w:val="00191AE9"/>
    <w:rsid w:val="00191D87"/>
    <w:rsid w:val="00196971"/>
    <w:rsid w:val="001A263F"/>
    <w:rsid w:val="001B25FE"/>
    <w:rsid w:val="001B678A"/>
    <w:rsid w:val="001B6CF9"/>
    <w:rsid w:val="001C42EE"/>
    <w:rsid w:val="001C582A"/>
    <w:rsid w:val="001D2F28"/>
    <w:rsid w:val="001D7E88"/>
    <w:rsid w:val="001E651C"/>
    <w:rsid w:val="001E72B9"/>
    <w:rsid w:val="001F11B2"/>
    <w:rsid w:val="001F1244"/>
    <w:rsid w:val="001F54DD"/>
    <w:rsid w:val="00203C79"/>
    <w:rsid w:val="002076C4"/>
    <w:rsid w:val="00211860"/>
    <w:rsid w:val="00212133"/>
    <w:rsid w:val="002126C4"/>
    <w:rsid w:val="00217B26"/>
    <w:rsid w:val="00224D9B"/>
    <w:rsid w:val="00226952"/>
    <w:rsid w:val="00234AD6"/>
    <w:rsid w:val="00256D3B"/>
    <w:rsid w:val="00265210"/>
    <w:rsid w:val="00267DCE"/>
    <w:rsid w:val="0028122E"/>
    <w:rsid w:val="002842EF"/>
    <w:rsid w:val="00293486"/>
    <w:rsid w:val="002A5BB9"/>
    <w:rsid w:val="002B1193"/>
    <w:rsid w:val="002B4B07"/>
    <w:rsid w:val="002C576A"/>
    <w:rsid w:val="002C79A6"/>
    <w:rsid w:val="002E18BB"/>
    <w:rsid w:val="002F2B34"/>
    <w:rsid w:val="002F388C"/>
    <w:rsid w:val="00300260"/>
    <w:rsid w:val="00304886"/>
    <w:rsid w:val="00304C33"/>
    <w:rsid w:val="003125CB"/>
    <w:rsid w:val="00314AF5"/>
    <w:rsid w:val="003157DB"/>
    <w:rsid w:val="003160D5"/>
    <w:rsid w:val="00321932"/>
    <w:rsid w:val="003224DE"/>
    <w:rsid w:val="00332C89"/>
    <w:rsid w:val="0033433F"/>
    <w:rsid w:val="00336CE2"/>
    <w:rsid w:val="00343F12"/>
    <w:rsid w:val="00344D17"/>
    <w:rsid w:val="003624B6"/>
    <w:rsid w:val="00364749"/>
    <w:rsid w:val="00372A32"/>
    <w:rsid w:val="003734DB"/>
    <w:rsid w:val="0039184E"/>
    <w:rsid w:val="003919CB"/>
    <w:rsid w:val="00392C50"/>
    <w:rsid w:val="0039477E"/>
    <w:rsid w:val="003A1262"/>
    <w:rsid w:val="003A5AFC"/>
    <w:rsid w:val="003B2D6C"/>
    <w:rsid w:val="003B5B9A"/>
    <w:rsid w:val="003B61A4"/>
    <w:rsid w:val="003B690C"/>
    <w:rsid w:val="003C2177"/>
    <w:rsid w:val="003C24C5"/>
    <w:rsid w:val="003C633C"/>
    <w:rsid w:val="003E0ADA"/>
    <w:rsid w:val="003E0E2C"/>
    <w:rsid w:val="003F08E7"/>
    <w:rsid w:val="003F312F"/>
    <w:rsid w:val="00402E50"/>
    <w:rsid w:val="004037F0"/>
    <w:rsid w:val="0040447E"/>
    <w:rsid w:val="0041348A"/>
    <w:rsid w:val="00413655"/>
    <w:rsid w:val="0042198F"/>
    <w:rsid w:val="00431D7F"/>
    <w:rsid w:val="00432A67"/>
    <w:rsid w:val="004330DB"/>
    <w:rsid w:val="0043372C"/>
    <w:rsid w:val="00435D48"/>
    <w:rsid w:val="004412C9"/>
    <w:rsid w:val="00441C80"/>
    <w:rsid w:val="00445B6E"/>
    <w:rsid w:val="00446770"/>
    <w:rsid w:val="004615C3"/>
    <w:rsid w:val="0046657C"/>
    <w:rsid w:val="00467564"/>
    <w:rsid w:val="004675BD"/>
    <w:rsid w:val="00470D7A"/>
    <w:rsid w:val="00472982"/>
    <w:rsid w:val="0047603F"/>
    <w:rsid w:val="00481A4D"/>
    <w:rsid w:val="004824D7"/>
    <w:rsid w:val="004916DD"/>
    <w:rsid w:val="00492466"/>
    <w:rsid w:val="004B2B15"/>
    <w:rsid w:val="004B2D36"/>
    <w:rsid w:val="004B60EC"/>
    <w:rsid w:val="004C4FCE"/>
    <w:rsid w:val="004C5B06"/>
    <w:rsid w:val="004C5B29"/>
    <w:rsid w:val="004E042C"/>
    <w:rsid w:val="004E206D"/>
    <w:rsid w:val="004E532B"/>
    <w:rsid w:val="004F20A7"/>
    <w:rsid w:val="004F37F2"/>
    <w:rsid w:val="00500472"/>
    <w:rsid w:val="00516F2B"/>
    <w:rsid w:val="00517C8D"/>
    <w:rsid w:val="00522FE1"/>
    <w:rsid w:val="00535570"/>
    <w:rsid w:val="00535BEF"/>
    <w:rsid w:val="00535D78"/>
    <w:rsid w:val="00536586"/>
    <w:rsid w:val="00537926"/>
    <w:rsid w:val="00545549"/>
    <w:rsid w:val="00546C57"/>
    <w:rsid w:val="00551450"/>
    <w:rsid w:val="005543C4"/>
    <w:rsid w:val="00554E03"/>
    <w:rsid w:val="00554E3B"/>
    <w:rsid w:val="0056221E"/>
    <w:rsid w:val="0056320F"/>
    <w:rsid w:val="00574335"/>
    <w:rsid w:val="00574B05"/>
    <w:rsid w:val="005773BF"/>
    <w:rsid w:val="00581015"/>
    <w:rsid w:val="0058327D"/>
    <w:rsid w:val="00584094"/>
    <w:rsid w:val="0058724F"/>
    <w:rsid w:val="005900C4"/>
    <w:rsid w:val="00596F97"/>
    <w:rsid w:val="005A0467"/>
    <w:rsid w:val="005A4FD3"/>
    <w:rsid w:val="005A70D3"/>
    <w:rsid w:val="005B0945"/>
    <w:rsid w:val="005B4BC1"/>
    <w:rsid w:val="005B7DAB"/>
    <w:rsid w:val="005C48FC"/>
    <w:rsid w:val="005E529F"/>
    <w:rsid w:val="006023A6"/>
    <w:rsid w:val="00602F4B"/>
    <w:rsid w:val="00612241"/>
    <w:rsid w:val="00622838"/>
    <w:rsid w:val="006241BA"/>
    <w:rsid w:val="00625D7D"/>
    <w:rsid w:val="0062742C"/>
    <w:rsid w:val="006350D0"/>
    <w:rsid w:val="006421A9"/>
    <w:rsid w:val="00645FA4"/>
    <w:rsid w:val="00653D0A"/>
    <w:rsid w:val="006563CA"/>
    <w:rsid w:val="00660D85"/>
    <w:rsid w:val="00665AFF"/>
    <w:rsid w:val="00670BA0"/>
    <w:rsid w:val="00677AB1"/>
    <w:rsid w:val="00682848"/>
    <w:rsid w:val="00684692"/>
    <w:rsid w:val="00685D17"/>
    <w:rsid w:val="00696D47"/>
    <w:rsid w:val="006A079B"/>
    <w:rsid w:val="006B1B05"/>
    <w:rsid w:val="006C2203"/>
    <w:rsid w:val="006D00C9"/>
    <w:rsid w:val="006D5019"/>
    <w:rsid w:val="006E4D23"/>
    <w:rsid w:val="006E633A"/>
    <w:rsid w:val="006F0735"/>
    <w:rsid w:val="006F7DEC"/>
    <w:rsid w:val="00702F05"/>
    <w:rsid w:val="007258F3"/>
    <w:rsid w:val="00727055"/>
    <w:rsid w:val="00727F28"/>
    <w:rsid w:val="00736810"/>
    <w:rsid w:val="007409F4"/>
    <w:rsid w:val="00750116"/>
    <w:rsid w:val="0075153E"/>
    <w:rsid w:val="0075680B"/>
    <w:rsid w:val="007657E3"/>
    <w:rsid w:val="00773925"/>
    <w:rsid w:val="007762AF"/>
    <w:rsid w:val="00781FAC"/>
    <w:rsid w:val="00784728"/>
    <w:rsid w:val="007906CF"/>
    <w:rsid w:val="0079297A"/>
    <w:rsid w:val="0079713D"/>
    <w:rsid w:val="007B226F"/>
    <w:rsid w:val="007B4152"/>
    <w:rsid w:val="007B6459"/>
    <w:rsid w:val="007C11F6"/>
    <w:rsid w:val="007C4152"/>
    <w:rsid w:val="007C7149"/>
    <w:rsid w:val="007D184A"/>
    <w:rsid w:val="007D1AE2"/>
    <w:rsid w:val="007D717D"/>
    <w:rsid w:val="007E2219"/>
    <w:rsid w:val="007E33A7"/>
    <w:rsid w:val="007E60DC"/>
    <w:rsid w:val="007E79A9"/>
    <w:rsid w:val="007F671A"/>
    <w:rsid w:val="007F7836"/>
    <w:rsid w:val="0080071E"/>
    <w:rsid w:val="00811812"/>
    <w:rsid w:val="00823900"/>
    <w:rsid w:val="00826C3E"/>
    <w:rsid w:val="00827E12"/>
    <w:rsid w:val="00831416"/>
    <w:rsid w:val="008347F7"/>
    <w:rsid w:val="00836B41"/>
    <w:rsid w:val="0084276C"/>
    <w:rsid w:val="00844C28"/>
    <w:rsid w:val="0084540E"/>
    <w:rsid w:val="00852372"/>
    <w:rsid w:val="00857D32"/>
    <w:rsid w:val="008638E8"/>
    <w:rsid w:val="00866E71"/>
    <w:rsid w:val="00870385"/>
    <w:rsid w:val="008852E0"/>
    <w:rsid w:val="0088541A"/>
    <w:rsid w:val="00887D1D"/>
    <w:rsid w:val="00894039"/>
    <w:rsid w:val="00897E4D"/>
    <w:rsid w:val="008A12D9"/>
    <w:rsid w:val="008A1A24"/>
    <w:rsid w:val="008A1E09"/>
    <w:rsid w:val="008A6378"/>
    <w:rsid w:val="008B23CF"/>
    <w:rsid w:val="008B3CFA"/>
    <w:rsid w:val="008B70EC"/>
    <w:rsid w:val="008C236D"/>
    <w:rsid w:val="008C5149"/>
    <w:rsid w:val="008C5274"/>
    <w:rsid w:val="008D75FC"/>
    <w:rsid w:val="008E0448"/>
    <w:rsid w:val="008E3D66"/>
    <w:rsid w:val="008F39F4"/>
    <w:rsid w:val="00905FCE"/>
    <w:rsid w:val="00906679"/>
    <w:rsid w:val="00910E30"/>
    <w:rsid w:val="00912BF3"/>
    <w:rsid w:val="00915D83"/>
    <w:rsid w:val="00916868"/>
    <w:rsid w:val="009229BB"/>
    <w:rsid w:val="00926ACE"/>
    <w:rsid w:val="00932750"/>
    <w:rsid w:val="00935608"/>
    <w:rsid w:val="0094056E"/>
    <w:rsid w:val="00940765"/>
    <w:rsid w:val="009429A7"/>
    <w:rsid w:val="009561A5"/>
    <w:rsid w:val="0095643D"/>
    <w:rsid w:val="0096206C"/>
    <w:rsid w:val="009706EC"/>
    <w:rsid w:val="00987AEE"/>
    <w:rsid w:val="00990109"/>
    <w:rsid w:val="00990F23"/>
    <w:rsid w:val="009914A4"/>
    <w:rsid w:val="009977FE"/>
    <w:rsid w:val="009B0B2A"/>
    <w:rsid w:val="009B30F2"/>
    <w:rsid w:val="009D6189"/>
    <w:rsid w:val="009E0AC6"/>
    <w:rsid w:val="009E2BF7"/>
    <w:rsid w:val="009F0781"/>
    <w:rsid w:val="009F21C8"/>
    <w:rsid w:val="009F2AA1"/>
    <w:rsid w:val="009F35EB"/>
    <w:rsid w:val="00A0380B"/>
    <w:rsid w:val="00A11926"/>
    <w:rsid w:val="00A17C97"/>
    <w:rsid w:val="00A23706"/>
    <w:rsid w:val="00A23AB6"/>
    <w:rsid w:val="00A319D7"/>
    <w:rsid w:val="00A34AC1"/>
    <w:rsid w:val="00A41AB7"/>
    <w:rsid w:val="00A443EE"/>
    <w:rsid w:val="00A52476"/>
    <w:rsid w:val="00A627DB"/>
    <w:rsid w:val="00A63713"/>
    <w:rsid w:val="00A65D1D"/>
    <w:rsid w:val="00A715CE"/>
    <w:rsid w:val="00A729F2"/>
    <w:rsid w:val="00A82034"/>
    <w:rsid w:val="00A8216D"/>
    <w:rsid w:val="00A86F15"/>
    <w:rsid w:val="00A96F2A"/>
    <w:rsid w:val="00AA459C"/>
    <w:rsid w:val="00AA5A0C"/>
    <w:rsid w:val="00AB7902"/>
    <w:rsid w:val="00AC191A"/>
    <w:rsid w:val="00AE31EF"/>
    <w:rsid w:val="00AF6851"/>
    <w:rsid w:val="00B02256"/>
    <w:rsid w:val="00B052D3"/>
    <w:rsid w:val="00B06091"/>
    <w:rsid w:val="00B11B91"/>
    <w:rsid w:val="00B124D6"/>
    <w:rsid w:val="00B12D57"/>
    <w:rsid w:val="00B13B3A"/>
    <w:rsid w:val="00B143BF"/>
    <w:rsid w:val="00B174BA"/>
    <w:rsid w:val="00B2310E"/>
    <w:rsid w:val="00B2375C"/>
    <w:rsid w:val="00B24765"/>
    <w:rsid w:val="00B2689E"/>
    <w:rsid w:val="00B4114D"/>
    <w:rsid w:val="00B46CCF"/>
    <w:rsid w:val="00B530A2"/>
    <w:rsid w:val="00B653A6"/>
    <w:rsid w:val="00B66AED"/>
    <w:rsid w:val="00B703FF"/>
    <w:rsid w:val="00B72F7D"/>
    <w:rsid w:val="00B92611"/>
    <w:rsid w:val="00BA0464"/>
    <w:rsid w:val="00BB7344"/>
    <w:rsid w:val="00BC5896"/>
    <w:rsid w:val="00BC6658"/>
    <w:rsid w:val="00BD02A1"/>
    <w:rsid w:val="00BE0723"/>
    <w:rsid w:val="00BE3546"/>
    <w:rsid w:val="00BF5042"/>
    <w:rsid w:val="00BF68A6"/>
    <w:rsid w:val="00C04964"/>
    <w:rsid w:val="00C06A73"/>
    <w:rsid w:val="00C1760B"/>
    <w:rsid w:val="00C31396"/>
    <w:rsid w:val="00C33763"/>
    <w:rsid w:val="00C36DC9"/>
    <w:rsid w:val="00C41F3D"/>
    <w:rsid w:val="00C4219E"/>
    <w:rsid w:val="00C61E58"/>
    <w:rsid w:val="00C629FE"/>
    <w:rsid w:val="00C634F6"/>
    <w:rsid w:val="00C64741"/>
    <w:rsid w:val="00C64C75"/>
    <w:rsid w:val="00C67003"/>
    <w:rsid w:val="00C710DB"/>
    <w:rsid w:val="00C7358B"/>
    <w:rsid w:val="00C860C8"/>
    <w:rsid w:val="00C9337E"/>
    <w:rsid w:val="00CA296D"/>
    <w:rsid w:val="00CA54EB"/>
    <w:rsid w:val="00CA6DF0"/>
    <w:rsid w:val="00CA6E19"/>
    <w:rsid w:val="00CA78F8"/>
    <w:rsid w:val="00CB3737"/>
    <w:rsid w:val="00CB504F"/>
    <w:rsid w:val="00CB555D"/>
    <w:rsid w:val="00CD3090"/>
    <w:rsid w:val="00CE1BAC"/>
    <w:rsid w:val="00CE3582"/>
    <w:rsid w:val="00CE7CF0"/>
    <w:rsid w:val="00CF6556"/>
    <w:rsid w:val="00D06802"/>
    <w:rsid w:val="00D104B7"/>
    <w:rsid w:val="00D12DDC"/>
    <w:rsid w:val="00D14988"/>
    <w:rsid w:val="00D161F6"/>
    <w:rsid w:val="00D25318"/>
    <w:rsid w:val="00D34F6B"/>
    <w:rsid w:val="00D37D93"/>
    <w:rsid w:val="00D56235"/>
    <w:rsid w:val="00D612A6"/>
    <w:rsid w:val="00D64328"/>
    <w:rsid w:val="00D644CE"/>
    <w:rsid w:val="00D65A5B"/>
    <w:rsid w:val="00D67C92"/>
    <w:rsid w:val="00D72074"/>
    <w:rsid w:val="00DA1FB9"/>
    <w:rsid w:val="00DA4690"/>
    <w:rsid w:val="00DC2BF3"/>
    <w:rsid w:val="00DD3254"/>
    <w:rsid w:val="00DD3AE0"/>
    <w:rsid w:val="00DE2A51"/>
    <w:rsid w:val="00DE54D1"/>
    <w:rsid w:val="00DF1503"/>
    <w:rsid w:val="00DF1C29"/>
    <w:rsid w:val="00DF4010"/>
    <w:rsid w:val="00DF687A"/>
    <w:rsid w:val="00E0263C"/>
    <w:rsid w:val="00E2423F"/>
    <w:rsid w:val="00E2555A"/>
    <w:rsid w:val="00E3140C"/>
    <w:rsid w:val="00E34CCD"/>
    <w:rsid w:val="00E51D30"/>
    <w:rsid w:val="00E535CF"/>
    <w:rsid w:val="00E7536E"/>
    <w:rsid w:val="00E77246"/>
    <w:rsid w:val="00E823DB"/>
    <w:rsid w:val="00E8447E"/>
    <w:rsid w:val="00E8596E"/>
    <w:rsid w:val="00E93774"/>
    <w:rsid w:val="00E96E3F"/>
    <w:rsid w:val="00EA0667"/>
    <w:rsid w:val="00EA19E9"/>
    <w:rsid w:val="00EA2AC0"/>
    <w:rsid w:val="00EA4BB1"/>
    <w:rsid w:val="00EA67B6"/>
    <w:rsid w:val="00EC707E"/>
    <w:rsid w:val="00ED0156"/>
    <w:rsid w:val="00ED54B4"/>
    <w:rsid w:val="00EE166D"/>
    <w:rsid w:val="00EE78D2"/>
    <w:rsid w:val="00EF057C"/>
    <w:rsid w:val="00F042CA"/>
    <w:rsid w:val="00F04672"/>
    <w:rsid w:val="00F06CFB"/>
    <w:rsid w:val="00F12523"/>
    <w:rsid w:val="00F14829"/>
    <w:rsid w:val="00F23FFC"/>
    <w:rsid w:val="00F265EF"/>
    <w:rsid w:val="00F266F1"/>
    <w:rsid w:val="00F26B92"/>
    <w:rsid w:val="00F43E4F"/>
    <w:rsid w:val="00F44BB2"/>
    <w:rsid w:val="00F46EEE"/>
    <w:rsid w:val="00F52FFA"/>
    <w:rsid w:val="00F56635"/>
    <w:rsid w:val="00F631C1"/>
    <w:rsid w:val="00F66FB7"/>
    <w:rsid w:val="00F7104B"/>
    <w:rsid w:val="00F76201"/>
    <w:rsid w:val="00F76A76"/>
    <w:rsid w:val="00F82368"/>
    <w:rsid w:val="00F82669"/>
    <w:rsid w:val="00F834CE"/>
    <w:rsid w:val="00F942E6"/>
    <w:rsid w:val="00FA1265"/>
    <w:rsid w:val="00FA1CCF"/>
    <w:rsid w:val="00FA319C"/>
    <w:rsid w:val="00FA3A41"/>
    <w:rsid w:val="00FA6151"/>
    <w:rsid w:val="00FB6386"/>
    <w:rsid w:val="00FC1BE1"/>
    <w:rsid w:val="00FC1E7F"/>
    <w:rsid w:val="00FC30A6"/>
    <w:rsid w:val="00FC5589"/>
    <w:rsid w:val="00FD138E"/>
    <w:rsid w:val="00FD1AA4"/>
    <w:rsid w:val="00FD764A"/>
    <w:rsid w:val="00FD7900"/>
    <w:rsid w:val="00FE260D"/>
    <w:rsid w:val="00FF4824"/>
    <w:rsid w:val="00FF705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E4FBF4A"/>
  <w15:docId w15:val="{B12D26D1-1835-4020-A8FC-34CF3868F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2442"/>
    <w:rPr>
      <w:sz w:val="24"/>
      <w:szCs w:val="24"/>
      <w:lang w:val="en-US"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link w:val="FooterChar"/>
    <w:uiPriority w:val="99"/>
    <w:rPr>
      <w:sz w:val="2"/>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link w:val="HeaderChar"/>
    <w:uiPriority w:val="99"/>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spacing w:before="240" w:after="20"/>
      <w:ind w:left="142"/>
      <w:suppressOverlap/>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spacing w:line="220" w:lineRule="exact"/>
      <w:ind w:left="142"/>
      <w:suppressOverlap/>
    </w:pPr>
    <w:rPr>
      <w:rFonts w:ascii="Arial" w:hAnsi="Arial"/>
      <w:b/>
    </w:rPr>
  </w:style>
  <w:style w:type="paragraph" w:customStyle="1" w:styleId="zyxTitle">
    <w:name w:val="zyxTitle"/>
    <w:basedOn w:val="Normal"/>
    <w:pPr>
      <w:keepNext/>
      <w:spacing w:line="420" w:lineRule="exact"/>
    </w:pPr>
    <w:rPr>
      <w:rFonts w:ascii="Arial" w:hAnsi="Arial"/>
      <w:sz w:val="40"/>
    </w:rPr>
  </w:style>
  <w:style w:type="character" w:styleId="FootnoteReference">
    <w:name w:val="footnote reference"/>
    <w:semiHidden/>
    <w:rPr>
      <w:vertAlign w:val="superscript"/>
    </w:rPr>
  </w:style>
  <w:style w:type="paragraph" w:styleId="Subtitle">
    <w:name w:val="Subtitle"/>
    <w:basedOn w:val="Heading4"/>
    <w:qFormat/>
    <w:pPr>
      <w:spacing w:before="113" w:after="85" w:line="240" w:lineRule="auto"/>
      <w:jc w:val="center"/>
      <w:outlineLvl w:val="9"/>
    </w:pPr>
    <w:rPr>
      <w:rFonts w:cs="Arial"/>
      <w:sz w:val="28"/>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pPr>
      <w:spacing w:after="0" w:line="280" w:lineRule="exact"/>
      <w:jc w:val="right"/>
    </w:pPr>
    <w:rPr>
      <w:rFonts w:ascii="Arial" w:hAnsi="Arial" w:cs="Arial"/>
      <w:b/>
      <w:bCs/>
      <w:caps/>
      <w:sz w:val="24"/>
    </w:rPr>
  </w:style>
  <w:style w:type="paragraph" w:customStyle="1" w:styleId="zyxClassification2">
    <w:name w:val="zyxClassification2"/>
    <w:basedOn w:val="Footer"/>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BalloonText">
    <w:name w:val="Balloon Text"/>
    <w:basedOn w:val="Normal"/>
    <w:semiHidden/>
    <w:rsid w:val="00481A4D"/>
    <w:rPr>
      <w:rFonts w:ascii="Tahoma" w:hAnsi="Tahoma" w:cs="Tahoma"/>
      <w:sz w:val="16"/>
      <w:szCs w:val="16"/>
    </w:rPr>
  </w:style>
  <w:style w:type="table" w:styleId="TableGrid">
    <w:name w:val="Table Grid"/>
    <w:basedOn w:val="TableNormal"/>
    <w:rsid w:val="00284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A4690"/>
  </w:style>
  <w:style w:type="character" w:customStyle="1" w:styleId="BodyTextChar">
    <w:name w:val="Body Text Char"/>
    <w:link w:val="BodyText"/>
    <w:rsid w:val="00212133"/>
    <w:rPr>
      <w:sz w:val="22"/>
      <w:lang w:eastAsia="en-US"/>
    </w:rPr>
  </w:style>
  <w:style w:type="paragraph" w:styleId="ListParagraph">
    <w:name w:val="List Paragraph"/>
    <w:basedOn w:val="Normal"/>
    <w:uiPriority w:val="34"/>
    <w:qFormat/>
    <w:rsid w:val="0043372C"/>
    <w:pPr>
      <w:ind w:left="720"/>
      <w:contextualSpacing/>
    </w:pPr>
  </w:style>
  <w:style w:type="character" w:styleId="CommentReference">
    <w:name w:val="annotation reference"/>
    <w:basedOn w:val="DefaultParagraphFont"/>
    <w:rsid w:val="00935608"/>
    <w:rPr>
      <w:sz w:val="16"/>
      <w:szCs w:val="16"/>
    </w:rPr>
  </w:style>
  <w:style w:type="paragraph" w:styleId="CommentText">
    <w:name w:val="annotation text"/>
    <w:basedOn w:val="Normal"/>
    <w:link w:val="CommentTextChar"/>
    <w:rsid w:val="00935608"/>
    <w:rPr>
      <w:sz w:val="20"/>
      <w:szCs w:val="20"/>
    </w:rPr>
  </w:style>
  <w:style w:type="character" w:customStyle="1" w:styleId="CommentTextChar">
    <w:name w:val="Comment Text Char"/>
    <w:basedOn w:val="DefaultParagraphFont"/>
    <w:link w:val="CommentText"/>
    <w:rsid w:val="00935608"/>
    <w:rPr>
      <w:lang w:val="en-US" w:eastAsia="en-US"/>
    </w:rPr>
  </w:style>
  <w:style w:type="paragraph" w:styleId="CommentSubject">
    <w:name w:val="annotation subject"/>
    <w:basedOn w:val="CommentText"/>
    <w:next w:val="CommentText"/>
    <w:link w:val="CommentSubjectChar"/>
    <w:rsid w:val="00935608"/>
    <w:rPr>
      <w:b/>
      <w:bCs/>
    </w:rPr>
  </w:style>
  <w:style w:type="character" w:customStyle="1" w:styleId="CommentSubjectChar">
    <w:name w:val="Comment Subject Char"/>
    <w:basedOn w:val="CommentTextChar"/>
    <w:link w:val="CommentSubject"/>
    <w:rsid w:val="00935608"/>
    <w:rPr>
      <w:b/>
      <w:bCs/>
      <w:lang w:val="en-US" w:eastAsia="en-US"/>
    </w:rPr>
  </w:style>
  <w:style w:type="character" w:customStyle="1" w:styleId="HeaderChar">
    <w:name w:val="Header Char"/>
    <w:basedOn w:val="DefaultParagraphFont"/>
    <w:link w:val="Header"/>
    <w:uiPriority w:val="99"/>
    <w:rsid w:val="00FA319C"/>
    <w:rPr>
      <w:sz w:val="18"/>
      <w:lang w:val="en-US" w:eastAsia="en-US"/>
    </w:rPr>
  </w:style>
  <w:style w:type="character" w:customStyle="1" w:styleId="FooterChar">
    <w:name w:val="Footer Char"/>
    <w:basedOn w:val="DefaultParagraphFont"/>
    <w:link w:val="Footer"/>
    <w:uiPriority w:val="99"/>
    <w:rsid w:val="00FA319C"/>
    <w:rPr>
      <w:sz w:val="2"/>
      <w:szCs w:val="24"/>
      <w:lang w:val="en-US" w:eastAsia="en-US"/>
    </w:rPr>
  </w:style>
  <w:style w:type="paragraph" w:customStyle="1" w:styleId="Default">
    <w:name w:val="Default"/>
    <w:rsid w:val="008C514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NS%20-%20Dept\New%20DPP%20Template%20V9%20cle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6C8CFDE06E0E42AF49DD2407F50C22" ma:contentTypeVersion="11" ma:contentTypeDescription="Create a new document." ma:contentTypeScope="" ma:versionID="50d28e82a46596687cfbd1f9f32d70bb">
  <xsd:schema xmlns:xsd="http://www.w3.org/2001/XMLSchema" xmlns:xs="http://www.w3.org/2001/XMLSchema" xmlns:p="http://schemas.microsoft.com/office/2006/metadata/properties" xmlns:ns3="253bcd77-1163-4078-96d2-7a8f5505a7c1" xmlns:ns4="c23fc344-a817-47bc-9c2a-7d481b468695" targetNamespace="http://schemas.microsoft.com/office/2006/metadata/properties" ma:root="true" ma:fieldsID="32f7d28a43639ad3cf2fe5418f55f0ee" ns3:_="" ns4:_="">
    <xsd:import namespace="253bcd77-1163-4078-96d2-7a8f5505a7c1"/>
    <xsd:import namespace="c23fc344-a817-47bc-9c2a-7d481b46869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3bcd77-1163-4078-96d2-7a8f5505a7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3fc344-a817-47bc-9c2a-7d481b46869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15A6F-33CB-44F1-AF06-8A458F61FF3F}">
  <ds:schemaRefs>
    <ds:schemaRef ds:uri="http://schemas.microsoft.com/sharepoint/v3/contenttype/forms"/>
  </ds:schemaRefs>
</ds:datastoreItem>
</file>

<file path=customXml/itemProps2.xml><?xml version="1.0" encoding="utf-8"?>
<ds:datastoreItem xmlns:ds="http://schemas.openxmlformats.org/officeDocument/2006/customXml" ds:itemID="{0797E06D-EA81-4065-81FD-92B8C2EB9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3bcd77-1163-4078-96d2-7a8f5505a7c1"/>
    <ds:schemaRef ds:uri="c23fc344-a817-47bc-9c2a-7d481b4686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B4CCEF-9F84-45AE-9B3A-C41060D4424B}">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253bcd77-1163-4078-96d2-7a8f5505a7c1"/>
    <ds:schemaRef ds:uri="c23fc344-a817-47bc-9c2a-7d481b468695"/>
    <ds:schemaRef ds:uri="http://www.w3.org/XML/1998/namespace"/>
  </ds:schemaRefs>
</ds:datastoreItem>
</file>

<file path=customXml/itemProps4.xml><?xml version="1.0" encoding="utf-8"?>
<ds:datastoreItem xmlns:ds="http://schemas.openxmlformats.org/officeDocument/2006/customXml" ds:itemID="{3DE900A9-9C31-4D28-99BF-6D83569BF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DPP Template V9 clean.dotx</Template>
  <TotalTime>0</TotalTime>
  <Pages>5</Pages>
  <Words>1649</Words>
  <Characters>9446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subject/>
  <dc:creator>DELATTRE, Dominique Jules</dc:creator>
  <cp:keywords/>
  <cp:lastModifiedBy>ALTINYOLLAR, Ayhan</cp:lastModifiedBy>
  <cp:revision>10</cp:revision>
  <cp:lastPrinted>2019-01-10T02:21:00Z</cp:lastPrinted>
  <dcterms:created xsi:type="dcterms:W3CDTF">2019-10-02T18:42:00Z</dcterms:created>
  <dcterms:modified xsi:type="dcterms:W3CDTF">2019-10-02T11:36:00Z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0x010100576C8CFDE06E0E42AF49DD2407F50C22</vt:lpwstr>
  </property>
</Properties>
</file>