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A8A0" w14:textId="77777777" w:rsidR="00234AD6" w:rsidRPr="00F1336B" w:rsidRDefault="00234AD6" w:rsidP="00DA4690">
      <w:pPr>
        <w:pStyle w:val="BodyText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1336B">
        <w:rPr>
          <w:b/>
          <w:bCs/>
          <w:sz w:val="24"/>
          <w:szCs w:val="24"/>
          <w:lang w:val="fr-FR"/>
        </w:rPr>
        <w:t xml:space="preserve">SPESS </w:t>
      </w:r>
      <w:r w:rsidR="00625D7D" w:rsidRPr="00F1336B">
        <w:rPr>
          <w:b/>
          <w:bCs/>
          <w:sz w:val="24"/>
          <w:szCs w:val="24"/>
          <w:lang w:val="fr-FR"/>
        </w:rPr>
        <w:t>F</w:t>
      </w:r>
    </w:p>
    <w:p w14:paraId="4BDBD751" w14:textId="77777777" w:rsidR="00DA4690" w:rsidRPr="00F1336B" w:rsidRDefault="00142442" w:rsidP="00DA4690">
      <w:pPr>
        <w:pStyle w:val="BodyText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1336B">
        <w:rPr>
          <w:b/>
          <w:bCs/>
          <w:sz w:val="24"/>
          <w:szCs w:val="24"/>
          <w:lang w:val="fr-FR"/>
        </w:rPr>
        <w:t xml:space="preserve">Document </w:t>
      </w:r>
      <w:proofErr w:type="spellStart"/>
      <w:r w:rsidRPr="00F1336B">
        <w:rPr>
          <w:b/>
          <w:bCs/>
          <w:sz w:val="24"/>
          <w:szCs w:val="24"/>
          <w:lang w:val="fr-FR"/>
        </w:rPr>
        <w:t>Preparation</w:t>
      </w:r>
      <w:proofErr w:type="spellEnd"/>
      <w:r w:rsidRPr="00F1336B">
        <w:rPr>
          <w:b/>
          <w:bCs/>
          <w:sz w:val="24"/>
          <w:szCs w:val="24"/>
          <w:lang w:val="fr-FR"/>
        </w:rPr>
        <w:t xml:space="preserve"> Profile (DPP)</w:t>
      </w:r>
    </w:p>
    <w:p w14:paraId="4BE02C6C" w14:textId="2D231B9D" w:rsidR="00DA4690" w:rsidRPr="00F1336B" w:rsidRDefault="00DA4690" w:rsidP="00DA4690">
      <w:pPr>
        <w:pStyle w:val="BodyText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1336B">
        <w:rPr>
          <w:b/>
          <w:bCs/>
          <w:sz w:val="24"/>
          <w:szCs w:val="24"/>
          <w:lang w:val="fr-FR"/>
        </w:rPr>
        <w:t xml:space="preserve">Version </w:t>
      </w:r>
      <w:proofErr w:type="gramStart"/>
      <w:r w:rsidR="003B1FF0" w:rsidRPr="00F1336B">
        <w:rPr>
          <w:b/>
          <w:bCs/>
          <w:sz w:val="24"/>
          <w:szCs w:val="24"/>
          <w:lang w:val="fr-FR"/>
        </w:rPr>
        <w:t>6</w:t>
      </w:r>
      <w:r w:rsidR="00820992" w:rsidRPr="00F1336B">
        <w:rPr>
          <w:b/>
          <w:bCs/>
          <w:sz w:val="24"/>
          <w:szCs w:val="24"/>
          <w:lang w:val="fr-FR"/>
        </w:rPr>
        <w:t>:</w:t>
      </w:r>
      <w:proofErr w:type="gramEnd"/>
      <w:r w:rsidRPr="00F1336B">
        <w:rPr>
          <w:b/>
          <w:bCs/>
          <w:sz w:val="24"/>
          <w:szCs w:val="24"/>
          <w:lang w:val="fr-FR"/>
        </w:rPr>
        <w:t xml:space="preserve"> </w:t>
      </w:r>
      <w:r w:rsidR="003B1FF0" w:rsidRPr="00F1336B">
        <w:rPr>
          <w:b/>
          <w:bCs/>
          <w:sz w:val="24"/>
          <w:szCs w:val="24"/>
          <w:lang w:val="fr-FR"/>
        </w:rPr>
        <w:t>17 June</w:t>
      </w:r>
      <w:r w:rsidR="00820992" w:rsidRPr="00F1336B">
        <w:rPr>
          <w:b/>
          <w:bCs/>
          <w:sz w:val="24"/>
          <w:szCs w:val="24"/>
          <w:lang w:val="fr-FR"/>
        </w:rPr>
        <w:t xml:space="preserve"> 2019</w:t>
      </w:r>
    </w:p>
    <w:p w14:paraId="7214F795" w14:textId="77777777" w:rsidR="00916868" w:rsidRPr="00F1336B" w:rsidRDefault="00916868" w:rsidP="00142442">
      <w:pPr>
        <w:pStyle w:val="BodyText"/>
        <w:jc w:val="center"/>
        <w:rPr>
          <w:b/>
          <w:bCs/>
          <w:sz w:val="24"/>
          <w:szCs w:val="24"/>
          <w:lang w:val="fr-FR"/>
        </w:rPr>
      </w:pPr>
    </w:p>
    <w:p w14:paraId="296B12DB" w14:textId="77777777" w:rsidR="00142442" w:rsidRPr="00820992" w:rsidRDefault="00142442" w:rsidP="00142442">
      <w:pPr>
        <w:pStyle w:val="BodyText"/>
        <w:tabs>
          <w:tab w:val="left" w:pos="240"/>
        </w:tabs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1.</w:t>
      </w:r>
      <w:r w:rsidRPr="00820992">
        <w:rPr>
          <w:b/>
          <w:bCs/>
          <w:sz w:val="24"/>
          <w:szCs w:val="24"/>
        </w:rPr>
        <w:tab/>
        <w:t>IDENTIFICATION</w:t>
      </w:r>
    </w:p>
    <w:p w14:paraId="0BBF1BA0" w14:textId="77777777" w:rsidR="0046657C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Document Category</w:t>
      </w:r>
      <w:r w:rsidR="00087477" w:rsidRPr="00820992">
        <w:rPr>
          <w:b/>
          <w:bCs/>
          <w:sz w:val="24"/>
          <w:szCs w:val="24"/>
        </w:rPr>
        <w:t xml:space="preserve"> or set of </w:t>
      </w:r>
      <w:r w:rsidR="0046657C" w:rsidRPr="00820992">
        <w:rPr>
          <w:b/>
          <w:bCs/>
          <w:sz w:val="24"/>
          <w:szCs w:val="24"/>
        </w:rPr>
        <w:t>publications</w:t>
      </w:r>
      <w:r w:rsidR="00087477" w:rsidRPr="00820992">
        <w:rPr>
          <w:b/>
          <w:bCs/>
          <w:sz w:val="24"/>
          <w:szCs w:val="24"/>
        </w:rPr>
        <w:t xml:space="preserve"> to be revised in a concomitant manner</w:t>
      </w:r>
      <w:r w:rsidR="003730B4" w:rsidRPr="00820992">
        <w:rPr>
          <w:b/>
          <w:bCs/>
          <w:sz w:val="24"/>
          <w:szCs w:val="24"/>
        </w:rPr>
        <w:t>:</w:t>
      </w:r>
    </w:p>
    <w:p w14:paraId="3D938837" w14:textId="77777777" w:rsidR="00142442" w:rsidRPr="00820992" w:rsidRDefault="003730B4" w:rsidP="001230D3">
      <w:pPr>
        <w:pStyle w:val="BodyText"/>
        <w:ind w:left="240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General Safety Guide</w:t>
      </w:r>
    </w:p>
    <w:p w14:paraId="5FDD7D92" w14:textId="77777777" w:rsidR="00142442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Working ID:</w:t>
      </w:r>
      <w:r w:rsidRPr="00820992">
        <w:rPr>
          <w:b/>
          <w:bCs/>
          <w:sz w:val="24"/>
          <w:szCs w:val="24"/>
        </w:rPr>
        <w:tab/>
      </w:r>
      <w:r w:rsidR="003730B4" w:rsidRPr="00820992">
        <w:rPr>
          <w:b/>
          <w:bCs/>
          <w:sz w:val="24"/>
          <w:szCs w:val="24"/>
        </w:rPr>
        <w:t>DS513</w:t>
      </w:r>
    </w:p>
    <w:p w14:paraId="4F2730D7" w14:textId="77777777" w:rsidR="00142442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Proposed Title:</w:t>
      </w:r>
      <w:r w:rsidRPr="00820992">
        <w:rPr>
          <w:b/>
          <w:bCs/>
          <w:sz w:val="24"/>
          <w:szCs w:val="24"/>
        </w:rPr>
        <w:tab/>
      </w:r>
      <w:r w:rsidR="003730B4" w:rsidRPr="00820992">
        <w:rPr>
          <w:b/>
          <w:bCs/>
          <w:sz w:val="24"/>
          <w:szCs w:val="24"/>
        </w:rPr>
        <w:t>Leadership, Management and Culture for Safety</w:t>
      </w:r>
    </w:p>
    <w:p w14:paraId="2D898A0A" w14:textId="77777777" w:rsidR="00142442" w:rsidRPr="00820992" w:rsidRDefault="00142442" w:rsidP="003730B4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Proposed Action:</w:t>
      </w:r>
      <w:r w:rsidRPr="00820992">
        <w:rPr>
          <w:b/>
          <w:bCs/>
          <w:sz w:val="24"/>
          <w:szCs w:val="24"/>
        </w:rPr>
        <w:tab/>
      </w:r>
      <w:r w:rsidR="003730B4" w:rsidRPr="00820992">
        <w:rPr>
          <w:b/>
          <w:bCs/>
          <w:sz w:val="24"/>
          <w:szCs w:val="24"/>
          <w:lang w:val="en-US"/>
        </w:rPr>
        <w:t>Revision and expansion of IAEA Safety Standards Series No. GS-G-3.1, Application of the Management System for Facilities and Activities</w:t>
      </w:r>
      <w:r w:rsidR="00820992">
        <w:rPr>
          <w:b/>
          <w:bCs/>
          <w:sz w:val="24"/>
          <w:szCs w:val="24"/>
          <w:lang w:val="en-US"/>
        </w:rPr>
        <w:t xml:space="preserve"> - </w:t>
      </w:r>
      <w:r w:rsidR="003730B4" w:rsidRPr="00820992">
        <w:rPr>
          <w:b/>
          <w:bCs/>
          <w:sz w:val="24"/>
          <w:szCs w:val="24"/>
          <w:lang w:val="en-US"/>
        </w:rPr>
        <w:t>to produce a new General Safety Guide to support IAEA Safety Standards Series No. GSR Part 2, Leadership and Management for Safety.</w:t>
      </w:r>
    </w:p>
    <w:p w14:paraId="1081649F" w14:textId="77777777" w:rsidR="00142442" w:rsidRPr="00820992" w:rsidRDefault="0039184E" w:rsidP="00142442">
      <w:pPr>
        <w:pStyle w:val="BodyText"/>
        <w:tabs>
          <w:tab w:val="left" w:pos="1920"/>
        </w:tabs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Review</w:t>
      </w:r>
      <w:r w:rsidR="00142442" w:rsidRPr="00820992">
        <w:rPr>
          <w:b/>
          <w:bCs/>
          <w:sz w:val="24"/>
          <w:szCs w:val="24"/>
        </w:rPr>
        <w:t xml:space="preserve"> Committee(s):</w:t>
      </w:r>
      <w:r w:rsidR="00820992">
        <w:rPr>
          <w:b/>
          <w:bCs/>
          <w:sz w:val="24"/>
          <w:szCs w:val="24"/>
        </w:rPr>
        <w:t xml:space="preserve"> </w:t>
      </w:r>
      <w:r w:rsidR="003730B4" w:rsidRPr="00820992">
        <w:rPr>
          <w:b/>
          <w:bCs/>
          <w:sz w:val="24"/>
          <w:szCs w:val="24"/>
          <w:u w:val="single"/>
        </w:rPr>
        <w:t>NUSSC</w:t>
      </w:r>
      <w:r w:rsidR="003730B4" w:rsidRPr="00820992">
        <w:rPr>
          <w:b/>
          <w:bCs/>
          <w:sz w:val="24"/>
          <w:szCs w:val="24"/>
        </w:rPr>
        <w:t xml:space="preserve">, RASSC, TRANSSC, WASSC, NSGC, </w:t>
      </w:r>
      <w:proofErr w:type="spellStart"/>
      <w:r w:rsidR="00820992">
        <w:rPr>
          <w:b/>
          <w:bCs/>
          <w:sz w:val="24"/>
          <w:szCs w:val="24"/>
        </w:rPr>
        <w:t>E</w:t>
      </w:r>
      <w:r w:rsidR="003730B4" w:rsidRPr="00820992">
        <w:rPr>
          <w:b/>
          <w:bCs/>
          <w:sz w:val="24"/>
          <w:szCs w:val="24"/>
        </w:rPr>
        <w:t>PReSC</w:t>
      </w:r>
      <w:proofErr w:type="spellEnd"/>
      <w:r w:rsidR="00142442" w:rsidRPr="00820992">
        <w:rPr>
          <w:b/>
          <w:bCs/>
          <w:sz w:val="24"/>
          <w:szCs w:val="24"/>
        </w:rPr>
        <w:t xml:space="preserve"> </w:t>
      </w:r>
    </w:p>
    <w:p w14:paraId="4EFDEA13" w14:textId="727AD02B" w:rsidR="00142442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Technical Officer(s):</w:t>
      </w:r>
      <w:r w:rsidRPr="00820992">
        <w:rPr>
          <w:b/>
          <w:bCs/>
          <w:sz w:val="24"/>
          <w:szCs w:val="24"/>
        </w:rPr>
        <w:tab/>
      </w:r>
      <w:r w:rsidR="00F1336B">
        <w:rPr>
          <w:b/>
          <w:bCs/>
          <w:sz w:val="24"/>
          <w:szCs w:val="24"/>
        </w:rPr>
        <w:t>Peter</w:t>
      </w:r>
      <w:r w:rsidR="003730B4" w:rsidRPr="00820992">
        <w:rPr>
          <w:b/>
          <w:bCs/>
          <w:sz w:val="24"/>
          <w:szCs w:val="24"/>
          <w:lang w:val="en-US"/>
        </w:rPr>
        <w:t xml:space="preserve"> </w:t>
      </w:r>
      <w:r w:rsidR="00F1336B">
        <w:rPr>
          <w:b/>
          <w:bCs/>
          <w:sz w:val="24"/>
          <w:szCs w:val="24"/>
          <w:lang w:val="en-US"/>
        </w:rPr>
        <w:t>TARREN</w:t>
      </w:r>
      <w:bookmarkStart w:id="0" w:name="_GoBack"/>
      <w:bookmarkEnd w:id="0"/>
      <w:r w:rsidR="003730B4" w:rsidRPr="00820992">
        <w:rPr>
          <w:b/>
          <w:bCs/>
          <w:sz w:val="24"/>
          <w:szCs w:val="24"/>
          <w:lang w:val="en-US"/>
        </w:rPr>
        <w:t xml:space="preserve"> (NSNI/OSS)</w:t>
      </w:r>
    </w:p>
    <w:p w14:paraId="7E09AB39" w14:textId="77777777" w:rsidR="003730B4" w:rsidRPr="00820992" w:rsidRDefault="003730B4" w:rsidP="003730B4">
      <w:pPr>
        <w:autoSpaceDE w:val="0"/>
        <w:autoSpaceDN w:val="0"/>
        <w:adjustRightInd w:val="0"/>
        <w:jc w:val="both"/>
        <w:rPr>
          <w:b/>
          <w:bCs/>
        </w:rPr>
      </w:pPr>
    </w:p>
    <w:p w14:paraId="53FA9F1E" w14:textId="77777777" w:rsidR="003730B4" w:rsidRPr="00820992" w:rsidRDefault="00142442" w:rsidP="003730B4">
      <w:pPr>
        <w:autoSpaceDE w:val="0"/>
        <w:autoSpaceDN w:val="0"/>
        <w:adjustRightInd w:val="0"/>
        <w:spacing w:after="120"/>
        <w:jc w:val="both"/>
        <w:rPr>
          <w:lang w:val="en-GB" w:eastAsia="en-GB"/>
        </w:rPr>
      </w:pPr>
      <w:r w:rsidRPr="00820992">
        <w:rPr>
          <w:b/>
          <w:bCs/>
        </w:rPr>
        <w:t xml:space="preserve">2. </w:t>
      </w:r>
      <w:r w:rsidR="00E0263C" w:rsidRPr="00820992">
        <w:rPr>
          <w:b/>
          <w:bCs/>
        </w:rPr>
        <w:t xml:space="preserve">BACKGROUND </w:t>
      </w:r>
      <w:r w:rsidR="00481A4D" w:rsidRPr="00820992">
        <w:rPr>
          <w:b/>
          <w:bCs/>
        </w:rPr>
        <w:br/>
      </w:r>
      <w:r w:rsidR="00820992" w:rsidRPr="00820992">
        <w:rPr>
          <w:lang w:val="en-GB" w:eastAsia="en-GB"/>
        </w:rPr>
        <w:t>Principle 3</w:t>
      </w:r>
      <w:r w:rsidR="00820992">
        <w:rPr>
          <w:lang w:val="en-GB" w:eastAsia="en-GB"/>
        </w:rPr>
        <w:t xml:space="preserve"> of </w:t>
      </w:r>
      <w:r w:rsidR="003730B4" w:rsidRPr="00820992">
        <w:rPr>
          <w:lang w:val="en-GB" w:eastAsia="en-GB"/>
        </w:rPr>
        <w:t>IAEA Safety Standards Series No. SF-1, Fundamental Safety Principles</w:t>
      </w:r>
      <w:r w:rsidR="00820992">
        <w:rPr>
          <w:lang w:val="en-GB" w:eastAsia="en-GB"/>
        </w:rPr>
        <w:t xml:space="preserve"> states:</w:t>
      </w:r>
    </w:p>
    <w:p w14:paraId="50B73403" w14:textId="437CBC49" w:rsidR="003730B4" w:rsidRPr="00820992" w:rsidRDefault="00B360C1" w:rsidP="00F77604">
      <w:pPr>
        <w:autoSpaceDE w:val="0"/>
        <w:autoSpaceDN w:val="0"/>
        <w:adjustRightInd w:val="0"/>
        <w:spacing w:after="120"/>
        <w:ind w:left="567" w:right="140"/>
        <w:jc w:val="center"/>
        <w:rPr>
          <w:b/>
          <w:lang w:val="en-GB" w:eastAsia="en-GB"/>
        </w:rPr>
      </w:pPr>
      <w:r>
        <w:rPr>
          <w:b/>
        </w:rPr>
        <w:t>‘</w:t>
      </w:r>
      <w:r w:rsidR="003730B4" w:rsidRPr="00820992">
        <w:rPr>
          <w:b/>
        </w:rPr>
        <w:t>Effective leadership and management for safety must be established and sustained in organizations concerned with, and facilities and activities that give rise to, radiation risks.</w:t>
      </w:r>
      <w:r>
        <w:rPr>
          <w:b/>
        </w:rPr>
        <w:t>’</w:t>
      </w:r>
    </w:p>
    <w:p w14:paraId="1F53496F" w14:textId="1AEA37F5" w:rsidR="003730B4" w:rsidRPr="00820992" w:rsidRDefault="003730B4" w:rsidP="003730B4">
      <w:pPr>
        <w:autoSpaceDE w:val="0"/>
        <w:autoSpaceDN w:val="0"/>
        <w:adjustRightInd w:val="0"/>
        <w:spacing w:after="120"/>
        <w:jc w:val="both"/>
        <w:rPr>
          <w:lang w:val="en-GB" w:eastAsia="en-GB"/>
        </w:rPr>
      </w:pPr>
      <w:r w:rsidRPr="00820992">
        <w:rPr>
          <w:lang w:val="en-GB" w:eastAsia="en-GB"/>
        </w:rPr>
        <w:t>GSR Part 2 (</w:t>
      </w:r>
      <w:r w:rsidR="00D871CA">
        <w:rPr>
          <w:lang w:val="en-GB" w:eastAsia="en-GB"/>
        </w:rPr>
        <w:t xml:space="preserve">Leadership and Management for Safety, </w:t>
      </w:r>
      <w:r w:rsidRPr="00820992">
        <w:rPr>
          <w:lang w:val="en-GB" w:eastAsia="en-GB"/>
        </w:rPr>
        <w:t xml:space="preserve">published in 2016) </w:t>
      </w:r>
      <w:r w:rsidR="00820992">
        <w:rPr>
          <w:lang w:val="en-GB" w:eastAsia="en-GB"/>
        </w:rPr>
        <w:t xml:space="preserve">establishes requirements for leadership and management for safety, and </w:t>
      </w:r>
      <w:r w:rsidR="00276083">
        <w:rPr>
          <w:lang w:val="en-GB" w:eastAsia="en-GB"/>
        </w:rPr>
        <w:t>replaces</w:t>
      </w:r>
      <w:r w:rsidRPr="00820992">
        <w:rPr>
          <w:lang w:val="en-GB" w:eastAsia="en-GB"/>
        </w:rPr>
        <w:t xml:space="preserve"> GS-R-3 (</w:t>
      </w:r>
      <w:r w:rsidR="00D871CA">
        <w:rPr>
          <w:lang w:val="en-GB" w:eastAsia="en-GB"/>
        </w:rPr>
        <w:t xml:space="preserve">The Management System for Facilities and Activities, published in </w:t>
      </w:r>
      <w:r w:rsidRPr="00820992">
        <w:rPr>
          <w:lang w:val="en-GB" w:eastAsia="en-GB"/>
        </w:rPr>
        <w:t>2006)</w:t>
      </w:r>
      <w:r w:rsidR="00820992">
        <w:rPr>
          <w:lang w:val="en-GB" w:eastAsia="en-GB"/>
        </w:rPr>
        <w:t>.  GSR Part 2</w:t>
      </w:r>
      <w:r w:rsidRPr="00820992">
        <w:rPr>
          <w:lang w:val="en-GB" w:eastAsia="en-GB"/>
        </w:rPr>
        <w:t xml:space="preserve"> addresses the same topics as GS-R-3, i.e. management for safety and culture for safety</w:t>
      </w:r>
      <w:r w:rsidR="00820992">
        <w:rPr>
          <w:lang w:val="en-GB" w:eastAsia="en-GB"/>
        </w:rPr>
        <w:t xml:space="preserve">, but also </w:t>
      </w:r>
      <w:r w:rsidRPr="00820992">
        <w:rPr>
          <w:lang w:val="en-GB" w:eastAsia="en-GB"/>
        </w:rPr>
        <w:t xml:space="preserve">covers new topics, i.e. leadership for safety, and assessment and continuous improvement of leadership and culture for safety. In addition, GSR Part 2 strengthens the requirements for the supply chain, the involvement of interested parties and the interface between safety and security. </w:t>
      </w:r>
    </w:p>
    <w:p w14:paraId="5934E1D8" w14:textId="77777777" w:rsidR="003730B4" w:rsidRPr="00820992" w:rsidRDefault="003730B4" w:rsidP="003730B4">
      <w:pPr>
        <w:autoSpaceDE w:val="0"/>
        <w:autoSpaceDN w:val="0"/>
        <w:adjustRightInd w:val="0"/>
        <w:spacing w:after="120"/>
        <w:jc w:val="both"/>
        <w:rPr>
          <w:lang w:val="en-GB" w:eastAsia="en-GB"/>
        </w:rPr>
      </w:pPr>
      <w:r w:rsidRPr="00820992">
        <w:rPr>
          <w:lang w:val="en-GB" w:eastAsia="en-GB"/>
        </w:rPr>
        <w:t>GS-G-3.1 (</w:t>
      </w:r>
      <w:r w:rsidR="00D871CA">
        <w:rPr>
          <w:lang w:val="en-GB" w:eastAsia="en-GB"/>
        </w:rPr>
        <w:t xml:space="preserve">Application of the Management System for Facilities and Activities, </w:t>
      </w:r>
      <w:r w:rsidRPr="00820992">
        <w:rPr>
          <w:lang w:val="en-GB" w:eastAsia="en-GB"/>
        </w:rPr>
        <w:t>published in 2006) provide</w:t>
      </w:r>
      <w:r w:rsidR="00D871CA">
        <w:rPr>
          <w:lang w:val="en-GB" w:eastAsia="en-GB"/>
        </w:rPr>
        <w:t>d</w:t>
      </w:r>
      <w:r w:rsidRPr="00820992">
        <w:rPr>
          <w:lang w:val="en-GB" w:eastAsia="en-GB"/>
        </w:rPr>
        <w:t xml:space="preserve"> recommendations on meeting the requirements of GS-R-3 for all facilities and activities. Consequently, it focuse</w:t>
      </w:r>
      <w:r w:rsidR="00D871CA">
        <w:rPr>
          <w:lang w:val="en-GB" w:eastAsia="en-GB"/>
        </w:rPr>
        <w:t>d</w:t>
      </w:r>
      <w:r w:rsidRPr="00820992">
        <w:rPr>
          <w:lang w:val="en-GB" w:eastAsia="en-GB"/>
        </w:rPr>
        <w:t xml:space="preserve"> primarily on the management system and safety culture, </w:t>
      </w:r>
      <w:r w:rsidR="00D871CA">
        <w:rPr>
          <w:lang w:val="en-GB" w:eastAsia="en-GB"/>
        </w:rPr>
        <w:t>and</w:t>
      </w:r>
      <w:r w:rsidR="00D871CA" w:rsidRPr="00820992">
        <w:rPr>
          <w:lang w:val="en-GB" w:eastAsia="en-GB"/>
        </w:rPr>
        <w:t xml:space="preserve"> </w:t>
      </w:r>
      <w:r w:rsidR="00D871CA">
        <w:rPr>
          <w:lang w:val="en-GB" w:eastAsia="en-GB"/>
        </w:rPr>
        <w:t>did</w:t>
      </w:r>
      <w:r w:rsidR="00D871CA" w:rsidRPr="00820992">
        <w:rPr>
          <w:lang w:val="en-GB" w:eastAsia="en-GB"/>
        </w:rPr>
        <w:t xml:space="preserve"> </w:t>
      </w:r>
      <w:r w:rsidRPr="00820992">
        <w:rPr>
          <w:lang w:val="en-GB" w:eastAsia="en-GB"/>
        </w:rPr>
        <w:t>not address the new topics introduced in GSR Part 2.</w:t>
      </w:r>
    </w:p>
    <w:p w14:paraId="5CC8EFFD" w14:textId="77777777" w:rsidR="003730B4" w:rsidRPr="00820992" w:rsidRDefault="003730B4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23AB928E" w14:textId="77777777" w:rsidR="003730B4" w:rsidRPr="00820992" w:rsidRDefault="00A17C97" w:rsidP="003730B4">
      <w:pPr>
        <w:pStyle w:val="BodyText"/>
        <w:spacing w:after="120"/>
        <w:rPr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3</w:t>
      </w:r>
      <w:r w:rsidR="00142442" w:rsidRPr="00820992">
        <w:rPr>
          <w:b/>
          <w:bCs/>
          <w:sz w:val="24"/>
          <w:szCs w:val="24"/>
        </w:rPr>
        <w:t xml:space="preserve">. </w:t>
      </w:r>
      <w:r w:rsidR="00481A4D" w:rsidRPr="00820992">
        <w:rPr>
          <w:b/>
          <w:bCs/>
          <w:sz w:val="24"/>
          <w:szCs w:val="24"/>
        </w:rPr>
        <w:t>JUSTIFICATION</w:t>
      </w:r>
      <w:r w:rsidR="009561A5" w:rsidRPr="00820992">
        <w:rPr>
          <w:b/>
          <w:bCs/>
          <w:sz w:val="24"/>
          <w:szCs w:val="24"/>
        </w:rPr>
        <w:t xml:space="preserve"> </w:t>
      </w:r>
      <w:r w:rsidR="00E0263C" w:rsidRPr="00820992">
        <w:rPr>
          <w:b/>
          <w:bCs/>
          <w:sz w:val="24"/>
          <w:szCs w:val="24"/>
        </w:rPr>
        <w:t xml:space="preserve">FOR THE PRODUCTION OF THE DOCUMENT </w:t>
      </w:r>
      <w:r w:rsidR="00481A4D" w:rsidRPr="00820992">
        <w:rPr>
          <w:b/>
          <w:bCs/>
          <w:sz w:val="24"/>
          <w:szCs w:val="24"/>
        </w:rPr>
        <w:br/>
      </w:r>
      <w:r w:rsidR="003730B4" w:rsidRPr="00820992">
        <w:rPr>
          <w:bCs/>
          <w:sz w:val="24"/>
          <w:szCs w:val="24"/>
        </w:rPr>
        <w:t>The proposed General Safety Guide is need</w:t>
      </w:r>
      <w:r w:rsidR="00820992">
        <w:rPr>
          <w:bCs/>
          <w:sz w:val="24"/>
          <w:szCs w:val="24"/>
        </w:rPr>
        <w:t>ed</w:t>
      </w:r>
      <w:r w:rsidR="003730B4" w:rsidRPr="00820992">
        <w:rPr>
          <w:bCs/>
          <w:sz w:val="24"/>
          <w:szCs w:val="24"/>
        </w:rPr>
        <w:t xml:space="preserve"> for the following reasons:</w:t>
      </w:r>
    </w:p>
    <w:p w14:paraId="08221CAB" w14:textId="77777777" w:rsidR="003730B4" w:rsidRPr="00820992" w:rsidRDefault="003730B4" w:rsidP="003730B4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 w:rsidRPr="00820992">
        <w:rPr>
          <w:bCs/>
          <w:sz w:val="24"/>
          <w:szCs w:val="24"/>
        </w:rPr>
        <w:t xml:space="preserve">To provide recommendations that fully address </w:t>
      </w:r>
      <w:r w:rsidR="00820992" w:rsidRPr="00820992">
        <w:rPr>
          <w:bCs/>
          <w:sz w:val="24"/>
          <w:szCs w:val="24"/>
        </w:rPr>
        <w:t>Principle 3</w:t>
      </w:r>
      <w:r w:rsidR="00820992">
        <w:rPr>
          <w:bCs/>
          <w:sz w:val="24"/>
          <w:szCs w:val="24"/>
        </w:rPr>
        <w:t xml:space="preserve"> of </w:t>
      </w:r>
      <w:r w:rsidRPr="00820992">
        <w:rPr>
          <w:bCs/>
          <w:sz w:val="24"/>
          <w:szCs w:val="24"/>
        </w:rPr>
        <w:t>SF-1, especially in relation to leadership for safety.</w:t>
      </w:r>
    </w:p>
    <w:p w14:paraId="1FB27FC0" w14:textId="77777777" w:rsidR="003730B4" w:rsidRPr="00820992" w:rsidRDefault="003730B4" w:rsidP="003730B4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 w:rsidRPr="00820992">
        <w:rPr>
          <w:bCs/>
          <w:sz w:val="24"/>
          <w:szCs w:val="24"/>
        </w:rPr>
        <w:lastRenderedPageBreak/>
        <w:t>To update GS-G-3.1 to take account of the new or strengthened requirements introduced by GSR Part 2</w:t>
      </w:r>
      <w:r w:rsidR="00DB7F78">
        <w:rPr>
          <w:bCs/>
          <w:sz w:val="24"/>
          <w:szCs w:val="24"/>
        </w:rPr>
        <w:t>.</w:t>
      </w:r>
      <w:r w:rsidRPr="00820992">
        <w:rPr>
          <w:bCs/>
          <w:sz w:val="24"/>
          <w:szCs w:val="24"/>
        </w:rPr>
        <w:t xml:space="preserve"> </w:t>
      </w:r>
    </w:p>
    <w:p w14:paraId="1DDBA1FF" w14:textId="5D165660" w:rsidR="003730B4" w:rsidRPr="00820992" w:rsidRDefault="003730B4" w:rsidP="003730B4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 w:rsidRPr="00820992">
        <w:rPr>
          <w:bCs/>
          <w:sz w:val="24"/>
          <w:szCs w:val="24"/>
        </w:rPr>
        <w:t xml:space="preserve">A gap analysis </w:t>
      </w:r>
      <w:r w:rsidR="00681222">
        <w:rPr>
          <w:bCs/>
          <w:sz w:val="24"/>
          <w:szCs w:val="24"/>
        </w:rPr>
        <w:t>of</w:t>
      </w:r>
      <w:r w:rsidRPr="00820992">
        <w:rPr>
          <w:bCs/>
          <w:sz w:val="24"/>
          <w:szCs w:val="24"/>
        </w:rPr>
        <w:t xml:space="preserve"> the coverage of leadership</w:t>
      </w:r>
      <w:r w:rsidR="00DB7F78">
        <w:rPr>
          <w:bCs/>
          <w:sz w:val="24"/>
          <w:szCs w:val="24"/>
        </w:rPr>
        <w:t>,</w:t>
      </w:r>
      <w:r w:rsidRPr="00820992">
        <w:rPr>
          <w:bCs/>
          <w:sz w:val="24"/>
          <w:szCs w:val="24"/>
        </w:rPr>
        <w:t xml:space="preserve"> management</w:t>
      </w:r>
      <w:r w:rsidR="00DB7F78">
        <w:rPr>
          <w:bCs/>
          <w:sz w:val="24"/>
          <w:szCs w:val="24"/>
        </w:rPr>
        <w:t>,</w:t>
      </w:r>
      <w:r w:rsidRPr="00820992">
        <w:rPr>
          <w:bCs/>
          <w:sz w:val="24"/>
          <w:szCs w:val="24"/>
        </w:rPr>
        <w:t xml:space="preserve"> </w:t>
      </w:r>
      <w:r w:rsidR="00DB7F78">
        <w:rPr>
          <w:bCs/>
          <w:sz w:val="24"/>
          <w:szCs w:val="24"/>
        </w:rPr>
        <w:t xml:space="preserve">safety culture, and measurement, assessment and improvement </w:t>
      </w:r>
      <w:r w:rsidRPr="00820992">
        <w:rPr>
          <w:bCs/>
          <w:sz w:val="24"/>
          <w:szCs w:val="24"/>
        </w:rPr>
        <w:t>in existing safety standards</w:t>
      </w:r>
      <w:r w:rsidR="00681222">
        <w:rPr>
          <w:bCs/>
          <w:sz w:val="24"/>
          <w:szCs w:val="24"/>
        </w:rPr>
        <w:t xml:space="preserve"> </w:t>
      </w:r>
      <w:r w:rsidRPr="00820992">
        <w:rPr>
          <w:bCs/>
          <w:sz w:val="24"/>
          <w:szCs w:val="24"/>
        </w:rPr>
        <w:t xml:space="preserve">indicated that there </w:t>
      </w:r>
      <w:r w:rsidR="00820992">
        <w:rPr>
          <w:bCs/>
          <w:sz w:val="24"/>
          <w:szCs w:val="24"/>
        </w:rPr>
        <w:t>is</w:t>
      </w:r>
      <w:r w:rsidRPr="00820992">
        <w:rPr>
          <w:bCs/>
          <w:sz w:val="24"/>
          <w:szCs w:val="24"/>
        </w:rPr>
        <w:t xml:space="preserve"> </w:t>
      </w:r>
      <w:r w:rsidR="00681222">
        <w:rPr>
          <w:bCs/>
          <w:sz w:val="24"/>
          <w:szCs w:val="24"/>
        </w:rPr>
        <w:t xml:space="preserve">currently </w:t>
      </w:r>
      <w:r w:rsidRPr="00820992">
        <w:rPr>
          <w:bCs/>
          <w:sz w:val="24"/>
          <w:szCs w:val="24"/>
        </w:rPr>
        <w:t xml:space="preserve">a lack of </w:t>
      </w:r>
      <w:r w:rsidR="00820992">
        <w:rPr>
          <w:bCs/>
          <w:sz w:val="24"/>
          <w:szCs w:val="24"/>
        </w:rPr>
        <w:t>recommendations and guidance</w:t>
      </w:r>
      <w:r w:rsidRPr="00820992">
        <w:rPr>
          <w:bCs/>
          <w:sz w:val="24"/>
          <w:szCs w:val="24"/>
        </w:rPr>
        <w:t xml:space="preserve"> for non-nuclear facilities, especially </w:t>
      </w:r>
      <w:r w:rsidR="00820992">
        <w:rPr>
          <w:bCs/>
          <w:sz w:val="24"/>
          <w:szCs w:val="24"/>
        </w:rPr>
        <w:t>in relation to</w:t>
      </w:r>
      <w:r w:rsidRPr="00820992">
        <w:rPr>
          <w:bCs/>
          <w:sz w:val="24"/>
          <w:szCs w:val="24"/>
        </w:rPr>
        <w:t xml:space="preserve"> leadership for safety</w:t>
      </w:r>
      <w:r w:rsidR="00681222">
        <w:rPr>
          <w:bCs/>
          <w:sz w:val="24"/>
          <w:szCs w:val="24"/>
        </w:rPr>
        <w:t xml:space="preserve">.  The new General Safety Guide </w:t>
      </w:r>
      <w:r w:rsidRPr="00820992">
        <w:rPr>
          <w:bCs/>
          <w:sz w:val="24"/>
          <w:szCs w:val="24"/>
        </w:rPr>
        <w:t xml:space="preserve">will address </w:t>
      </w:r>
      <w:r w:rsidR="00681222">
        <w:rPr>
          <w:bCs/>
          <w:sz w:val="24"/>
          <w:szCs w:val="24"/>
        </w:rPr>
        <w:t>this</w:t>
      </w:r>
      <w:r w:rsidRPr="00820992">
        <w:rPr>
          <w:bCs/>
          <w:sz w:val="24"/>
          <w:szCs w:val="24"/>
        </w:rPr>
        <w:t xml:space="preserve">. </w:t>
      </w:r>
    </w:p>
    <w:p w14:paraId="0DE284CA" w14:textId="50378DDB" w:rsidR="003730B4" w:rsidRPr="00820992" w:rsidRDefault="003730B4" w:rsidP="003730B4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 w:rsidRPr="00820992">
        <w:rPr>
          <w:bCs/>
          <w:sz w:val="24"/>
          <w:szCs w:val="24"/>
        </w:rPr>
        <w:t xml:space="preserve">To provide guidance on </w:t>
      </w:r>
      <w:r w:rsidR="00DB7F78">
        <w:rPr>
          <w:bCs/>
          <w:sz w:val="24"/>
          <w:szCs w:val="24"/>
        </w:rPr>
        <w:t>applying</w:t>
      </w:r>
      <w:r w:rsidRPr="00820992">
        <w:rPr>
          <w:bCs/>
          <w:sz w:val="24"/>
          <w:szCs w:val="24"/>
        </w:rPr>
        <w:t xml:space="preserve"> a graded approach </w:t>
      </w:r>
      <w:r w:rsidR="00F44603">
        <w:rPr>
          <w:bCs/>
          <w:sz w:val="24"/>
          <w:szCs w:val="24"/>
        </w:rPr>
        <w:t xml:space="preserve">to </w:t>
      </w:r>
      <w:r w:rsidR="00D871CA">
        <w:rPr>
          <w:bCs/>
          <w:sz w:val="24"/>
          <w:szCs w:val="24"/>
        </w:rPr>
        <w:t xml:space="preserve">the application of the requirements of GSR Part 2 </w:t>
      </w:r>
      <w:r w:rsidR="00F44603">
        <w:rPr>
          <w:bCs/>
          <w:sz w:val="24"/>
          <w:szCs w:val="24"/>
        </w:rPr>
        <w:t>at</w:t>
      </w:r>
      <w:r w:rsidR="00F44603" w:rsidRPr="00820992">
        <w:rPr>
          <w:bCs/>
          <w:sz w:val="24"/>
          <w:szCs w:val="24"/>
        </w:rPr>
        <w:t xml:space="preserve"> </w:t>
      </w:r>
      <w:r w:rsidRPr="00820992">
        <w:rPr>
          <w:bCs/>
          <w:sz w:val="24"/>
          <w:szCs w:val="24"/>
        </w:rPr>
        <w:t xml:space="preserve">facilities </w:t>
      </w:r>
      <w:r w:rsidR="00F44603">
        <w:rPr>
          <w:bCs/>
          <w:sz w:val="24"/>
          <w:szCs w:val="24"/>
        </w:rPr>
        <w:t xml:space="preserve">of widely varying size </w:t>
      </w:r>
      <w:r w:rsidRPr="00820992">
        <w:rPr>
          <w:bCs/>
          <w:sz w:val="24"/>
          <w:szCs w:val="24"/>
        </w:rPr>
        <w:t xml:space="preserve">and </w:t>
      </w:r>
      <w:r w:rsidR="00F44603">
        <w:rPr>
          <w:bCs/>
          <w:sz w:val="24"/>
          <w:szCs w:val="24"/>
        </w:rPr>
        <w:t xml:space="preserve">with </w:t>
      </w:r>
      <w:r w:rsidRPr="00820992">
        <w:rPr>
          <w:bCs/>
          <w:sz w:val="24"/>
          <w:szCs w:val="24"/>
        </w:rPr>
        <w:t>activities</w:t>
      </w:r>
      <w:r w:rsidR="00F44603">
        <w:rPr>
          <w:bCs/>
          <w:sz w:val="24"/>
          <w:szCs w:val="24"/>
        </w:rPr>
        <w:t xml:space="preserve"> of widely varying risk profiles</w:t>
      </w:r>
      <w:r w:rsidRPr="00820992">
        <w:rPr>
          <w:bCs/>
          <w:sz w:val="24"/>
          <w:szCs w:val="24"/>
        </w:rPr>
        <w:t>.</w:t>
      </w:r>
    </w:p>
    <w:p w14:paraId="460CE1FE" w14:textId="6C44FEF2" w:rsidR="00DB7F78" w:rsidRDefault="00DB7F78" w:rsidP="00DB7F7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 w:rsidRPr="00820992">
        <w:rPr>
          <w:bCs/>
          <w:sz w:val="24"/>
          <w:szCs w:val="24"/>
        </w:rPr>
        <w:t>To take account of revisions to other safety standards since the publication of GS-G-3.1 in 2006.</w:t>
      </w:r>
    </w:p>
    <w:p w14:paraId="2DF57D28" w14:textId="04BA4C40" w:rsidR="003C19E4" w:rsidRPr="00820992" w:rsidRDefault="003C19E4" w:rsidP="00DB7F7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bookmarkStart w:id="1" w:name="_Hlk7705507"/>
      <w:r>
        <w:rPr>
          <w:bCs/>
          <w:sz w:val="24"/>
          <w:szCs w:val="24"/>
        </w:rPr>
        <w:t>To emphasize, as necessary, the concept of quality in the context of management systems</w:t>
      </w:r>
    </w:p>
    <w:bookmarkEnd w:id="1"/>
    <w:p w14:paraId="7746B858" w14:textId="77777777" w:rsidR="00820992" w:rsidRPr="00820992" w:rsidRDefault="003730B4" w:rsidP="003730B4">
      <w:pPr>
        <w:pStyle w:val="BodyText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lang w:eastAsia="en-GB"/>
        </w:rPr>
      </w:pPr>
      <w:r w:rsidRPr="00820992">
        <w:rPr>
          <w:bCs/>
          <w:sz w:val="24"/>
          <w:szCs w:val="24"/>
        </w:rPr>
        <w:t>To incorporate feedback from Member States, including lessons from the Fukushima Daiichi accident and other events.</w:t>
      </w:r>
    </w:p>
    <w:p w14:paraId="6F1AF776" w14:textId="77777777" w:rsidR="00820992" w:rsidRPr="00820992" w:rsidRDefault="003730B4" w:rsidP="003730B4">
      <w:pPr>
        <w:pStyle w:val="BodyText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lang w:eastAsia="en-GB"/>
        </w:rPr>
      </w:pPr>
      <w:r w:rsidRPr="00820992">
        <w:rPr>
          <w:sz w:val="24"/>
          <w:szCs w:val="24"/>
          <w:lang w:eastAsia="en-GB"/>
        </w:rPr>
        <w:t>To incorporate experience gained from IAEA peer review missions.</w:t>
      </w:r>
    </w:p>
    <w:p w14:paraId="78944E7E" w14:textId="77777777" w:rsidR="003730B4" w:rsidRPr="00D871CA" w:rsidRDefault="003730B4" w:rsidP="00D871CA">
      <w:pPr>
        <w:pStyle w:val="BodyText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sz w:val="24"/>
          <w:szCs w:val="24"/>
          <w:lang w:eastAsia="en-GB"/>
        </w:rPr>
      </w:pPr>
      <w:r w:rsidRPr="00D871CA">
        <w:rPr>
          <w:sz w:val="24"/>
          <w:szCs w:val="24"/>
          <w:lang w:eastAsia="en-GB"/>
        </w:rPr>
        <w:t>To take account of new and emerging practices and technologies, for example in the medical and nuclear sectors.</w:t>
      </w:r>
    </w:p>
    <w:p w14:paraId="6C9435E0" w14:textId="77777777" w:rsidR="003730B4" w:rsidRPr="00820992" w:rsidRDefault="003730B4" w:rsidP="003730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lang w:val="en-GB" w:eastAsia="en-GB"/>
        </w:rPr>
      </w:pPr>
      <w:r w:rsidRPr="00820992">
        <w:rPr>
          <w:lang w:val="en-GB" w:eastAsia="en-GB"/>
        </w:rPr>
        <w:t xml:space="preserve">To establish a new General Safety Guide that will serve as a basis for the future development of Specific Safety Guides (or individual sections of </w:t>
      </w:r>
      <w:r w:rsidR="00820992">
        <w:rPr>
          <w:lang w:val="en-GB" w:eastAsia="en-GB"/>
        </w:rPr>
        <w:t>such</w:t>
      </w:r>
      <w:r w:rsidRPr="00820992">
        <w:rPr>
          <w:lang w:val="en-GB" w:eastAsia="en-GB"/>
        </w:rPr>
        <w:t xml:space="preserve"> guides) on </w:t>
      </w:r>
      <w:r w:rsidR="00820992" w:rsidRPr="00820992">
        <w:rPr>
          <w:lang w:val="en-GB" w:eastAsia="en-GB"/>
        </w:rPr>
        <w:t>leadership</w:t>
      </w:r>
      <w:r w:rsidR="00820992">
        <w:rPr>
          <w:lang w:val="en-GB" w:eastAsia="en-GB"/>
        </w:rPr>
        <w:t xml:space="preserve">, </w:t>
      </w:r>
      <w:r w:rsidR="00820992" w:rsidRPr="00820992">
        <w:rPr>
          <w:lang w:val="en-GB" w:eastAsia="en-GB"/>
        </w:rPr>
        <w:t>management</w:t>
      </w:r>
      <w:r w:rsidRPr="00820992">
        <w:rPr>
          <w:lang w:val="en-GB" w:eastAsia="en-GB"/>
        </w:rPr>
        <w:t xml:space="preserve"> </w:t>
      </w:r>
      <w:r w:rsidR="00820992">
        <w:rPr>
          <w:lang w:val="en-GB" w:eastAsia="en-GB"/>
        </w:rPr>
        <w:t xml:space="preserve">and culture </w:t>
      </w:r>
      <w:r w:rsidRPr="00820992">
        <w:rPr>
          <w:lang w:val="en-GB" w:eastAsia="en-GB"/>
        </w:rPr>
        <w:t xml:space="preserve">for safety </w:t>
      </w:r>
      <w:r w:rsidR="00820992">
        <w:rPr>
          <w:lang w:val="en-GB" w:eastAsia="en-GB"/>
        </w:rPr>
        <w:t>for</w:t>
      </w:r>
      <w:r w:rsidRPr="00820992">
        <w:rPr>
          <w:lang w:val="en-GB" w:eastAsia="en-GB"/>
        </w:rPr>
        <w:t xml:space="preserve"> specific facilities and/or activities.</w:t>
      </w:r>
    </w:p>
    <w:p w14:paraId="0CE3C731" w14:textId="77777777" w:rsidR="003730B4" w:rsidRPr="00820992" w:rsidRDefault="003730B4" w:rsidP="00373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95D5D2C" w14:textId="77777777" w:rsidR="003730B4" w:rsidRPr="00820992" w:rsidRDefault="00A17C97" w:rsidP="003730B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20992">
        <w:rPr>
          <w:rFonts w:ascii="Times New Roman" w:hAnsi="Times New Roman" w:cs="Times New Roman"/>
          <w:b/>
          <w:bCs/>
        </w:rPr>
        <w:t>4. OBJECTIVE</w:t>
      </w:r>
      <w:r w:rsidR="00E0263C" w:rsidRPr="00820992">
        <w:rPr>
          <w:rFonts w:ascii="Times New Roman" w:hAnsi="Times New Roman" w:cs="Times New Roman"/>
          <w:b/>
          <w:bCs/>
        </w:rPr>
        <w:t xml:space="preserve"> </w:t>
      </w:r>
      <w:r w:rsidRPr="00820992">
        <w:rPr>
          <w:rFonts w:ascii="Times New Roman" w:hAnsi="Times New Roman" w:cs="Times New Roman"/>
          <w:b/>
          <w:bCs/>
        </w:rPr>
        <w:br/>
      </w:r>
      <w:r w:rsidR="003730B4" w:rsidRPr="00820992">
        <w:rPr>
          <w:rFonts w:ascii="Times New Roman" w:hAnsi="Times New Roman" w:cs="Times New Roman"/>
        </w:rPr>
        <w:t>The objective of the proposed General Safety Guide is to provide recommendations for all facilities and activities on how to comply with each of the</w:t>
      </w:r>
      <w:r w:rsidR="00DB7F78">
        <w:rPr>
          <w:rFonts w:ascii="Times New Roman" w:hAnsi="Times New Roman" w:cs="Times New Roman"/>
          <w:u w:val="single"/>
        </w:rPr>
        <w:t xml:space="preserve"> </w:t>
      </w:r>
      <w:r w:rsidR="003730B4" w:rsidRPr="00820992">
        <w:rPr>
          <w:rFonts w:ascii="Times New Roman" w:hAnsi="Times New Roman" w:cs="Times New Roman"/>
        </w:rPr>
        <w:t xml:space="preserve">requirements established in GSR Part 2. </w:t>
      </w:r>
    </w:p>
    <w:p w14:paraId="2DCC2791" w14:textId="6E7CB4F4" w:rsidR="003730B4" w:rsidRPr="00820992" w:rsidRDefault="003730B4" w:rsidP="003730B4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20992">
        <w:rPr>
          <w:rFonts w:ascii="Times New Roman" w:hAnsi="Times New Roman" w:cs="Times New Roman"/>
        </w:rPr>
        <w:t>The recommendations are aimed at operating organizations, regulatory bodies</w:t>
      </w:r>
      <w:r w:rsidR="00F44603">
        <w:rPr>
          <w:rFonts w:ascii="Times New Roman" w:hAnsi="Times New Roman" w:cs="Times New Roman"/>
        </w:rPr>
        <w:t xml:space="preserve"> (rather than their regulatory oversight activities</w:t>
      </w:r>
      <w:r w:rsidR="003B1FF0">
        <w:rPr>
          <w:rFonts w:ascii="Times New Roman" w:hAnsi="Times New Roman" w:cs="Times New Roman"/>
        </w:rPr>
        <w:t xml:space="preserve"> in leadership and culture for safety</w:t>
      </w:r>
      <w:r w:rsidR="00F44603">
        <w:rPr>
          <w:rFonts w:ascii="Times New Roman" w:hAnsi="Times New Roman" w:cs="Times New Roman"/>
        </w:rPr>
        <w:t>)</w:t>
      </w:r>
      <w:r w:rsidRPr="00820992">
        <w:rPr>
          <w:rFonts w:ascii="Times New Roman" w:hAnsi="Times New Roman" w:cs="Times New Roman"/>
        </w:rPr>
        <w:t>, emergency response organizations and authorities, and other par</w:t>
      </w:r>
      <w:r w:rsidR="00820992">
        <w:rPr>
          <w:rFonts w:ascii="Times New Roman" w:hAnsi="Times New Roman" w:cs="Times New Roman"/>
        </w:rPr>
        <w:t>t</w:t>
      </w:r>
      <w:r w:rsidRPr="00820992">
        <w:rPr>
          <w:rFonts w:ascii="Times New Roman" w:hAnsi="Times New Roman" w:cs="Times New Roman"/>
        </w:rPr>
        <w:t>ies with responsibilities relevant to leadership and management for safety</w:t>
      </w:r>
      <w:r w:rsidR="003B1FF0">
        <w:rPr>
          <w:rFonts w:ascii="Times New Roman" w:hAnsi="Times New Roman" w:cs="Times New Roman"/>
        </w:rPr>
        <w:t xml:space="preserve"> </w:t>
      </w:r>
      <w:r w:rsidR="003B1FF0">
        <w:t xml:space="preserve">who directly influence safety in facilities and activities. The guidance can also be used by those who have responsibilities to ensure that the delivery of services, the suppliers and manufacturers </w:t>
      </w:r>
      <w:proofErr w:type="spellStart"/>
      <w:r w:rsidR="003B1FF0">
        <w:t>eg</w:t>
      </w:r>
      <w:proofErr w:type="spellEnd"/>
      <w:r w:rsidR="003B1FF0">
        <w:t xml:space="preserve"> Vendors and designers, also know the guidance to meet the requirements in GSR part </w:t>
      </w:r>
      <w:proofErr w:type="gramStart"/>
      <w:r w:rsidR="003B1FF0">
        <w:t>2.</w:t>
      </w:r>
      <w:r w:rsidRPr="00820992">
        <w:rPr>
          <w:rFonts w:ascii="Times New Roman" w:hAnsi="Times New Roman" w:cs="Times New Roman"/>
        </w:rPr>
        <w:t>.</w:t>
      </w:r>
      <w:proofErr w:type="gramEnd"/>
    </w:p>
    <w:p w14:paraId="0C16C390" w14:textId="77777777" w:rsidR="003730B4" w:rsidRPr="00820992" w:rsidRDefault="003730B4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605935A4" w14:textId="638743DF" w:rsidR="00D871CA" w:rsidRDefault="00C710DB" w:rsidP="00820992">
      <w:pPr>
        <w:pStyle w:val="BodyText"/>
        <w:spacing w:after="120"/>
        <w:rPr>
          <w:iCs/>
          <w:sz w:val="24"/>
          <w:szCs w:val="24"/>
        </w:rPr>
      </w:pPr>
      <w:r w:rsidRPr="00820992">
        <w:rPr>
          <w:b/>
          <w:bCs/>
          <w:sz w:val="24"/>
          <w:szCs w:val="24"/>
        </w:rPr>
        <w:t xml:space="preserve">5. SCOPE </w:t>
      </w:r>
      <w:r w:rsidRPr="00820992">
        <w:rPr>
          <w:b/>
          <w:bCs/>
          <w:sz w:val="24"/>
          <w:szCs w:val="24"/>
        </w:rPr>
        <w:br/>
      </w:r>
      <w:r w:rsidR="003730B4" w:rsidRPr="00820992">
        <w:rPr>
          <w:iCs/>
          <w:sz w:val="24"/>
          <w:szCs w:val="24"/>
        </w:rPr>
        <w:t xml:space="preserve">This General Safety Guide will </w:t>
      </w:r>
      <w:r w:rsidR="00D871CA">
        <w:rPr>
          <w:iCs/>
          <w:sz w:val="24"/>
          <w:szCs w:val="24"/>
        </w:rPr>
        <w:t xml:space="preserve">have the same scope as GSR Part 2, i.e. it will </w:t>
      </w:r>
      <w:r w:rsidR="003730B4" w:rsidRPr="00820992">
        <w:rPr>
          <w:iCs/>
          <w:sz w:val="24"/>
          <w:szCs w:val="24"/>
        </w:rPr>
        <w:t xml:space="preserve">address all facilities and activities, </w:t>
      </w:r>
      <w:r w:rsidR="00D871CA">
        <w:rPr>
          <w:iCs/>
          <w:sz w:val="24"/>
          <w:szCs w:val="24"/>
        </w:rPr>
        <w:t>for</w:t>
      </w:r>
      <w:r w:rsidR="003730B4" w:rsidRPr="00820992">
        <w:rPr>
          <w:iCs/>
          <w:sz w:val="24"/>
          <w:szCs w:val="24"/>
        </w:rPr>
        <w:t xml:space="preserve"> the full lifetime of these facilities and </w:t>
      </w:r>
      <w:r w:rsidR="00D871CA">
        <w:rPr>
          <w:iCs/>
          <w:sz w:val="24"/>
          <w:szCs w:val="24"/>
        </w:rPr>
        <w:t xml:space="preserve">duration of these </w:t>
      </w:r>
      <w:r w:rsidR="003730B4" w:rsidRPr="00820992">
        <w:rPr>
          <w:iCs/>
          <w:sz w:val="24"/>
          <w:szCs w:val="24"/>
        </w:rPr>
        <w:t>activities</w:t>
      </w:r>
      <w:r w:rsidR="00D871CA">
        <w:rPr>
          <w:iCs/>
          <w:sz w:val="24"/>
          <w:szCs w:val="24"/>
        </w:rPr>
        <w:t xml:space="preserve">, and for all operational states and accident conditions, and in a nuclear or radiological emergency. </w:t>
      </w:r>
    </w:p>
    <w:p w14:paraId="596BB59C" w14:textId="77777777" w:rsidR="003730B4" w:rsidRPr="00820992" w:rsidRDefault="00D871CA" w:rsidP="00820992">
      <w:pPr>
        <w:pStyle w:val="BodyText"/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The General Safety Guide will also provide guidance applicable for the functions and activities of the regulatory body, and for other government organizations as appropriate.</w:t>
      </w:r>
    </w:p>
    <w:p w14:paraId="14230421" w14:textId="57439DA6" w:rsidR="003730B4" w:rsidRPr="00820992" w:rsidRDefault="003730B4" w:rsidP="00820992">
      <w:pPr>
        <w:pStyle w:val="BodyText"/>
        <w:spacing w:after="120"/>
        <w:rPr>
          <w:iCs/>
          <w:sz w:val="24"/>
          <w:szCs w:val="24"/>
        </w:rPr>
      </w:pPr>
      <w:r w:rsidRPr="00820992">
        <w:rPr>
          <w:iCs/>
          <w:sz w:val="24"/>
          <w:szCs w:val="24"/>
        </w:rPr>
        <w:t xml:space="preserve">This General Safety Guide will not address leadership and management for </w:t>
      </w:r>
      <w:r w:rsidR="00D871CA">
        <w:rPr>
          <w:iCs/>
          <w:sz w:val="24"/>
          <w:szCs w:val="24"/>
        </w:rPr>
        <w:t xml:space="preserve">nuclear </w:t>
      </w:r>
      <w:r w:rsidRPr="00820992">
        <w:rPr>
          <w:iCs/>
          <w:sz w:val="24"/>
          <w:szCs w:val="24"/>
        </w:rPr>
        <w:t xml:space="preserve">security, although the interfaces between safety and </w:t>
      </w:r>
      <w:r w:rsidR="00D871CA">
        <w:rPr>
          <w:iCs/>
          <w:sz w:val="24"/>
          <w:szCs w:val="24"/>
        </w:rPr>
        <w:t xml:space="preserve">nuclear </w:t>
      </w:r>
      <w:r w:rsidRPr="00820992">
        <w:rPr>
          <w:iCs/>
          <w:sz w:val="24"/>
          <w:szCs w:val="24"/>
        </w:rPr>
        <w:t xml:space="preserve">security will be </w:t>
      </w:r>
      <w:r w:rsidR="00F44603">
        <w:rPr>
          <w:iCs/>
          <w:sz w:val="24"/>
          <w:szCs w:val="24"/>
        </w:rPr>
        <w:t>addressed (in an Appendix)</w:t>
      </w:r>
      <w:r w:rsidRPr="00820992">
        <w:rPr>
          <w:iCs/>
          <w:sz w:val="24"/>
          <w:szCs w:val="24"/>
        </w:rPr>
        <w:t>.</w:t>
      </w:r>
    </w:p>
    <w:p w14:paraId="1E623364" w14:textId="77777777" w:rsidR="003730B4" w:rsidRPr="00820992" w:rsidRDefault="003730B4" w:rsidP="003730B4">
      <w:pPr>
        <w:pStyle w:val="BodyText"/>
        <w:spacing w:after="120"/>
        <w:rPr>
          <w:b/>
          <w:bCs/>
          <w:sz w:val="24"/>
          <w:szCs w:val="24"/>
        </w:rPr>
      </w:pPr>
    </w:p>
    <w:p w14:paraId="385A4F28" w14:textId="77777777" w:rsidR="003730B4" w:rsidRPr="00820992" w:rsidRDefault="00C710DB" w:rsidP="003730B4">
      <w:pPr>
        <w:pStyle w:val="BodyText"/>
        <w:spacing w:after="120"/>
        <w:rPr>
          <w:iCs/>
          <w:sz w:val="24"/>
          <w:szCs w:val="24"/>
        </w:rPr>
      </w:pPr>
      <w:r w:rsidRPr="00820992">
        <w:rPr>
          <w:b/>
          <w:bCs/>
          <w:sz w:val="24"/>
          <w:szCs w:val="24"/>
        </w:rPr>
        <w:lastRenderedPageBreak/>
        <w:t>6</w:t>
      </w:r>
      <w:r w:rsidR="00142442" w:rsidRPr="00820992">
        <w:rPr>
          <w:b/>
          <w:bCs/>
          <w:sz w:val="24"/>
          <w:szCs w:val="24"/>
        </w:rPr>
        <w:t xml:space="preserve">. </w:t>
      </w:r>
      <w:r w:rsidR="00481A4D" w:rsidRPr="00820992">
        <w:rPr>
          <w:b/>
          <w:bCs/>
          <w:sz w:val="24"/>
          <w:szCs w:val="24"/>
        </w:rPr>
        <w:t>P</w:t>
      </w:r>
      <w:r w:rsidR="008347F7" w:rsidRPr="00820992">
        <w:rPr>
          <w:b/>
          <w:bCs/>
          <w:sz w:val="24"/>
          <w:szCs w:val="24"/>
        </w:rPr>
        <w:t>LACE</w:t>
      </w:r>
      <w:r w:rsidR="00481A4D" w:rsidRPr="00820992">
        <w:rPr>
          <w:b/>
          <w:bCs/>
          <w:sz w:val="24"/>
          <w:szCs w:val="24"/>
        </w:rPr>
        <w:t xml:space="preserve"> IN THE OVERALL STRUCTURE OF </w:t>
      </w:r>
      <w:r w:rsidR="0017772C" w:rsidRPr="00820992">
        <w:rPr>
          <w:b/>
          <w:bCs/>
          <w:sz w:val="24"/>
          <w:szCs w:val="24"/>
        </w:rPr>
        <w:t>THE RELEVANT SERIES</w:t>
      </w:r>
      <w:r w:rsidR="00481A4D" w:rsidRPr="00820992">
        <w:rPr>
          <w:b/>
          <w:bCs/>
          <w:sz w:val="24"/>
          <w:szCs w:val="24"/>
        </w:rPr>
        <w:t xml:space="preserve"> AND </w:t>
      </w:r>
      <w:r w:rsidR="00142442" w:rsidRPr="00820992">
        <w:rPr>
          <w:b/>
          <w:bCs/>
          <w:sz w:val="24"/>
          <w:szCs w:val="24"/>
        </w:rPr>
        <w:t>INTERFACES</w:t>
      </w:r>
      <w:r w:rsidR="00481A4D" w:rsidRPr="00820992">
        <w:rPr>
          <w:b/>
          <w:bCs/>
          <w:sz w:val="24"/>
          <w:szCs w:val="24"/>
        </w:rPr>
        <w:t xml:space="preserve"> WITH EXISTING AND/OR PLANNED </w:t>
      </w:r>
      <w:r w:rsidR="008347F7" w:rsidRPr="00820992">
        <w:rPr>
          <w:b/>
          <w:bCs/>
          <w:sz w:val="24"/>
          <w:szCs w:val="24"/>
        </w:rPr>
        <w:t xml:space="preserve">PUBLICATIONS </w:t>
      </w:r>
      <w:r w:rsidR="00142442" w:rsidRPr="00820992">
        <w:rPr>
          <w:b/>
          <w:bCs/>
          <w:sz w:val="24"/>
          <w:szCs w:val="24"/>
        </w:rPr>
        <w:br/>
      </w:r>
      <w:r w:rsidR="003730B4" w:rsidRPr="00820992">
        <w:rPr>
          <w:sz w:val="24"/>
          <w:szCs w:val="24"/>
        </w:rPr>
        <w:t xml:space="preserve">The proposed new Safety Guide will interface with </w:t>
      </w:r>
      <w:r w:rsidR="00276083">
        <w:rPr>
          <w:sz w:val="24"/>
          <w:szCs w:val="24"/>
        </w:rPr>
        <w:t xml:space="preserve">many </w:t>
      </w:r>
      <w:r w:rsidR="003730B4" w:rsidRPr="00820992">
        <w:rPr>
          <w:sz w:val="24"/>
          <w:szCs w:val="24"/>
        </w:rPr>
        <w:t>other IAEA Safety Standards</w:t>
      </w:r>
      <w:r w:rsidR="00276083">
        <w:rPr>
          <w:sz w:val="24"/>
          <w:szCs w:val="24"/>
        </w:rPr>
        <w:t>, the more significant of which are</w:t>
      </w:r>
      <w:r w:rsidR="003730B4" w:rsidRPr="00820992">
        <w:rPr>
          <w:iCs/>
          <w:sz w:val="24"/>
          <w:szCs w:val="24"/>
        </w:rPr>
        <w:t xml:space="preserve"> as follows:</w:t>
      </w:r>
    </w:p>
    <w:p w14:paraId="7B9B8479" w14:textId="77777777" w:rsidR="003730B4" w:rsidRPr="00820992" w:rsidRDefault="003730B4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820992">
        <w:rPr>
          <w:sz w:val="24"/>
          <w:szCs w:val="24"/>
          <w:lang w:val="en-US"/>
        </w:rPr>
        <w:t>Fundamental Safety Principles, IAEA Safety Standards Series No. SF-1, IAEA, Vienna (2006).</w:t>
      </w:r>
    </w:p>
    <w:p w14:paraId="18361916" w14:textId="77777777" w:rsidR="003730B4" w:rsidRPr="00820992" w:rsidRDefault="003730B4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820992">
        <w:rPr>
          <w:sz w:val="24"/>
          <w:szCs w:val="24"/>
          <w:lang w:val="en-US"/>
        </w:rPr>
        <w:t>Governmental, Legal and Regulatory Framework for Safety, IAEA Safety Standards Series No. GSR Part 1 (Rev. 1), IAEA, Vienna (2016).</w:t>
      </w:r>
    </w:p>
    <w:p w14:paraId="6E6D0FAC" w14:textId="77777777" w:rsidR="003730B4" w:rsidRPr="00820992" w:rsidRDefault="003730B4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820992">
        <w:rPr>
          <w:sz w:val="24"/>
          <w:szCs w:val="24"/>
          <w:lang w:val="en-US"/>
        </w:rPr>
        <w:t>Leadership and Management for Safety, IAEA Safety Standards Series No. GSR Part 2, IAEA, Vienna (2016).</w:t>
      </w:r>
    </w:p>
    <w:p w14:paraId="68FF198A" w14:textId="77777777" w:rsidR="003730B4" w:rsidRPr="00820992" w:rsidRDefault="003730B4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820992">
        <w:rPr>
          <w:sz w:val="24"/>
          <w:szCs w:val="24"/>
          <w:lang w:val="en-US"/>
        </w:rPr>
        <w:t>Radiation Protection and Safety of Radiation Sources: International Basic Safety Standards, IAEA Safety Standards Series No. GSR Part 3, IAEA, Vienna (2014).</w:t>
      </w:r>
    </w:p>
    <w:p w14:paraId="1D83BE3E" w14:textId="77777777" w:rsidR="003730B4" w:rsidRPr="00820992" w:rsidRDefault="00DB7F78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DB7F78">
        <w:rPr>
          <w:sz w:val="24"/>
          <w:szCs w:val="24"/>
          <w:lang w:val="en-US"/>
        </w:rPr>
        <w:t>Preparedness and Response for a Nuclear or Radiological Emergency</w:t>
      </w:r>
      <w:r w:rsidR="003730B4" w:rsidRPr="00820992">
        <w:rPr>
          <w:sz w:val="24"/>
          <w:szCs w:val="24"/>
          <w:lang w:val="en-US"/>
        </w:rPr>
        <w:t xml:space="preserve">, IAEA Safety Standards Series No. GSR Part </w:t>
      </w:r>
      <w:r>
        <w:rPr>
          <w:sz w:val="24"/>
          <w:szCs w:val="24"/>
          <w:lang w:val="en-US"/>
        </w:rPr>
        <w:t>7</w:t>
      </w:r>
      <w:r w:rsidR="003730B4" w:rsidRPr="00820992">
        <w:rPr>
          <w:sz w:val="24"/>
          <w:szCs w:val="24"/>
          <w:lang w:val="en-US"/>
        </w:rPr>
        <w:t>, IAEA, Vienna (201</w:t>
      </w:r>
      <w:r>
        <w:rPr>
          <w:sz w:val="24"/>
          <w:szCs w:val="24"/>
          <w:lang w:val="en-US"/>
        </w:rPr>
        <w:t>5</w:t>
      </w:r>
      <w:r w:rsidR="003730B4" w:rsidRPr="00820992">
        <w:rPr>
          <w:sz w:val="24"/>
          <w:szCs w:val="24"/>
          <w:lang w:val="en-US"/>
        </w:rPr>
        <w:t>).</w:t>
      </w:r>
    </w:p>
    <w:p w14:paraId="622614B5" w14:textId="77777777" w:rsidR="003730B4" w:rsidRPr="00820992" w:rsidRDefault="003730B4" w:rsidP="003730B4">
      <w:pPr>
        <w:pStyle w:val="BodyText"/>
        <w:spacing w:after="120"/>
        <w:rPr>
          <w:iCs/>
          <w:sz w:val="24"/>
          <w:szCs w:val="24"/>
        </w:rPr>
      </w:pPr>
      <w:r w:rsidRPr="00820992">
        <w:rPr>
          <w:iCs/>
          <w:sz w:val="24"/>
          <w:szCs w:val="24"/>
        </w:rPr>
        <w:t xml:space="preserve">As indicated in the justification, the new General Safety Guide will act as </w:t>
      </w:r>
      <w:r w:rsidR="00DB7F78">
        <w:rPr>
          <w:iCs/>
          <w:sz w:val="24"/>
          <w:szCs w:val="24"/>
        </w:rPr>
        <w:t>a basis for</w:t>
      </w:r>
      <w:r w:rsidRPr="00820992">
        <w:rPr>
          <w:iCs/>
          <w:sz w:val="24"/>
          <w:szCs w:val="24"/>
        </w:rPr>
        <w:t xml:space="preserve"> Specific Safety </w:t>
      </w:r>
      <w:r w:rsidR="00D871CA">
        <w:rPr>
          <w:iCs/>
          <w:sz w:val="24"/>
          <w:szCs w:val="24"/>
        </w:rPr>
        <w:t>G</w:t>
      </w:r>
      <w:r w:rsidRPr="00820992">
        <w:rPr>
          <w:iCs/>
          <w:sz w:val="24"/>
          <w:szCs w:val="24"/>
        </w:rPr>
        <w:t xml:space="preserve">uides to be developed </w:t>
      </w:r>
      <w:r w:rsidR="00ED0A37">
        <w:rPr>
          <w:iCs/>
          <w:sz w:val="24"/>
          <w:szCs w:val="24"/>
        </w:rPr>
        <w:t xml:space="preserve">in </w:t>
      </w:r>
      <w:r w:rsidR="00D871CA">
        <w:rPr>
          <w:iCs/>
          <w:sz w:val="24"/>
          <w:szCs w:val="24"/>
        </w:rPr>
        <w:t xml:space="preserve">the </w:t>
      </w:r>
      <w:r w:rsidR="00ED0A37">
        <w:rPr>
          <w:iCs/>
          <w:sz w:val="24"/>
          <w:szCs w:val="24"/>
        </w:rPr>
        <w:t xml:space="preserve">future </w:t>
      </w:r>
      <w:r w:rsidRPr="00820992">
        <w:rPr>
          <w:iCs/>
          <w:sz w:val="24"/>
          <w:szCs w:val="24"/>
        </w:rPr>
        <w:t>on leadership</w:t>
      </w:r>
      <w:r w:rsidR="00D871CA">
        <w:rPr>
          <w:iCs/>
          <w:sz w:val="24"/>
          <w:szCs w:val="24"/>
        </w:rPr>
        <w:t>,</w:t>
      </w:r>
      <w:r w:rsidRPr="00820992">
        <w:rPr>
          <w:iCs/>
          <w:sz w:val="24"/>
          <w:szCs w:val="24"/>
        </w:rPr>
        <w:t xml:space="preserve"> management</w:t>
      </w:r>
      <w:r w:rsidR="00D871CA">
        <w:rPr>
          <w:iCs/>
          <w:sz w:val="24"/>
          <w:szCs w:val="24"/>
        </w:rPr>
        <w:t xml:space="preserve"> for safety and culture for safety</w:t>
      </w:r>
      <w:r w:rsidR="00DB7F78">
        <w:rPr>
          <w:iCs/>
          <w:sz w:val="24"/>
          <w:szCs w:val="24"/>
        </w:rPr>
        <w:t xml:space="preserve"> for different facilities and activities</w:t>
      </w:r>
      <w:r w:rsidRPr="00820992">
        <w:rPr>
          <w:iCs/>
          <w:sz w:val="24"/>
          <w:szCs w:val="24"/>
        </w:rPr>
        <w:t>.  This will include:</w:t>
      </w:r>
    </w:p>
    <w:p w14:paraId="69F548D4" w14:textId="77777777" w:rsidR="003730B4" w:rsidRPr="00820992" w:rsidRDefault="003730B4" w:rsidP="003730B4">
      <w:pPr>
        <w:pStyle w:val="BodyText"/>
        <w:numPr>
          <w:ilvl w:val="0"/>
          <w:numId w:val="14"/>
        </w:numPr>
        <w:spacing w:after="120"/>
        <w:rPr>
          <w:iCs/>
          <w:sz w:val="24"/>
          <w:szCs w:val="24"/>
        </w:rPr>
      </w:pPr>
      <w:r w:rsidRPr="00820992">
        <w:rPr>
          <w:iCs/>
          <w:sz w:val="24"/>
          <w:szCs w:val="24"/>
          <w:lang w:val="en-US"/>
        </w:rPr>
        <w:t>DS477: The Management System for the Predisposal and Disposal of Radioactive Waste (revision and combination of GS-G</w:t>
      </w:r>
      <w:r w:rsidR="00D871CA">
        <w:rPr>
          <w:iCs/>
          <w:sz w:val="24"/>
          <w:szCs w:val="24"/>
          <w:lang w:val="en-US"/>
        </w:rPr>
        <w:t>-</w:t>
      </w:r>
      <w:r w:rsidRPr="00820992">
        <w:rPr>
          <w:iCs/>
          <w:sz w:val="24"/>
          <w:szCs w:val="24"/>
          <w:lang w:val="en-US"/>
        </w:rPr>
        <w:t>3.3 and GS-G-3.4)</w:t>
      </w:r>
    </w:p>
    <w:p w14:paraId="01F7EE7F" w14:textId="77777777" w:rsidR="003730B4" w:rsidRPr="00820992" w:rsidRDefault="00DB7F78" w:rsidP="003730B4">
      <w:pPr>
        <w:pStyle w:val="BodyText"/>
        <w:numPr>
          <w:ilvl w:val="0"/>
          <w:numId w:val="14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A p</w:t>
      </w:r>
      <w:r w:rsidR="003730B4" w:rsidRPr="00820992">
        <w:rPr>
          <w:iCs/>
          <w:sz w:val="24"/>
          <w:szCs w:val="24"/>
        </w:rPr>
        <w:t>otential future revision of TS-G-1.4 on t</w:t>
      </w:r>
      <w:r w:rsidR="003730B4" w:rsidRPr="00820992">
        <w:rPr>
          <w:iCs/>
          <w:sz w:val="24"/>
          <w:szCs w:val="24"/>
          <w:lang w:val="en-US"/>
        </w:rPr>
        <w:t>he Management System for the Safe Transport of Radioactive Material</w:t>
      </w:r>
    </w:p>
    <w:p w14:paraId="1F852CD2" w14:textId="77777777" w:rsidR="003730B4" w:rsidRPr="00820992" w:rsidRDefault="00DB7F78" w:rsidP="003730B4">
      <w:pPr>
        <w:pStyle w:val="BodyText"/>
        <w:numPr>
          <w:ilvl w:val="0"/>
          <w:numId w:val="14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A p</w:t>
      </w:r>
      <w:r w:rsidR="003730B4" w:rsidRPr="00820992">
        <w:rPr>
          <w:iCs/>
          <w:sz w:val="24"/>
          <w:szCs w:val="24"/>
        </w:rPr>
        <w:t xml:space="preserve">otential future revision of GS-G-3.5 on </w:t>
      </w:r>
      <w:r w:rsidR="003730B4" w:rsidRPr="00820992">
        <w:rPr>
          <w:iCs/>
          <w:sz w:val="24"/>
          <w:szCs w:val="24"/>
          <w:lang w:val="en-US"/>
        </w:rPr>
        <w:t>the Management System for Nuclear Installations</w:t>
      </w:r>
    </w:p>
    <w:p w14:paraId="53152DFC" w14:textId="77777777" w:rsidR="003730B4" w:rsidRPr="00820992" w:rsidRDefault="003730B4" w:rsidP="003730B4">
      <w:pPr>
        <w:pStyle w:val="BodyText"/>
        <w:numPr>
          <w:ilvl w:val="0"/>
          <w:numId w:val="14"/>
        </w:numPr>
        <w:spacing w:after="120"/>
        <w:rPr>
          <w:iCs/>
          <w:sz w:val="24"/>
          <w:szCs w:val="24"/>
        </w:rPr>
      </w:pPr>
      <w:r w:rsidRPr="00820992">
        <w:rPr>
          <w:iCs/>
          <w:sz w:val="24"/>
          <w:szCs w:val="24"/>
        </w:rPr>
        <w:t xml:space="preserve">Other </w:t>
      </w:r>
      <w:r w:rsidR="00DB7F78">
        <w:rPr>
          <w:iCs/>
          <w:sz w:val="24"/>
          <w:szCs w:val="24"/>
        </w:rPr>
        <w:t xml:space="preserve">potential future </w:t>
      </w:r>
      <w:r w:rsidRPr="00820992">
        <w:rPr>
          <w:iCs/>
          <w:sz w:val="24"/>
          <w:szCs w:val="24"/>
        </w:rPr>
        <w:t>Specific Safety Guides (or parts thereof) to be identified – for example in the medical and industrial sectors.</w:t>
      </w:r>
    </w:p>
    <w:p w14:paraId="6E920824" w14:textId="77777777" w:rsidR="003730B4" w:rsidRDefault="003730B4" w:rsidP="003730B4">
      <w:pPr>
        <w:pStyle w:val="BodyText"/>
        <w:spacing w:after="120"/>
        <w:rPr>
          <w:iCs/>
          <w:sz w:val="24"/>
          <w:szCs w:val="24"/>
        </w:rPr>
      </w:pPr>
      <w:r w:rsidRPr="00ED0A37">
        <w:rPr>
          <w:iCs/>
          <w:sz w:val="24"/>
          <w:szCs w:val="24"/>
        </w:rPr>
        <w:t>A</w:t>
      </w:r>
      <w:r w:rsidR="00AB0B83">
        <w:rPr>
          <w:iCs/>
          <w:sz w:val="24"/>
          <w:szCs w:val="24"/>
        </w:rPr>
        <w:t>s this is a General Safety Guide, a</w:t>
      </w:r>
      <w:r w:rsidRPr="00ED0A37">
        <w:rPr>
          <w:iCs/>
          <w:sz w:val="24"/>
          <w:szCs w:val="24"/>
        </w:rPr>
        <w:t>ll</w:t>
      </w:r>
      <w:r w:rsidRPr="00820992">
        <w:rPr>
          <w:iCs/>
          <w:sz w:val="24"/>
          <w:szCs w:val="24"/>
        </w:rPr>
        <w:t xml:space="preserve"> sections in NS will be consulted, as necessary, during the drafting process.</w:t>
      </w:r>
    </w:p>
    <w:p w14:paraId="734F46FC" w14:textId="77777777" w:rsidR="00276083" w:rsidRDefault="00A17794" w:rsidP="003730B4">
      <w:pPr>
        <w:pStyle w:val="BodyText"/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  <w:r w:rsidR="00276083">
        <w:rPr>
          <w:iCs/>
          <w:sz w:val="24"/>
          <w:szCs w:val="24"/>
        </w:rPr>
        <w:t xml:space="preserve"> complete list of </w:t>
      </w:r>
      <w:r>
        <w:rPr>
          <w:iCs/>
          <w:sz w:val="24"/>
          <w:szCs w:val="24"/>
        </w:rPr>
        <w:t>IAEA safety guides that have reference to Management Systems, Leadership and Safety Culture can be found at:</w:t>
      </w:r>
    </w:p>
    <w:p w14:paraId="43631FC4" w14:textId="77777777" w:rsidR="00A17794" w:rsidRPr="00820992" w:rsidRDefault="00A17794" w:rsidP="003730B4">
      <w:pPr>
        <w:pStyle w:val="BodyText"/>
        <w:spacing w:after="120"/>
        <w:rPr>
          <w:iCs/>
          <w:sz w:val="24"/>
          <w:szCs w:val="24"/>
        </w:rPr>
      </w:pPr>
      <w:r w:rsidRPr="00A17794">
        <w:rPr>
          <w:iCs/>
          <w:sz w:val="24"/>
          <w:szCs w:val="24"/>
        </w:rPr>
        <w:t>https://www-ns.iaea.org/committees/files/draftcomments/1848/CopyofSafetyGuidessupportingGSRPart218-06-21.xlsx</w:t>
      </w:r>
    </w:p>
    <w:p w14:paraId="4CC68389" w14:textId="77777777" w:rsidR="003730B4" w:rsidRPr="00820992" w:rsidRDefault="003730B4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76B0F6BB" w14:textId="77777777" w:rsidR="003730B4" w:rsidRPr="00820992" w:rsidRDefault="00C710DB" w:rsidP="003730B4">
      <w:pPr>
        <w:pStyle w:val="BodyText"/>
        <w:spacing w:after="120"/>
        <w:jc w:val="left"/>
        <w:rPr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7</w:t>
      </w:r>
      <w:r w:rsidR="00142442" w:rsidRPr="00820992">
        <w:rPr>
          <w:b/>
          <w:bCs/>
          <w:sz w:val="24"/>
          <w:szCs w:val="24"/>
        </w:rPr>
        <w:t xml:space="preserve">. </w:t>
      </w:r>
      <w:r w:rsidR="008347F7" w:rsidRPr="00820992">
        <w:rPr>
          <w:b/>
          <w:bCs/>
          <w:sz w:val="24"/>
          <w:szCs w:val="24"/>
        </w:rPr>
        <w:t xml:space="preserve">OVERVIEW </w:t>
      </w:r>
      <w:r w:rsidR="00142442" w:rsidRPr="00820992">
        <w:rPr>
          <w:b/>
          <w:bCs/>
          <w:sz w:val="24"/>
          <w:szCs w:val="24"/>
        </w:rPr>
        <w:br/>
      </w:r>
      <w:r w:rsidR="003730B4" w:rsidRPr="00820992">
        <w:rPr>
          <w:bCs/>
          <w:sz w:val="24"/>
          <w:szCs w:val="24"/>
        </w:rPr>
        <w:t xml:space="preserve">This General Safety Guide will have </w:t>
      </w:r>
      <w:r w:rsidR="00D871CA">
        <w:rPr>
          <w:bCs/>
          <w:sz w:val="24"/>
          <w:szCs w:val="24"/>
        </w:rPr>
        <w:t>the</w:t>
      </w:r>
      <w:r w:rsidR="003730B4" w:rsidRPr="00820992">
        <w:rPr>
          <w:bCs/>
          <w:sz w:val="24"/>
          <w:szCs w:val="24"/>
        </w:rPr>
        <w:t xml:space="preserve"> follow</w:t>
      </w:r>
      <w:r w:rsidR="00D871CA">
        <w:rPr>
          <w:bCs/>
          <w:sz w:val="24"/>
          <w:szCs w:val="24"/>
        </w:rPr>
        <w:t>ing structure</w:t>
      </w:r>
      <w:r w:rsidR="003730B4" w:rsidRPr="00820992">
        <w:rPr>
          <w:bCs/>
          <w:sz w:val="24"/>
          <w:szCs w:val="24"/>
        </w:rPr>
        <w:t>:</w:t>
      </w:r>
    </w:p>
    <w:p w14:paraId="7DF66D93" w14:textId="77777777" w:rsidR="003730B4" w:rsidRPr="00ED0A37" w:rsidRDefault="003730B4" w:rsidP="003730B4">
      <w:pPr>
        <w:pStyle w:val="Default"/>
        <w:spacing w:after="120"/>
        <w:rPr>
          <w:rFonts w:ascii="Times New Roman" w:hAnsi="Times New Roman" w:cs="Times New Roman"/>
          <w:bCs/>
        </w:rPr>
      </w:pPr>
      <w:r w:rsidRPr="00ED0A37">
        <w:rPr>
          <w:rFonts w:ascii="Times New Roman" w:hAnsi="Times New Roman" w:cs="Times New Roman"/>
          <w:bCs/>
        </w:rPr>
        <w:t>Section 1:  Background, Objective, Scope and Structure.</w:t>
      </w:r>
    </w:p>
    <w:p w14:paraId="71D6942A" w14:textId="5803C8C3" w:rsidR="003730B4" w:rsidRPr="00ED0A37" w:rsidRDefault="003730B4" w:rsidP="003730B4">
      <w:pPr>
        <w:pStyle w:val="Default"/>
        <w:spacing w:after="120"/>
        <w:rPr>
          <w:rFonts w:ascii="Times New Roman" w:hAnsi="Times New Roman" w:cs="Times New Roman"/>
          <w:bCs/>
        </w:rPr>
      </w:pPr>
      <w:r w:rsidRPr="00ED0A37">
        <w:rPr>
          <w:rFonts w:ascii="Times New Roman" w:hAnsi="Times New Roman" w:cs="Times New Roman"/>
          <w:bCs/>
        </w:rPr>
        <w:t xml:space="preserve">Section 2: </w:t>
      </w:r>
      <w:r w:rsidR="005727BC">
        <w:rPr>
          <w:rFonts w:ascii="Times New Roman" w:hAnsi="Times New Roman" w:cs="Times New Roman"/>
          <w:bCs/>
        </w:rPr>
        <w:t>Guidance on Requir</w:t>
      </w:r>
      <w:r w:rsidR="0095676F">
        <w:rPr>
          <w:rFonts w:ascii="Times New Roman" w:hAnsi="Times New Roman" w:cs="Times New Roman"/>
          <w:bCs/>
        </w:rPr>
        <w:t>e</w:t>
      </w:r>
      <w:r w:rsidR="005727BC">
        <w:rPr>
          <w:rFonts w:ascii="Times New Roman" w:hAnsi="Times New Roman" w:cs="Times New Roman"/>
          <w:bCs/>
        </w:rPr>
        <w:t xml:space="preserve">ment </w:t>
      </w:r>
      <w:r w:rsidR="0095676F">
        <w:rPr>
          <w:rFonts w:ascii="Times New Roman" w:hAnsi="Times New Roman" w:cs="Times New Roman"/>
          <w:bCs/>
        </w:rPr>
        <w:t>1</w:t>
      </w:r>
    </w:p>
    <w:p w14:paraId="2B65BEBB" w14:textId="71E4DA11" w:rsidR="003730B4" w:rsidRPr="00ED0A37" w:rsidRDefault="003730B4" w:rsidP="00F77604">
      <w:pPr>
        <w:pStyle w:val="Default"/>
        <w:spacing w:after="120"/>
        <w:rPr>
          <w:rFonts w:ascii="Times New Roman" w:hAnsi="Times New Roman" w:cs="Times New Roman"/>
          <w:bCs/>
        </w:rPr>
      </w:pPr>
      <w:r w:rsidRPr="00ED0A37">
        <w:rPr>
          <w:rFonts w:ascii="Times New Roman" w:hAnsi="Times New Roman" w:cs="Times New Roman"/>
          <w:bCs/>
        </w:rPr>
        <w:t xml:space="preserve">Section 3: </w:t>
      </w:r>
      <w:r w:rsidR="0095676F">
        <w:rPr>
          <w:rFonts w:ascii="Times New Roman" w:hAnsi="Times New Roman" w:cs="Times New Roman"/>
          <w:bCs/>
        </w:rPr>
        <w:t>Guidance on Requirements 2 and 12</w:t>
      </w:r>
      <w:r w:rsidRPr="00ED0A37">
        <w:rPr>
          <w:rFonts w:ascii="Times New Roman" w:hAnsi="Times New Roman" w:cs="Times New Roman"/>
          <w:bCs/>
        </w:rPr>
        <w:t xml:space="preserve"> </w:t>
      </w:r>
    </w:p>
    <w:p w14:paraId="7952DD14" w14:textId="738EC438" w:rsidR="003730B4" w:rsidRPr="00ED0A37" w:rsidRDefault="003730B4" w:rsidP="00D871CA">
      <w:pPr>
        <w:pStyle w:val="Default"/>
        <w:spacing w:after="120"/>
        <w:rPr>
          <w:rFonts w:ascii="Times New Roman" w:hAnsi="Times New Roman" w:cs="Times New Roman"/>
          <w:bCs/>
        </w:rPr>
      </w:pPr>
      <w:r w:rsidRPr="00ED0A37">
        <w:rPr>
          <w:rFonts w:ascii="Times New Roman" w:hAnsi="Times New Roman" w:cs="Times New Roman"/>
          <w:bCs/>
        </w:rPr>
        <w:t xml:space="preserve">Section 4: </w:t>
      </w:r>
      <w:r w:rsidR="0095676F">
        <w:rPr>
          <w:rFonts w:ascii="Times New Roman" w:hAnsi="Times New Roman" w:cs="Times New Roman"/>
          <w:bCs/>
        </w:rPr>
        <w:t>Guidance on Requirements 3 to 11</w:t>
      </w:r>
    </w:p>
    <w:p w14:paraId="28F4CE76" w14:textId="2C72A474" w:rsidR="003730B4" w:rsidRPr="00ED0A37" w:rsidRDefault="003730B4" w:rsidP="00F77604">
      <w:pPr>
        <w:autoSpaceDE w:val="0"/>
        <w:autoSpaceDN w:val="0"/>
        <w:adjustRightInd w:val="0"/>
        <w:spacing w:after="120"/>
        <w:rPr>
          <w:bCs/>
          <w:lang w:val="en-GB" w:eastAsia="en-GB"/>
        </w:rPr>
      </w:pPr>
      <w:r w:rsidRPr="00ED0A37">
        <w:rPr>
          <w:lang w:val="en-GB" w:eastAsia="en-GB"/>
        </w:rPr>
        <w:t xml:space="preserve">Section 5: </w:t>
      </w:r>
      <w:r w:rsidR="0095676F">
        <w:rPr>
          <w:lang w:val="en-GB" w:eastAsia="en-GB"/>
        </w:rPr>
        <w:t xml:space="preserve">Guidance on Requirements 13 and 14 </w:t>
      </w:r>
    </w:p>
    <w:p w14:paraId="52A1459B" w14:textId="77777777" w:rsidR="003730B4" w:rsidRPr="00ED0A37" w:rsidRDefault="003730B4" w:rsidP="003730B4">
      <w:pPr>
        <w:spacing w:after="120"/>
        <w:rPr>
          <w:lang w:val="en-GB" w:eastAsia="en-GB"/>
        </w:rPr>
      </w:pPr>
      <w:r w:rsidRPr="00ED0A37">
        <w:rPr>
          <w:lang w:val="en-GB" w:eastAsia="en-GB"/>
        </w:rPr>
        <w:lastRenderedPageBreak/>
        <w:t>APPENDICES – to be determined during the development of DS513, but will include:</w:t>
      </w:r>
    </w:p>
    <w:p w14:paraId="0FF822C1" w14:textId="77777777" w:rsidR="003730B4" w:rsidRPr="00ED0A37" w:rsidRDefault="003730B4" w:rsidP="003730B4">
      <w:pPr>
        <w:pStyle w:val="ListParagraph"/>
        <w:numPr>
          <w:ilvl w:val="0"/>
          <w:numId w:val="15"/>
        </w:numPr>
        <w:spacing w:after="120"/>
        <w:rPr>
          <w:lang w:val="en-GB" w:eastAsia="en-GB"/>
        </w:rPr>
      </w:pPr>
      <w:r w:rsidRPr="00ED0A37">
        <w:rPr>
          <w:lang w:val="en-GB" w:eastAsia="en-GB"/>
        </w:rPr>
        <w:t xml:space="preserve">Application of the graded approach in small and medium sized organizations </w:t>
      </w:r>
    </w:p>
    <w:p w14:paraId="3D59F89E" w14:textId="57965B63" w:rsidR="003730B4" w:rsidRPr="00ED0A37" w:rsidRDefault="003730B4" w:rsidP="003730B4">
      <w:pPr>
        <w:pStyle w:val="ListParagraph"/>
        <w:numPr>
          <w:ilvl w:val="0"/>
          <w:numId w:val="15"/>
        </w:numPr>
        <w:spacing w:after="120"/>
        <w:rPr>
          <w:lang w:val="en-GB" w:eastAsia="en-GB"/>
        </w:rPr>
      </w:pPr>
      <w:r w:rsidRPr="00ED0A37">
        <w:rPr>
          <w:lang w:val="en-GB" w:eastAsia="en-GB"/>
        </w:rPr>
        <w:t xml:space="preserve">Systemic approach to safety, including the </w:t>
      </w:r>
      <w:r w:rsidR="002A7DCC">
        <w:rPr>
          <w:lang w:val="en-GB" w:eastAsia="en-GB"/>
        </w:rPr>
        <w:t xml:space="preserve">implementation of </w:t>
      </w:r>
      <w:r w:rsidRPr="00ED0A37">
        <w:rPr>
          <w:lang w:val="en-GB" w:eastAsia="en-GB"/>
        </w:rPr>
        <w:t xml:space="preserve">an integrated management system, and application of this system at different stages of the lifetime of facilities and </w:t>
      </w:r>
      <w:r w:rsidR="00D871CA">
        <w:rPr>
          <w:lang w:val="en-GB" w:eastAsia="en-GB"/>
        </w:rPr>
        <w:t xml:space="preserve">duration of </w:t>
      </w:r>
      <w:r w:rsidRPr="00ED0A37">
        <w:rPr>
          <w:lang w:val="en-GB" w:eastAsia="en-GB"/>
        </w:rPr>
        <w:t>activities</w:t>
      </w:r>
    </w:p>
    <w:p w14:paraId="3FA38935" w14:textId="3E3CD67B" w:rsidR="003730B4" w:rsidRPr="00ED0A37" w:rsidRDefault="00F44603" w:rsidP="003730B4">
      <w:pPr>
        <w:pStyle w:val="ListParagraph"/>
        <w:numPr>
          <w:ilvl w:val="0"/>
          <w:numId w:val="15"/>
        </w:numPr>
        <w:spacing w:after="120"/>
        <w:rPr>
          <w:lang w:val="en-GB" w:eastAsia="en-GB"/>
        </w:rPr>
      </w:pPr>
      <w:r>
        <w:rPr>
          <w:lang w:val="en-GB" w:eastAsia="en-GB"/>
        </w:rPr>
        <w:t>S</w:t>
      </w:r>
      <w:r w:rsidR="003730B4" w:rsidRPr="00ED0A37">
        <w:rPr>
          <w:lang w:val="en-GB" w:eastAsia="en-GB"/>
        </w:rPr>
        <w:t>afety and</w:t>
      </w:r>
      <w:r w:rsidR="00D871CA">
        <w:rPr>
          <w:lang w:val="en-GB" w:eastAsia="en-GB"/>
        </w:rPr>
        <w:t xml:space="preserve"> nuclear</w:t>
      </w:r>
      <w:r w:rsidR="003730B4" w:rsidRPr="00ED0A37">
        <w:rPr>
          <w:lang w:val="en-GB" w:eastAsia="en-GB"/>
        </w:rPr>
        <w:t xml:space="preserve"> security interfaces </w:t>
      </w:r>
    </w:p>
    <w:p w14:paraId="7FD39EDA" w14:textId="77777777" w:rsidR="003730B4" w:rsidRPr="00ED0A37" w:rsidRDefault="003730B4" w:rsidP="003730B4">
      <w:pPr>
        <w:pStyle w:val="ListParagraph"/>
        <w:numPr>
          <w:ilvl w:val="0"/>
          <w:numId w:val="15"/>
        </w:numPr>
        <w:spacing w:after="120"/>
        <w:rPr>
          <w:lang w:val="en-GB" w:eastAsia="en-GB"/>
        </w:rPr>
      </w:pPr>
      <w:r w:rsidRPr="00ED0A37">
        <w:rPr>
          <w:lang w:val="en-GB" w:eastAsia="en-GB"/>
        </w:rPr>
        <w:t xml:space="preserve">Learning culture: assessment and improvement processes. </w:t>
      </w:r>
    </w:p>
    <w:p w14:paraId="748200E9" w14:textId="77777777" w:rsidR="003730B4" w:rsidRPr="00ED0A37" w:rsidRDefault="003730B4" w:rsidP="003730B4">
      <w:pPr>
        <w:pStyle w:val="ListParagraph"/>
        <w:numPr>
          <w:ilvl w:val="0"/>
          <w:numId w:val="15"/>
        </w:numPr>
        <w:spacing w:after="120"/>
        <w:rPr>
          <w:lang w:val="en-GB" w:eastAsia="en-GB"/>
        </w:rPr>
      </w:pPr>
      <w:r w:rsidRPr="00ED0A37">
        <w:rPr>
          <w:lang w:val="en-GB" w:eastAsia="en-GB"/>
        </w:rPr>
        <w:t>The attributes of a strong culture for safety.</w:t>
      </w:r>
    </w:p>
    <w:p w14:paraId="0B6663F7" w14:textId="286ABC8C" w:rsidR="0095676F" w:rsidRPr="00640CEA" w:rsidRDefault="003730B4">
      <w:pPr>
        <w:pStyle w:val="ListParagraph"/>
        <w:numPr>
          <w:ilvl w:val="0"/>
          <w:numId w:val="15"/>
        </w:numPr>
        <w:spacing w:after="120"/>
        <w:rPr>
          <w:lang w:val="en-GB" w:eastAsia="en-GB"/>
        </w:rPr>
      </w:pPr>
      <w:r w:rsidRPr="00ED0A37">
        <w:rPr>
          <w:lang w:val="en-GB" w:eastAsia="en-GB"/>
        </w:rPr>
        <w:t xml:space="preserve">Developing safety culture in </w:t>
      </w:r>
      <w:r w:rsidR="005C38D2">
        <w:rPr>
          <w:lang w:val="en-GB" w:eastAsia="en-GB"/>
        </w:rPr>
        <w:t xml:space="preserve">other organizations, including </w:t>
      </w:r>
      <w:r w:rsidRPr="00ED0A37">
        <w:rPr>
          <w:lang w:val="en-GB" w:eastAsia="en-GB"/>
        </w:rPr>
        <w:t xml:space="preserve">the regulatory body and other </w:t>
      </w:r>
      <w:r w:rsidR="00B81E2F">
        <w:rPr>
          <w:lang w:val="en-GB" w:eastAsia="en-GB"/>
        </w:rPr>
        <w:t xml:space="preserve">relevant </w:t>
      </w:r>
      <w:r w:rsidRPr="00ED0A37">
        <w:rPr>
          <w:lang w:val="en-GB" w:eastAsia="en-GB"/>
        </w:rPr>
        <w:t xml:space="preserve">parties </w:t>
      </w:r>
      <w:r w:rsidR="003B1FF0">
        <w:rPr>
          <w:lang w:val="en-GB" w:eastAsia="en-GB"/>
        </w:rPr>
        <w:t xml:space="preserve">who directly influence safety in facilities and </w:t>
      </w:r>
      <w:proofErr w:type="gramStart"/>
      <w:r w:rsidR="003B1FF0">
        <w:rPr>
          <w:lang w:val="en-GB" w:eastAsia="en-GB"/>
        </w:rPr>
        <w:t>activities.</w:t>
      </w:r>
      <w:r w:rsidR="002A7DCC">
        <w:rPr>
          <w:lang w:val="en-GB" w:eastAsia="en-GB"/>
        </w:rPr>
        <w:t>.</w:t>
      </w:r>
      <w:proofErr w:type="gramEnd"/>
    </w:p>
    <w:p w14:paraId="72159FBE" w14:textId="516C46AC" w:rsidR="003730B4" w:rsidRPr="00ED0A37" w:rsidRDefault="003730B4" w:rsidP="003730B4">
      <w:pPr>
        <w:spacing w:after="120"/>
        <w:rPr>
          <w:lang w:val="en-GB" w:eastAsia="en-GB"/>
        </w:rPr>
      </w:pPr>
      <w:r w:rsidRPr="00ED0A37">
        <w:rPr>
          <w:lang w:val="en-GB" w:eastAsia="en-GB"/>
        </w:rPr>
        <w:t>ANNEXES –</w:t>
      </w:r>
      <w:r w:rsidR="0095676F">
        <w:rPr>
          <w:lang w:val="en-GB" w:eastAsia="en-GB"/>
        </w:rPr>
        <w:t xml:space="preserve"> </w:t>
      </w:r>
      <w:r w:rsidRPr="00ED0A37">
        <w:rPr>
          <w:lang w:val="en-GB" w:eastAsia="en-GB"/>
        </w:rPr>
        <w:t>brief case studies</w:t>
      </w:r>
      <w:r w:rsidR="0095676F">
        <w:rPr>
          <w:lang w:val="en-GB" w:eastAsia="en-GB"/>
        </w:rPr>
        <w:t xml:space="preserve"> chosen </w:t>
      </w:r>
      <w:r w:rsidRPr="00ED0A37">
        <w:rPr>
          <w:lang w:val="en-GB" w:eastAsia="en-GB"/>
        </w:rPr>
        <w:t>to illustrat</w:t>
      </w:r>
      <w:r w:rsidR="0095676F">
        <w:rPr>
          <w:lang w:val="en-GB" w:eastAsia="en-GB"/>
        </w:rPr>
        <w:t>e</w:t>
      </w:r>
      <w:r w:rsidRPr="00ED0A37">
        <w:rPr>
          <w:lang w:val="en-GB" w:eastAsia="en-GB"/>
        </w:rPr>
        <w:t xml:space="preserve"> the application of the graded approach in practice in small, medium or high risk facilities and activities.</w:t>
      </w:r>
    </w:p>
    <w:p w14:paraId="429E31E3" w14:textId="77777777" w:rsidR="00234AD6" w:rsidRPr="00820992" w:rsidRDefault="00234AD6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49ECA0AA" w14:textId="77777777" w:rsidR="003730B4" w:rsidRPr="00820992" w:rsidRDefault="00C710DB" w:rsidP="003730B4">
      <w:pPr>
        <w:rPr>
          <w:b/>
          <w:bCs/>
        </w:rPr>
      </w:pPr>
      <w:r w:rsidRPr="00820992">
        <w:rPr>
          <w:b/>
          <w:bCs/>
        </w:rPr>
        <w:t>8</w:t>
      </w:r>
      <w:r w:rsidR="00142442" w:rsidRPr="00820992">
        <w:rPr>
          <w:b/>
          <w:bCs/>
        </w:rPr>
        <w:t>. PRODUCTION</w:t>
      </w:r>
      <w:r w:rsidR="00C7358B" w:rsidRPr="00820992">
        <w:rPr>
          <w:b/>
          <w:bCs/>
        </w:rPr>
        <w:t xml:space="preserve"> SCHEDULE</w:t>
      </w:r>
      <w:r w:rsidR="00142442" w:rsidRPr="00820992">
        <w:rPr>
          <w:b/>
          <w:bCs/>
        </w:rPr>
        <w:t xml:space="preserve">: </w:t>
      </w:r>
    </w:p>
    <w:p w14:paraId="15DC7360" w14:textId="77777777" w:rsidR="003730B4" w:rsidRPr="00820992" w:rsidRDefault="003730B4" w:rsidP="003730B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560"/>
      </w:tblGrid>
      <w:tr w:rsidR="003730B4" w:rsidRPr="00820992" w14:paraId="670114FA" w14:textId="77777777" w:rsidTr="00640CEA">
        <w:tc>
          <w:tcPr>
            <w:tcW w:w="7933" w:type="dxa"/>
            <w:shd w:val="clear" w:color="auto" w:fill="auto"/>
          </w:tcPr>
          <w:p w14:paraId="4542E6A4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STEP 1: Preparing a DPP</w:t>
            </w:r>
          </w:p>
        </w:tc>
        <w:tc>
          <w:tcPr>
            <w:tcW w:w="1560" w:type="dxa"/>
            <w:shd w:val="clear" w:color="auto" w:fill="auto"/>
          </w:tcPr>
          <w:p w14:paraId="32970755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DONE</w:t>
            </w:r>
          </w:p>
        </w:tc>
      </w:tr>
      <w:tr w:rsidR="003730B4" w:rsidRPr="00820992" w14:paraId="758561B8" w14:textId="77777777" w:rsidTr="00640CEA">
        <w:tc>
          <w:tcPr>
            <w:tcW w:w="7933" w:type="dxa"/>
            <w:shd w:val="clear" w:color="auto" w:fill="auto"/>
          </w:tcPr>
          <w:p w14:paraId="2F8EB781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2: </w:t>
            </w:r>
            <w:r w:rsidRPr="00820992">
              <w:rPr>
                <w:sz w:val="24"/>
                <w:szCs w:val="24"/>
              </w:rPr>
              <w:t>Approval of DPP by the Coordination Committee</w:t>
            </w:r>
          </w:p>
        </w:tc>
        <w:tc>
          <w:tcPr>
            <w:tcW w:w="1560" w:type="dxa"/>
            <w:shd w:val="clear" w:color="auto" w:fill="auto"/>
          </w:tcPr>
          <w:p w14:paraId="11228CEF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Q2 2019</w:t>
            </w:r>
          </w:p>
        </w:tc>
      </w:tr>
      <w:tr w:rsidR="003730B4" w:rsidRPr="00820992" w14:paraId="0F2818D5" w14:textId="77777777" w:rsidTr="00640CEA">
        <w:tc>
          <w:tcPr>
            <w:tcW w:w="7933" w:type="dxa"/>
            <w:shd w:val="clear" w:color="auto" w:fill="auto"/>
          </w:tcPr>
          <w:p w14:paraId="1902D931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STEP 3: Approval</w:t>
            </w:r>
            <w:r w:rsidRPr="00820992">
              <w:rPr>
                <w:sz w:val="24"/>
                <w:szCs w:val="24"/>
              </w:rPr>
              <w:t xml:space="preserve"> of DPP by the relevant review Committees </w:t>
            </w:r>
          </w:p>
        </w:tc>
        <w:tc>
          <w:tcPr>
            <w:tcW w:w="1560" w:type="dxa"/>
            <w:shd w:val="clear" w:color="auto" w:fill="auto"/>
          </w:tcPr>
          <w:p w14:paraId="1D52DE55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Q2 2019</w:t>
            </w:r>
          </w:p>
        </w:tc>
      </w:tr>
      <w:tr w:rsidR="003730B4" w:rsidRPr="00820992" w14:paraId="11441A12" w14:textId="77777777" w:rsidTr="00640CEA">
        <w:tc>
          <w:tcPr>
            <w:tcW w:w="7933" w:type="dxa"/>
            <w:shd w:val="clear" w:color="auto" w:fill="auto"/>
          </w:tcPr>
          <w:p w14:paraId="104D4E77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4: </w:t>
            </w:r>
            <w:r w:rsidRPr="00820992">
              <w:rPr>
                <w:sz w:val="24"/>
                <w:szCs w:val="24"/>
              </w:rPr>
              <w:t>Approval of DPP by the CSS</w:t>
            </w:r>
          </w:p>
        </w:tc>
        <w:tc>
          <w:tcPr>
            <w:tcW w:w="1560" w:type="dxa"/>
            <w:shd w:val="clear" w:color="auto" w:fill="auto"/>
          </w:tcPr>
          <w:p w14:paraId="00C7EFB8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Q4 2019</w:t>
            </w:r>
          </w:p>
        </w:tc>
      </w:tr>
      <w:tr w:rsidR="003730B4" w:rsidRPr="00820992" w14:paraId="3994287E" w14:textId="77777777" w:rsidTr="00640CEA">
        <w:tc>
          <w:tcPr>
            <w:tcW w:w="7933" w:type="dxa"/>
            <w:shd w:val="clear" w:color="auto" w:fill="auto"/>
          </w:tcPr>
          <w:p w14:paraId="7CA8EF2A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STEP 5: Preparing the draft</w:t>
            </w:r>
          </w:p>
        </w:tc>
        <w:tc>
          <w:tcPr>
            <w:tcW w:w="1560" w:type="dxa"/>
            <w:shd w:val="clear" w:color="auto" w:fill="auto"/>
          </w:tcPr>
          <w:p w14:paraId="77EC26A9" w14:textId="41E01644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B360C1">
              <w:rPr>
                <w:sz w:val="24"/>
                <w:szCs w:val="24"/>
              </w:rPr>
              <w:t>3</w:t>
            </w:r>
            <w:r w:rsidRPr="00820992">
              <w:rPr>
                <w:sz w:val="24"/>
                <w:szCs w:val="24"/>
              </w:rPr>
              <w:t xml:space="preserve"> 2020</w:t>
            </w:r>
          </w:p>
        </w:tc>
      </w:tr>
      <w:tr w:rsidR="003730B4" w:rsidRPr="00820992" w14:paraId="2B1FA823" w14:textId="77777777" w:rsidTr="00640CEA">
        <w:tc>
          <w:tcPr>
            <w:tcW w:w="7933" w:type="dxa"/>
            <w:shd w:val="clear" w:color="auto" w:fill="auto"/>
          </w:tcPr>
          <w:p w14:paraId="03E2306F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6: </w:t>
            </w:r>
            <w:r w:rsidRPr="00820992">
              <w:rPr>
                <w:sz w:val="24"/>
                <w:szCs w:val="24"/>
              </w:rPr>
              <w:t>Approval of draft by the Coordination Committee</w:t>
            </w:r>
          </w:p>
        </w:tc>
        <w:tc>
          <w:tcPr>
            <w:tcW w:w="1560" w:type="dxa"/>
            <w:shd w:val="clear" w:color="auto" w:fill="auto"/>
          </w:tcPr>
          <w:p w14:paraId="1768D0D1" w14:textId="4CC30A1D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B360C1">
              <w:rPr>
                <w:sz w:val="24"/>
                <w:szCs w:val="24"/>
              </w:rPr>
              <w:t>4</w:t>
            </w:r>
            <w:r w:rsidRPr="00820992">
              <w:rPr>
                <w:sz w:val="24"/>
                <w:szCs w:val="24"/>
              </w:rPr>
              <w:t xml:space="preserve"> 2020</w:t>
            </w:r>
          </w:p>
        </w:tc>
      </w:tr>
      <w:tr w:rsidR="003730B4" w:rsidRPr="00820992" w14:paraId="0AEEF162" w14:textId="77777777" w:rsidTr="00640CEA">
        <w:tc>
          <w:tcPr>
            <w:tcW w:w="7933" w:type="dxa"/>
            <w:shd w:val="clear" w:color="auto" w:fill="auto"/>
          </w:tcPr>
          <w:p w14:paraId="788201C1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7: </w:t>
            </w:r>
            <w:r w:rsidRPr="00820992">
              <w:rPr>
                <w:sz w:val="24"/>
                <w:szCs w:val="24"/>
              </w:rPr>
              <w:t>Approval by the relevant review Committees for submission to Member States for comments</w:t>
            </w:r>
          </w:p>
        </w:tc>
        <w:tc>
          <w:tcPr>
            <w:tcW w:w="1560" w:type="dxa"/>
            <w:shd w:val="clear" w:color="auto" w:fill="auto"/>
          </w:tcPr>
          <w:p w14:paraId="2E8A4E69" w14:textId="7167EB73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B360C1">
              <w:rPr>
                <w:sz w:val="24"/>
                <w:szCs w:val="24"/>
              </w:rPr>
              <w:t>4</w:t>
            </w:r>
            <w:r w:rsidRPr="00820992">
              <w:rPr>
                <w:sz w:val="24"/>
                <w:szCs w:val="24"/>
              </w:rPr>
              <w:t xml:space="preserve"> 2020</w:t>
            </w:r>
          </w:p>
        </w:tc>
      </w:tr>
      <w:tr w:rsidR="003730B4" w:rsidRPr="00820992" w14:paraId="735F461E" w14:textId="77777777" w:rsidTr="00640CEA">
        <w:tc>
          <w:tcPr>
            <w:tcW w:w="7933" w:type="dxa"/>
            <w:shd w:val="clear" w:color="auto" w:fill="auto"/>
          </w:tcPr>
          <w:p w14:paraId="0BAEEAE9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STEP 8: Soliciting comments by Member States</w:t>
            </w:r>
          </w:p>
        </w:tc>
        <w:tc>
          <w:tcPr>
            <w:tcW w:w="1560" w:type="dxa"/>
            <w:shd w:val="clear" w:color="auto" w:fill="auto"/>
          </w:tcPr>
          <w:p w14:paraId="5076A9DC" w14:textId="087C92BA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B360C1">
              <w:rPr>
                <w:sz w:val="24"/>
                <w:szCs w:val="24"/>
              </w:rPr>
              <w:t>1</w:t>
            </w:r>
            <w:r w:rsidRPr="00820992">
              <w:rPr>
                <w:sz w:val="24"/>
                <w:szCs w:val="24"/>
              </w:rPr>
              <w:t xml:space="preserve"> 202</w:t>
            </w:r>
            <w:r w:rsidR="00B360C1">
              <w:rPr>
                <w:sz w:val="24"/>
                <w:szCs w:val="24"/>
              </w:rPr>
              <w:t>1</w:t>
            </w:r>
          </w:p>
        </w:tc>
      </w:tr>
      <w:tr w:rsidR="003730B4" w:rsidRPr="00820992" w14:paraId="64A9BED8" w14:textId="77777777" w:rsidTr="00640CEA">
        <w:tc>
          <w:tcPr>
            <w:tcW w:w="7933" w:type="dxa"/>
            <w:shd w:val="clear" w:color="auto" w:fill="auto"/>
          </w:tcPr>
          <w:p w14:paraId="2911EE00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STEP 9: Addressing comments by Member States</w:t>
            </w:r>
          </w:p>
        </w:tc>
        <w:tc>
          <w:tcPr>
            <w:tcW w:w="1560" w:type="dxa"/>
            <w:shd w:val="clear" w:color="auto" w:fill="auto"/>
          </w:tcPr>
          <w:p w14:paraId="2FE44EA4" w14:textId="0E9B4282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D81B55">
              <w:rPr>
                <w:sz w:val="24"/>
                <w:szCs w:val="24"/>
              </w:rPr>
              <w:t>1</w:t>
            </w:r>
            <w:r w:rsidRPr="00820992">
              <w:rPr>
                <w:sz w:val="24"/>
                <w:szCs w:val="24"/>
              </w:rPr>
              <w:t xml:space="preserve"> 202</w:t>
            </w:r>
            <w:r w:rsidR="00D81B55">
              <w:rPr>
                <w:sz w:val="24"/>
                <w:szCs w:val="24"/>
              </w:rPr>
              <w:t>1</w:t>
            </w:r>
          </w:p>
        </w:tc>
      </w:tr>
      <w:tr w:rsidR="003730B4" w:rsidRPr="00820992" w14:paraId="3319948C" w14:textId="77777777" w:rsidTr="00640CEA">
        <w:tc>
          <w:tcPr>
            <w:tcW w:w="7933" w:type="dxa"/>
            <w:shd w:val="clear" w:color="auto" w:fill="auto"/>
          </w:tcPr>
          <w:p w14:paraId="5F0B596E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10: </w:t>
            </w:r>
            <w:r w:rsidRPr="00820992">
              <w:rPr>
                <w:sz w:val="24"/>
                <w:szCs w:val="24"/>
              </w:rPr>
              <w:t>Approval of the revised draft by the Coordination Committee</w:t>
            </w:r>
          </w:p>
          <w:p w14:paraId="5172BF8E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Review in NS-SSCS</w:t>
            </w:r>
          </w:p>
        </w:tc>
        <w:tc>
          <w:tcPr>
            <w:tcW w:w="1560" w:type="dxa"/>
            <w:shd w:val="clear" w:color="auto" w:fill="auto"/>
          </w:tcPr>
          <w:p w14:paraId="3A2B8852" w14:textId="755331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D81B55">
              <w:rPr>
                <w:sz w:val="24"/>
                <w:szCs w:val="24"/>
              </w:rPr>
              <w:t>3</w:t>
            </w:r>
            <w:r w:rsidRPr="00820992">
              <w:rPr>
                <w:sz w:val="24"/>
                <w:szCs w:val="24"/>
              </w:rPr>
              <w:t xml:space="preserve"> 2021</w:t>
            </w:r>
          </w:p>
        </w:tc>
      </w:tr>
      <w:tr w:rsidR="003730B4" w:rsidRPr="00820992" w14:paraId="74EF05DF" w14:textId="77777777" w:rsidTr="00640CEA">
        <w:tc>
          <w:tcPr>
            <w:tcW w:w="7933" w:type="dxa"/>
            <w:shd w:val="clear" w:color="auto" w:fill="auto"/>
          </w:tcPr>
          <w:p w14:paraId="776481C4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11: </w:t>
            </w:r>
            <w:r w:rsidRPr="00820992">
              <w:rPr>
                <w:sz w:val="24"/>
                <w:szCs w:val="24"/>
              </w:rPr>
              <w:t>Approval by the relevant review Committees</w:t>
            </w:r>
          </w:p>
        </w:tc>
        <w:tc>
          <w:tcPr>
            <w:tcW w:w="1560" w:type="dxa"/>
            <w:shd w:val="clear" w:color="auto" w:fill="auto"/>
          </w:tcPr>
          <w:p w14:paraId="65D34445" w14:textId="139DA3EF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D81B55">
              <w:rPr>
                <w:sz w:val="24"/>
                <w:szCs w:val="24"/>
              </w:rPr>
              <w:t>4</w:t>
            </w:r>
            <w:r w:rsidRPr="00820992">
              <w:rPr>
                <w:sz w:val="24"/>
                <w:szCs w:val="24"/>
              </w:rPr>
              <w:t xml:space="preserve"> 2021</w:t>
            </w:r>
          </w:p>
        </w:tc>
      </w:tr>
      <w:tr w:rsidR="003730B4" w:rsidRPr="00820992" w14:paraId="78148D16" w14:textId="77777777" w:rsidTr="00640CEA">
        <w:tc>
          <w:tcPr>
            <w:tcW w:w="7933" w:type="dxa"/>
            <w:shd w:val="clear" w:color="auto" w:fill="auto"/>
          </w:tcPr>
          <w:p w14:paraId="10C1310E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12: </w:t>
            </w:r>
            <w:r w:rsidRPr="00820992">
              <w:rPr>
                <w:sz w:val="24"/>
                <w:szCs w:val="24"/>
              </w:rPr>
              <w:t>Endorsement by the CSS</w:t>
            </w:r>
          </w:p>
        </w:tc>
        <w:tc>
          <w:tcPr>
            <w:tcW w:w="1560" w:type="dxa"/>
            <w:shd w:val="clear" w:color="auto" w:fill="auto"/>
          </w:tcPr>
          <w:p w14:paraId="5E838F12" w14:textId="16D92EB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D81B55">
              <w:rPr>
                <w:sz w:val="24"/>
                <w:szCs w:val="24"/>
              </w:rPr>
              <w:t>1</w:t>
            </w:r>
            <w:r w:rsidRPr="00820992">
              <w:rPr>
                <w:sz w:val="24"/>
                <w:szCs w:val="24"/>
              </w:rPr>
              <w:t xml:space="preserve"> 202</w:t>
            </w:r>
            <w:r w:rsidR="00D81B55">
              <w:rPr>
                <w:sz w:val="24"/>
                <w:szCs w:val="24"/>
              </w:rPr>
              <w:t>2</w:t>
            </w:r>
          </w:p>
        </w:tc>
      </w:tr>
      <w:tr w:rsidR="003730B4" w:rsidRPr="00820992" w14:paraId="169AB579" w14:textId="77777777" w:rsidTr="00640CEA">
        <w:tc>
          <w:tcPr>
            <w:tcW w:w="7933" w:type="dxa"/>
            <w:shd w:val="clear" w:color="auto" w:fill="auto"/>
          </w:tcPr>
          <w:p w14:paraId="4775863E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>STEP 13: Establishment by the Publications Committee</w:t>
            </w:r>
          </w:p>
        </w:tc>
        <w:tc>
          <w:tcPr>
            <w:tcW w:w="1560" w:type="dxa"/>
            <w:shd w:val="clear" w:color="auto" w:fill="auto"/>
          </w:tcPr>
          <w:p w14:paraId="02ABDF1B" w14:textId="059DB7E8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D81B55">
              <w:rPr>
                <w:sz w:val="24"/>
                <w:szCs w:val="24"/>
              </w:rPr>
              <w:t>1</w:t>
            </w:r>
            <w:r w:rsidRPr="00820992">
              <w:rPr>
                <w:sz w:val="24"/>
                <w:szCs w:val="24"/>
              </w:rPr>
              <w:t xml:space="preserve"> 202</w:t>
            </w:r>
            <w:r w:rsidR="00D81B55">
              <w:rPr>
                <w:sz w:val="24"/>
                <w:szCs w:val="24"/>
              </w:rPr>
              <w:t>2</w:t>
            </w:r>
          </w:p>
        </w:tc>
      </w:tr>
      <w:tr w:rsidR="003730B4" w:rsidRPr="00820992" w14:paraId="0C9FF4A7" w14:textId="77777777" w:rsidTr="00640CEA">
        <w:tc>
          <w:tcPr>
            <w:tcW w:w="7933" w:type="dxa"/>
            <w:shd w:val="clear" w:color="auto" w:fill="auto"/>
          </w:tcPr>
          <w:p w14:paraId="4830B24F" w14:textId="77777777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20992">
              <w:rPr>
                <w:color w:val="000000"/>
                <w:sz w:val="24"/>
                <w:szCs w:val="24"/>
              </w:rPr>
              <w:t xml:space="preserve">STEP 14: </w:t>
            </w:r>
            <w:r w:rsidRPr="00820992">
              <w:rPr>
                <w:sz w:val="24"/>
                <w:szCs w:val="24"/>
              </w:rPr>
              <w:t>Target publication date</w:t>
            </w:r>
          </w:p>
        </w:tc>
        <w:tc>
          <w:tcPr>
            <w:tcW w:w="1560" w:type="dxa"/>
            <w:shd w:val="clear" w:color="auto" w:fill="auto"/>
          </w:tcPr>
          <w:p w14:paraId="0F3558E5" w14:textId="0EA4EB44" w:rsidR="003730B4" w:rsidRPr="0082099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20992">
              <w:rPr>
                <w:sz w:val="24"/>
                <w:szCs w:val="24"/>
              </w:rPr>
              <w:t>Q</w:t>
            </w:r>
            <w:r w:rsidR="00D81B55">
              <w:rPr>
                <w:sz w:val="24"/>
                <w:szCs w:val="24"/>
              </w:rPr>
              <w:t>4</w:t>
            </w:r>
            <w:r w:rsidRPr="00820992">
              <w:rPr>
                <w:sz w:val="24"/>
                <w:szCs w:val="24"/>
              </w:rPr>
              <w:t xml:space="preserve"> 2022</w:t>
            </w:r>
          </w:p>
        </w:tc>
      </w:tr>
    </w:tbl>
    <w:p w14:paraId="6F796BA1" w14:textId="77777777" w:rsidR="003730B4" w:rsidRPr="00820992" w:rsidRDefault="003730B4" w:rsidP="003730B4">
      <w:pPr>
        <w:pStyle w:val="BodyText"/>
        <w:rPr>
          <w:sz w:val="24"/>
          <w:szCs w:val="24"/>
        </w:rPr>
      </w:pPr>
    </w:p>
    <w:p w14:paraId="2022EBD6" w14:textId="77777777" w:rsidR="003730B4" w:rsidRPr="00820992" w:rsidRDefault="003730B4" w:rsidP="003730B4">
      <w:pPr>
        <w:autoSpaceDE w:val="0"/>
        <w:autoSpaceDN w:val="0"/>
        <w:adjustRightInd w:val="0"/>
        <w:rPr>
          <w:lang w:val="en-GB" w:eastAsia="en-GB"/>
        </w:rPr>
      </w:pPr>
      <w:r w:rsidRPr="00820992">
        <w:rPr>
          <w:b/>
          <w:bCs/>
        </w:rPr>
        <w:t>9. RESOURCES</w:t>
      </w:r>
      <w:r w:rsidRPr="00820992">
        <w:rPr>
          <w:b/>
          <w:bCs/>
        </w:rPr>
        <w:br/>
      </w:r>
      <w:r w:rsidRPr="00820992">
        <w:rPr>
          <w:lang w:val="en-GB" w:eastAsia="en-GB"/>
        </w:rPr>
        <w:t>Staff: 25 staff weeks</w:t>
      </w:r>
    </w:p>
    <w:p w14:paraId="76BE3D64" w14:textId="77777777" w:rsidR="00916868" w:rsidRDefault="003730B4" w:rsidP="003730B4">
      <w:pPr>
        <w:pStyle w:val="BodyText"/>
        <w:spacing w:line="220" w:lineRule="atLeast"/>
        <w:ind w:left="240" w:hanging="240"/>
        <w:jc w:val="left"/>
        <w:rPr>
          <w:sz w:val="24"/>
          <w:szCs w:val="24"/>
          <w:lang w:eastAsia="en-GB"/>
        </w:rPr>
      </w:pPr>
      <w:r w:rsidRPr="00820992">
        <w:rPr>
          <w:sz w:val="24"/>
          <w:szCs w:val="24"/>
          <w:lang w:eastAsia="en-GB"/>
        </w:rPr>
        <w:t>Consultants: 20 weeks</w:t>
      </w:r>
    </w:p>
    <w:p w14:paraId="7B461E8F" w14:textId="37C166AC" w:rsidR="00B360C1" w:rsidRPr="00820992" w:rsidRDefault="00B360C1" w:rsidP="003730B4">
      <w:pPr>
        <w:pStyle w:val="BodyText"/>
        <w:spacing w:line="220" w:lineRule="atLeast"/>
        <w:ind w:left="240" w:hanging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 additional Technical </w:t>
      </w:r>
      <w:r w:rsidR="003C19E4">
        <w:rPr>
          <w:sz w:val="24"/>
          <w:szCs w:val="24"/>
        </w:rPr>
        <w:t>M</w:t>
      </w:r>
      <w:r>
        <w:rPr>
          <w:sz w:val="24"/>
          <w:szCs w:val="24"/>
        </w:rPr>
        <w:t>eeting will be considered at Step 5</w:t>
      </w:r>
    </w:p>
    <w:sectPr w:rsidR="00B360C1" w:rsidRPr="00820992" w:rsidSect="00790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46AD" w14:textId="77777777" w:rsidR="004041DA" w:rsidRDefault="004041DA">
      <w:r>
        <w:separator/>
      </w:r>
    </w:p>
  </w:endnote>
  <w:endnote w:type="continuationSeparator" w:id="0">
    <w:p w14:paraId="6EAA4956" w14:textId="77777777" w:rsidR="004041DA" w:rsidRDefault="004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7373" w14:textId="77777777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3DEBF531" w14:textId="77777777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1712" w14:textId="77777777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824BD31" w14:textId="77777777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640CEA" w14:paraId="6636B732" w14:textId="77777777">
      <w:trPr>
        <w:cantSplit/>
      </w:trPr>
      <w:tc>
        <w:tcPr>
          <w:tcW w:w="4644" w:type="dxa"/>
        </w:tcPr>
        <w:p w14:paraId="0F7EC622" w14:textId="77777777" w:rsidR="00640CEA" w:rsidRDefault="00640CEA" w:rsidP="00C710DB">
          <w:pPr>
            <w:pStyle w:val="zyxSensitivity"/>
            <w:framePr w:wrap="auto" w:vAnchor="margin" w:hAnchor="text" w:xAlign="left" w:yAlign="inline"/>
            <w:suppressOverlap w:val="0"/>
            <w:jc w:val="center"/>
          </w:pPr>
          <w:r>
            <w:tab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0D83AFA4" w14:textId="77777777" w:rsidR="00640CEA" w:rsidRDefault="00640CE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0FF5DD47" w14:textId="77777777" w:rsidR="00640CEA" w:rsidRDefault="00640CEA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14:paraId="5C1EE12A" w14:textId="77777777" w:rsidR="00640CEA" w:rsidRDefault="00640CEA">
    <w:bookmarkStart w:id="4" w:name="DOC_bkmFileName"/>
    <w:r>
      <w:rPr>
        <w:sz w:val="16"/>
      </w:rPr>
      <w:t>NS-SPESS F DPP-V.11- 21 November 201</w:t>
    </w:r>
    <w:bookmarkEnd w:id="4"/>
    <w:r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6903" w14:textId="77777777" w:rsidR="004041DA" w:rsidRDefault="004041DA">
      <w:r>
        <w:t>___________________________________________________________________________</w:t>
      </w:r>
    </w:p>
  </w:footnote>
  <w:footnote w:type="continuationSeparator" w:id="0">
    <w:p w14:paraId="74C62DDC" w14:textId="77777777" w:rsidR="004041DA" w:rsidRDefault="004041DA">
      <w:r>
        <w:t>___________________________________________________________________________</w:t>
      </w:r>
    </w:p>
  </w:footnote>
  <w:footnote w:type="continuationNotice" w:id="1">
    <w:p w14:paraId="5C816BBD" w14:textId="77777777" w:rsidR="004041DA" w:rsidRDefault="00404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EA67" w14:textId="77777777" w:rsidR="00640CEA" w:rsidRDefault="00640CEA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br/>
    </w:r>
  </w:p>
  <w:p w14:paraId="6C032F62" w14:textId="77777777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513DA4C2" w14:textId="77777777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833" w14:textId="77777777" w:rsidR="00640CEA" w:rsidRDefault="00640CEA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14:paraId="16602C19" w14:textId="77777777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02888052" w14:textId="77777777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49AF76F8" w14:textId="77777777" w:rsidR="00640CEA" w:rsidRDefault="00640CE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640CEA" w14:paraId="062ED9C4" w14:textId="77777777">
      <w:trPr>
        <w:cantSplit/>
        <w:trHeight w:val="716"/>
      </w:trPr>
      <w:tc>
        <w:tcPr>
          <w:tcW w:w="979" w:type="dxa"/>
          <w:vMerge w:val="restart"/>
        </w:tcPr>
        <w:p w14:paraId="3B24F497" w14:textId="77777777" w:rsidR="00640CEA" w:rsidRDefault="00640CEA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C82657" w14:textId="77777777" w:rsidR="00640CEA" w:rsidRDefault="00640CEA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00739726" w14:textId="77777777" w:rsidR="00640CEA" w:rsidRDefault="00640CE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6D7A417A" w14:textId="77777777" w:rsidR="00640CEA" w:rsidRDefault="00640CEA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640CEA" w14:paraId="79FAC563" w14:textId="77777777">
      <w:trPr>
        <w:cantSplit/>
        <w:trHeight w:val="167"/>
      </w:trPr>
      <w:tc>
        <w:tcPr>
          <w:tcW w:w="979" w:type="dxa"/>
          <w:vMerge/>
        </w:tcPr>
        <w:p w14:paraId="4E64D732" w14:textId="77777777" w:rsidR="00640CEA" w:rsidRDefault="00640CEA">
          <w:pPr>
            <w:spacing w:before="57"/>
          </w:pPr>
        </w:p>
      </w:tc>
      <w:tc>
        <w:tcPr>
          <w:tcW w:w="3638" w:type="dxa"/>
          <w:vAlign w:val="bottom"/>
        </w:tcPr>
        <w:p w14:paraId="0DA06C56" w14:textId="77777777" w:rsidR="00640CEA" w:rsidRDefault="00640CEA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5E68EA8B" w14:textId="77777777" w:rsidR="00640CEA" w:rsidRDefault="00640CEA">
          <w:pPr>
            <w:pStyle w:val="Heading9"/>
            <w:spacing w:before="0" w:after="10"/>
          </w:pPr>
        </w:p>
      </w:tc>
    </w:tr>
  </w:tbl>
  <w:p w14:paraId="24736093" w14:textId="77777777" w:rsidR="00640CEA" w:rsidRDefault="00640CEA">
    <w:r>
      <w:rPr>
        <w:rStyle w:val="PageNumber"/>
        <w:sz w:val="18"/>
        <w:szCs w:val="20"/>
      </w:rPr>
      <w:fldChar w:fldCharType="begin"/>
    </w:r>
    <w:r>
      <w:rPr>
        <w:rStyle w:val="PageNumber"/>
        <w:sz w:val="18"/>
        <w:szCs w:val="20"/>
      </w:rPr>
      <w:instrText xml:space="preserve"> PAGE </w:instrText>
    </w:r>
    <w:r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1</w:t>
    </w:r>
    <w:r>
      <w:rPr>
        <w:rStyle w:val="PageNumber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704"/>
    <w:multiLevelType w:val="hybridMultilevel"/>
    <w:tmpl w:val="51906CA6"/>
    <w:lvl w:ilvl="0" w:tplc="3880C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CFD7655"/>
    <w:multiLevelType w:val="hybridMultilevel"/>
    <w:tmpl w:val="5CDCC32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74CA"/>
    <w:multiLevelType w:val="hybridMultilevel"/>
    <w:tmpl w:val="8DA0A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A3CCF"/>
    <w:multiLevelType w:val="hybridMultilevel"/>
    <w:tmpl w:val="1820D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3C2951"/>
    <w:multiLevelType w:val="hybridMultilevel"/>
    <w:tmpl w:val="92207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1" w15:restartNumberingAfterBreak="0">
    <w:nsid w:val="7618560C"/>
    <w:multiLevelType w:val="hybridMultilevel"/>
    <w:tmpl w:val="8EC0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B4B77"/>
    <w:multiLevelType w:val="hybridMultilevel"/>
    <w:tmpl w:val="B0EA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87477"/>
    <w:rsid w:val="00014BE6"/>
    <w:rsid w:val="00016ABE"/>
    <w:rsid w:val="00073BE4"/>
    <w:rsid w:val="00087477"/>
    <w:rsid w:val="000D22FB"/>
    <w:rsid w:val="001151BB"/>
    <w:rsid w:val="00120880"/>
    <w:rsid w:val="001230D3"/>
    <w:rsid w:val="00142442"/>
    <w:rsid w:val="001635EC"/>
    <w:rsid w:val="00174EE7"/>
    <w:rsid w:val="0017772C"/>
    <w:rsid w:val="00182E26"/>
    <w:rsid w:val="001C582A"/>
    <w:rsid w:val="001D2F28"/>
    <w:rsid w:val="001E72B9"/>
    <w:rsid w:val="001F54DD"/>
    <w:rsid w:val="002076C4"/>
    <w:rsid w:val="00211860"/>
    <w:rsid w:val="00234AD6"/>
    <w:rsid w:val="00267DCE"/>
    <w:rsid w:val="00276083"/>
    <w:rsid w:val="002842EF"/>
    <w:rsid w:val="002A7DCC"/>
    <w:rsid w:val="002B1193"/>
    <w:rsid w:val="00304886"/>
    <w:rsid w:val="003157DB"/>
    <w:rsid w:val="003160D5"/>
    <w:rsid w:val="0033433F"/>
    <w:rsid w:val="00343F12"/>
    <w:rsid w:val="00372A32"/>
    <w:rsid w:val="003730B4"/>
    <w:rsid w:val="003858D3"/>
    <w:rsid w:val="0039184E"/>
    <w:rsid w:val="003B1FF0"/>
    <w:rsid w:val="003C19E4"/>
    <w:rsid w:val="003C633C"/>
    <w:rsid w:val="003F08E7"/>
    <w:rsid w:val="004041DA"/>
    <w:rsid w:val="00413655"/>
    <w:rsid w:val="00432A67"/>
    <w:rsid w:val="004615C3"/>
    <w:rsid w:val="0046657C"/>
    <w:rsid w:val="00481A4D"/>
    <w:rsid w:val="004824D7"/>
    <w:rsid w:val="004C4FCE"/>
    <w:rsid w:val="004E042C"/>
    <w:rsid w:val="004E532B"/>
    <w:rsid w:val="00537B4C"/>
    <w:rsid w:val="00545549"/>
    <w:rsid w:val="00546C57"/>
    <w:rsid w:val="005543C4"/>
    <w:rsid w:val="0056221E"/>
    <w:rsid w:val="005727BC"/>
    <w:rsid w:val="00594993"/>
    <w:rsid w:val="00596F97"/>
    <w:rsid w:val="005A70D3"/>
    <w:rsid w:val="005C38D2"/>
    <w:rsid w:val="005E529F"/>
    <w:rsid w:val="00625D7D"/>
    <w:rsid w:val="006350D0"/>
    <w:rsid w:val="00640CEA"/>
    <w:rsid w:val="00681222"/>
    <w:rsid w:val="00685AEA"/>
    <w:rsid w:val="00685D17"/>
    <w:rsid w:val="006A079B"/>
    <w:rsid w:val="006B1B05"/>
    <w:rsid w:val="006D5019"/>
    <w:rsid w:val="006E633A"/>
    <w:rsid w:val="00702F05"/>
    <w:rsid w:val="007906CF"/>
    <w:rsid w:val="007B4152"/>
    <w:rsid w:val="007D1AE2"/>
    <w:rsid w:val="00820992"/>
    <w:rsid w:val="008347F7"/>
    <w:rsid w:val="008638E8"/>
    <w:rsid w:val="00866E71"/>
    <w:rsid w:val="008A1A24"/>
    <w:rsid w:val="008A6378"/>
    <w:rsid w:val="00916868"/>
    <w:rsid w:val="00926ACE"/>
    <w:rsid w:val="009561A5"/>
    <w:rsid w:val="0095643D"/>
    <w:rsid w:val="0095676F"/>
    <w:rsid w:val="009706EC"/>
    <w:rsid w:val="009914A4"/>
    <w:rsid w:val="009A4D6E"/>
    <w:rsid w:val="009F2AA1"/>
    <w:rsid w:val="00A0380B"/>
    <w:rsid w:val="00A17794"/>
    <w:rsid w:val="00A17C97"/>
    <w:rsid w:val="00A627DB"/>
    <w:rsid w:val="00A82034"/>
    <w:rsid w:val="00A86552"/>
    <w:rsid w:val="00A914A6"/>
    <w:rsid w:val="00A96F2A"/>
    <w:rsid w:val="00AA459C"/>
    <w:rsid w:val="00AA5A0C"/>
    <w:rsid w:val="00AB0B83"/>
    <w:rsid w:val="00AF13C0"/>
    <w:rsid w:val="00B124D6"/>
    <w:rsid w:val="00B2375C"/>
    <w:rsid w:val="00B360C1"/>
    <w:rsid w:val="00B81E2F"/>
    <w:rsid w:val="00C31396"/>
    <w:rsid w:val="00C36DC9"/>
    <w:rsid w:val="00C61E58"/>
    <w:rsid w:val="00C634F6"/>
    <w:rsid w:val="00C710DB"/>
    <w:rsid w:val="00C7358B"/>
    <w:rsid w:val="00C860C8"/>
    <w:rsid w:val="00D14988"/>
    <w:rsid w:val="00D34F6B"/>
    <w:rsid w:val="00D81B55"/>
    <w:rsid w:val="00D871CA"/>
    <w:rsid w:val="00DA4690"/>
    <w:rsid w:val="00DB7F78"/>
    <w:rsid w:val="00DD3254"/>
    <w:rsid w:val="00DE2A51"/>
    <w:rsid w:val="00DF1503"/>
    <w:rsid w:val="00E0263C"/>
    <w:rsid w:val="00E3140C"/>
    <w:rsid w:val="00E3353A"/>
    <w:rsid w:val="00E341C5"/>
    <w:rsid w:val="00E65CE1"/>
    <w:rsid w:val="00E8447E"/>
    <w:rsid w:val="00E93774"/>
    <w:rsid w:val="00ED0156"/>
    <w:rsid w:val="00ED0A37"/>
    <w:rsid w:val="00ED54B4"/>
    <w:rsid w:val="00EF057C"/>
    <w:rsid w:val="00F1336B"/>
    <w:rsid w:val="00F266F1"/>
    <w:rsid w:val="00F44603"/>
    <w:rsid w:val="00F44BB2"/>
    <w:rsid w:val="00F56635"/>
    <w:rsid w:val="00F77604"/>
    <w:rsid w:val="00F94805"/>
    <w:rsid w:val="00FA2DD5"/>
    <w:rsid w:val="00FC5589"/>
    <w:rsid w:val="00FD764A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C2FA42"/>
  <w15:docId w15:val="{26EC0A4F-2628-48D1-BDC3-DBE3182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442"/>
    <w:rPr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48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4690"/>
  </w:style>
  <w:style w:type="character" w:customStyle="1" w:styleId="BodyTextChar">
    <w:name w:val="Body Text Char"/>
    <w:basedOn w:val="DefaultParagraphFont"/>
    <w:link w:val="BodyText"/>
    <w:rsid w:val="003730B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730B4"/>
    <w:pPr>
      <w:ind w:left="720"/>
      <w:contextualSpacing/>
    </w:pPr>
  </w:style>
  <w:style w:type="paragraph" w:customStyle="1" w:styleId="Default">
    <w:name w:val="Default"/>
    <w:rsid w:val="003730B4"/>
    <w:pPr>
      <w:autoSpaceDE w:val="0"/>
      <w:autoSpaceDN w:val="0"/>
      <w:adjustRightInd w:val="0"/>
    </w:pPr>
    <w:rPr>
      <w:rFonts w:ascii="Times Ten" w:hAnsi="Times Ten" w:cs="Times T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SHAW, Peter</dc:creator>
  <cp:lastModifiedBy>DELATTRE, Dominique Jules</cp:lastModifiedBy>
  <cp:revision>3</cp:revision>
  <cp:lastPrinted>2010-07-12T14:52:00Z</cp:lastPrinted>
  <dcterms:created xsi:type="dcterms:W3CDTF">2019-06-18T12:31:00Z</dcterms:created>
  <dcterms:modified xsi:type="dcterms:W3CDTF">2019-10-09T09:13:00Z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