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1F" w:rsidRPr="00C10D10" w:rsidRDefault="006D061F" w:rsidP="006D061F">
      <w:pPr>
        <w:spacing w:after="240"/>
        <w:jc w:val="right"/>
        <w:rPr>
          <w:rFonts w:ascii="Times New Roman" w:hAnsi="Times New Roman"/>
          <w:b/>
          <w:sz w:val="24"/>
          <w:szCs w:val="24"/>
        </w:rPr>
      </w:pPr>
      <w:bookmarkStart w:id="0" w:name="bkmTDSubTitle"/>
      <w:r w:rsidRPr="00C10D10">
        <w:rPr>
          <w:rFonts w:ascii="Times New Roman" w:hAnsi="Times New Roman"/>
          <w:b/>
          <w:sz w:val="24"/>
          <w:szCs w:val="24"/>
        </w:rPr>
        <w:t>DS442</w:t>
      </w:r>
    </w:p>
    <w:p w:rsidR="006D061F" w:rsidRPr="00C10D10" w:rsidRDefault="006D061F" w:rsidP="006D061F">
      <w:pPr>
        <w:spacing w:after="240"/>
        <w:jc w:val="right"/>
        <w:rPr>
          <w:rFonts w:ascii="Times New Roman" w:hAnsi="Times New Roman"/>
          <w:b/>
          <w:sz w:val="24"/>
          <w:szCs w:val="24"/>
        </w:rPr>
      </w:pPr>
      <w:r w:rsidRPr="00C10D10">
        <w:rPr>
          <w:rFonts w:ascii="Times New Roman" w:hAnsi="Times New Roman"/>
          <w:b/>
          <w:sz w:val="24"/>
          <w:szCs w:val="24"/>
        </w:rPr>
        <w:t xml:space="preserve">Date: </w:t>
      </w:r>
      <w:r w:rsidR="00B03A44">
        <w:rPr>
          <w:rFonts w:ascii="Times New Roman" w:hAnsi="Times New Roman"/>
          <w:b/>
          <w:sz w:val="24"/>
          <w:szCs w:val="24"/>
        </w:rPr>
        <w:t>10</w:t>
      </w:r>
      <w:r w:rsidR="0038469A">
        <w:rPr>
          <w:rFonts w:ascii="Times New Roman" w:hAnsi="Times New Roman"/>
          <w:b/>
          <w:sz w:val="24"/>
          <w:szCs w:val="24"/>
        </w:rPr>
        <w:t xml:space="preserve"> August 2016</w:t>
      </w:r>
      <w:r w:rsidR="00E7351C" w:rsidRPr="00C10D10">
        <w:rPr>
          <w:rFonts w:ascii="Times New Roman" w:hAnsi="Times New Roman"/>
          <w:b/>
          <w:sz w:val="24"/>
          <w:szCs w:val="24"/>
        </w:rPr>
        <w:t xml:space="preserve"> </w:t>
      </w:r>
      <w:r w:rsidRPr="00C10D10">
        <w:rPr>
          <w:rFonts w:ascii="Times New Roman" w:hAnsi="Times New Roman"/>
          <w:b/>
          <w:sz w:val="24"/>
          <w:szCs w:val="24"/>
        </w:rPr>
        <w:t>(Draft</w:t>
      </w:r>
      <w:r w:rsidR="00632DAC">
        <w:rPr>
          <w:rFonts w:ascii="Times New Roman" w:hAnsi="Times New Roman"/>
          <w:b/>
          <w:sz w:val="24"/>
          <w:szCs w:val="24"/>
        </w:rPr>
        <w:t xml:space="preserve"> </w:t>
      </w:r>
      <w:r w:rsidR="0003348E">
        <w:rPr>
          <w:rFonts w:ascii="Times New Roman" w:hAnsi="Times New Roman"/>
          <w:b/>
          <w:sz w:val="24"/>
          <w:szCs w:val="24"/>
        </w:rPr>
        <w:t>7.</w:t>
      </w:r>
      <w:r w:rsidR="00B03A44">
        <w:rPr>
          <w:rFonts w:ascii="Times New Roman" w:hAnsi="Times New Roman"/>
          <w:b/>
          <w:sz w:val="24"/>
          <w:szCs w:val="24"/>
        </w:rPr>
        <w:t>4</w:t>
      </w:r>
      <w:r w:rsidR="0003348E">
        <w:rPr>
          <w:rFonts w:ascii="Times New Roman" w:hAnsi="Times New Roman"/>
          <w:b/>
          <w:sz w:val="24"/>
          <w:szCs w:val="24"/>
        </w:rPr>
        <w:t>)</w:t>
      </w:r>
    </w:p>
    <w:p w:rsidR="006D061F" w:rsidRPr="00C10D10" w:rsidRDefault="006D061F">
      <w:pPr>
        <w:pStyle w:val="BodyText"/>
      </w:pPr>
      <w:r w:rsidRPr="00C10D10">
        <w:t>IAEA SAFETY STANDARDS</w:t>
      </w:r>
    </w:p>
    <w:p w:rsidR="006D061F" w:rsidRPr="00C10D10" w:rsidRDefault="006D061F" w:rsidP="006D061F">
      <w:pPr>
        <w:spacing w:after="240"/>
        <w:rPr>
          <w:rFonts w:ascii="Times New Roman" w:hAnsi="Times New Roman"/>
          <w:b/>
          <w:bCs/>
          <w:sz w:val="28"/>
        </w:rPr>
      </w:pPr>
      <w:proofErr w:type="gramStart"/>
      <w:r w:rsidRPr="00C10D10">
        <w:rPr>
          <w:rFonts w:ascii="Times New Roman" w:hAnsi="Times New Roman"/>
          <w:b/>
          <w:bCs/>
          <w:sz w:val="28"/>
        </w:rPr>
        <w:t>for</w:t>
      </w:r>
      <w:proofErr w:type="gramEnd"/>
      <w:r w:rsidRPr="00C10D10">
        <w:rPr>
          <w:rFonts w:ascii="Times New Roman" w:hAnsi="Times New Roman"/>
          <w:b/>
          <w:bCs/>
          <w:sz w:val="28"/>
        </w:rPr>
        <w:t xml:space="preserve"> protecting people and the environment</w:t>
      </w:r>
    </w:p>
    <w:p w:rsidR="006D061F" w:rsidRPr="00C10D10" w:rsidRDefault="006D061F" w:rsidP="006D061F">
      <w:pPr>
        <w:spacing w:after="240"/>
        <w:rPr>
          <w:rFonts w:ascii="Times New Roman" w:hAnsi="Times New Roman"/>
          <w:sz w:val="24"/>
        </w:rPr>
      </w:pPr>
    </w:p>
    <w:p w:rsidR="000A36A3" w:rsidRPr="000A36A3" w:rsidRDefault="000A36A3" w:rsidP="000A36A3">
      <w:pPr>
        <w:framePr w:w="4405" w:h="1159" w:hSpace="180" w:wrap="around" w:vAnchor="text" w:hAnchor="page" w:x="5822" w:y="225"/>
        <w:pBdr>
          <w:top w:val="single" w:sz="4" w:space="1" w:color="auto"/>
          <w:left w:val="single" w:sz="4" w:space="4" w:color="auto"/>
          <w:bottom w:val="single" w:sz="4" w:space="1" w:color="auto"/>
          <w:right w:val="single" w:sz="4" w:space="4" w:color="auto"/>
        </w:pBdr>
        <w:spacing w:after="240"/>
        <w:rPr>
          <w:rFonts w:ascii="Times New Roman" w:hAnsi="Times New Roman"/>
          <w:b/>
          <w:bCs/>
          <w:sz w:val="24"/>
        </w:rPr>
      </w:pPr>
      <w:r w:rsidRPr="000A36A3">
        <w:rPr>
          <w:rFonts w:ascii="Times New Roman" w:hAnsi="Times New Roman"/>
          <w:b/>
          <w:bCs/>
          <w:sz w:val="24"/>
        </w:rPr>
        <w:t>Status: STEP 1</w:t>
      </w:r>
      <w:r w:rsidR="00F71E9A">
        <w:rPr>
          <w:rFonts w:ascii="Times New Roman" w:hAnsi="Times New Roman"/>
          <w:b/>
          <w:bCs/>
          <w:sz w:val="24"/>
        </w:rPr>
        <w:t>2</w:t>
      </w:r>
    </w:p>
    <w:p w:rsidR="0003348E" w:rsidRDefault="00B03A44" w:rsidP="000A36A3">
      <w:pPr>
        <w:framePr w:w="4405" w:h="1159" w:hSpace="180" w:wrap="around" w:vAnchor="text" w:hAnchor="page" w:x="5822" w:y="225"/>
        <w:pBdr>
          <w:top w:val="single" w:sz="4" w:space="1" w:color="auto"/>
          <w:left w:val="single" w:sz="4" w:space="4" w:color="auto"/>
          <w:bottom w:val="single" w:sz="4" w:space="1" w:color="auto"/>
          <w:right w:val="single" w:sz="4" w:space="4" w:color="auto"/>
        </w:pBdr>
        <w:spacing w:after="240"/>
        <w:rPr>
          <w:rFonts w:ascii="Times New Roman" w:hAnsi="Times New Roman"/>
          <w:b/>
          <w:bCs/>
          <w:sz w:val="24"/>
        </w:rPr>
      </w:pPr>
      <w:r>
        <w:rPr>
          <w:rFonts w:ascii="Times New Roman" w:hAnsi="Times New Roman"/>
          <w:b/>
          <w:bCs/>
          <w:sz w:val="24"/>
        </w:rPr>
        <w:t>For review by the CSS</w:t>
      </w:r>
    </w:p>
    <w:p w:rsidR="006D061F" w:rsidRPr="00C10D10" w:rsidRDefault="006D061F" w:rsidP="006D061F">
      <w:pPr>
        <w:spacing w:after="240"/>
        <w:rPr>
          <w:rFonts w:ascii="Times New Roman" w:hAnsi="Times New Roman"/>
          <w:b/>
          <w:sz w:val="44"/>
        </w:rPr>
      </w:pPr>
    </w:p>
    <w:p w:rsidR="006D061F" w:rsidRPr="00C10D10" w:rsidRDefault="006D061F" w:rsidP="006D061F">
      <w:pPr>
        <w:spacing w:after="240"/>
        <w:rPr>
          <w:rFonts w:ascii="Times New Roman" w:hAnsi="Times New Roman"/>
          <w:b/>
          <w:sz w:val="44"/>
        </w:rPr>
      </w:pPr>
    </w:p>
    <w:p w:rsidR="006D061F" w:rsidRPr="00C10D10" w:rsidRDefault="006D061F" w:rsidP="006D061F">
      <w:pPr>
        <w:spacing w:after="240"/>
        <w:rPr>
          <w:rFonts w:ascii="Times New Roman" w:hAnsi="Times New Roman"/>
          <w:b/>
          <w:sz w:val="44"/>
        </w:rPr>
      </w:pPr>
    </w:p>
    <w:p w:rsidR="006D061F" w:rsidRPr="00C10D10" w:rsidRDefault="006D061F" w:rsidP="006D061F">
      <w:pPr>
        <w:spacing w:after="240"/>
        <w:rPr>
          <w:rFonts w:ascii="Times New Roman" w:hAnsi="Times New Roman"/>
          <w:b/>
          <w:sz w:val="44"/>
        </w:rPr>
      </w:pPr>
    </w:p>
    <w:p w:rsidR="006D061F" w:rsidRPr="00C10D10" w:rsidRDefault="006D061F" w:rsidP="006D061F">
      <w:pPr>
        <w:spacing w:after="240"/>
        <w:rPr>
          <w:rFonts w:ascii="Times New Roman" w:hAnsi="Times New Roman"/>
          <w:b/>
          <w:sz w:val="44"/>
        </w:rPr>
      </w:pPr>
    </w:p>
    <w:p w:rsidR="006D061F" w:rsidRDefault="006D061F" w:rsidP="006D061F">
      <w:pPr>
        <w:spacing w:after="240"/>
        <w:rPr>
          <w:rFonts w:ascii="Times New Roman" w:hAnsi="Times New Roman"/>
          <w:b/>
          <w:sz w:val="44"/>
        </w:rPr>
      </w:pPr>
    </w:p>
    <w:p w:rsidR="00840830" w:rsidRPr="00C10D10" w:rsidRDefault="00840830" w:rsidP="006D061F">
      <w:pPr>
        <w:spacing w:after="240"/>
        <w:rPr>
          <w:rFonts w:ascii="Times New Roman" w:hAnsi="Times New Roman"/>
          <w:b/>
          <w:sz w:val="44"/>
        </w:rPr>
      </w:pPr>
    </w:p>
    <w:p w:rsidR="0003348E" w:rsidRDefault="006D061F" w:rsidP="00C366F8">
      <w:pPr>
        <w:spacing w:after="240"/>
        <w:rPr>
          <w:rFonts w:ascii="Times New Roman" w:hAnsi="Times New Roman"/>
          <w:b/>
          <w:bCs/>
          <w:sz w:val="44"/>
          <w:szCs w:val="44"/>
        </w:rPr>
      </w:pPr>
      <w:r w:rsidRPr="00C10D10">
        <w:rPr>
          <w:rFonts w:ascii="Times New Roman" w:hAnsi="Times New Roman"/>
          <w:b/>
          <w:bCs/>
          <w:sz w:val="44"/>
          <w:szCs w:val="44"/>
        </w:rPr>
        <w:t xml:space="preserve">Regulatory Control </w:t>
      </w:r>
    </w:p>
    <w:p w:rsidR="00BA765A" w:rsidRPr="00C10D10" w:rsidRDefault="006D061F" w:rsidP="00C366F8">
      <w:pPr>
        <w:spacing w:after="240"/>
        <w:rPr>
          <w:rFonts w:ascii="Times New Roman" w:hAnsi="Times New Roman"/>
          <w:b/>
          <w:bCs/>
          <w:sz w:val="44"/>
          <w:szCs w:val="44"/>
        </w:rPr>
      </w:pPr>
      <w:proofErr w:type="gramStart"/>
      <w:r w:rsidRPr="00C10D10">
        <w:rPr>
          <w:rFonts w:ascii="Times New Roman" w:hAnsi="Times New Roman"/>
          <w:b/>
          <w:bCs/>
          <w:sz w:val="44"/>
          <w:szCs w:val="44"/>
        </w:rPr>
        <w:t>of</w:t>
      </w:r>
      <w:proofErr w:type="gramEnd"/>
      <w:r w:rsidRPr="00C10D10">
        <w:rPr>
          <w:rFonts w:ascii="Times New Roman" w:hAnsi="Times New Roman"/>
          <w:b/>
          <w:bCs/>
          <w:sz w:val="44"/>
          <w:szCs w:val="44"/>
        </w:rPr>
        <w:t xml:space="preserve"> Radioactive</w:t>
      </w:r>
      <w:r w:rsidR="009B5672" w:rsidRPr="00C10D10">
        <w:rPr>
          <w:rFonts w:ascii="Times New Roman" w:hAnsi="Times New Roman"/>
          <w:b/>
          <w:bCs/>
          <w:sz w:val="44"/>
          <w:szCs w:val="44"/>
        </w:rPr>
        <w:t xml:space="preserve"> </w:t>
      </w:r>
      <w:r w:rsidRPr="00C10D10">
        <w:rPr>
          <w:rFonts w:ascii="Times New Roman" w:hAnsi="Times New Roman"/>
          <w:b/>
          <w:bCs/>
          <w:sz w:val="44"/>
          <w:szCs w:val="44"/>
        </w:rPr>
        <w:t>Discharges to the Environment</w:t>
      </w:r>
    </w:p>
    <w:p w:rsidR="006D061F" w:rsidRPr="00C10D10" w:rsidRDefault="006D061F" w:rsidP="006D061F">
      <w:pPr>
        <w:spacing w:after="240"/>
        <w:rPr>
          <w:rFonts w:ascii="Times New Roman" w:hAnsi="Times New Roman"/>
          <w:b/>
          <w:sz w:val="44"/>
        </w:rPr>
      </w:pPr>
    </w:p>
    <w:p w:rsidR="006D061F" w:rsidRPr="00C10D10" w:rsidRDefault="006D061F" w:rsidP="006D061F">
      <w:pPr>
        <w:spacing w:after="240"/>
        <w:rPr>
          <w:rFonts w:ascii="Times New Roman" w:hAnsi="Times New Roman"/>
          <w:b/>
          <w:sz w:val="44"/>
        </w:rPr>
      </w:pPr>
    </w:p>
    <w:p w:rsidR="006D061F" w:rsidRPr="00C10D10" w:rsidRDefault="006D061F" w:rsidP="006D061F">
      <w:pPr>
        <w:spacing w:after="240"/>
        <w:rPr>
          <w:rFonts w:ascii="Times New Roman" w:hAnsi="Times New Roman"/>
          <w:sz w:val="24"/>
        </w:rPr>
      </w:pPr>
      <w:r w:rsidRPr="00C10D10">
        <w:rPr>
          <w:rFonts w:ascii="Times New Roman" w:hAnsi="Times New Roman"/>
          <w:sz w:val="24"/>
        </w:rPr>
        <w:t>DRAFT SAFETY GUIDE</w:t>
      </w:r>
    </w:p>
    <w:p w:rsidR="006D061F" w:rsidRPr="00C10D10" w:rsidRDefault="006D061F" w:rsidP="006D061F">
      <w:pPr>
        <w:spacing w:after="240"/>
        <w:rPr>
          <w:rFonts w:ascii="Times New Roman" w:hAnsi="Times New Roman"/>
          <w:b/>
          <w:sz w:val="36"/>
        </w:rPr>
      </w:pPr>
      <w:r w:rsidRPr="00C10D10">
        <w:rPr>
          <w:rFonts w:ascii="Times New Roman" w:hAnsi="Times New Roman"/>
          <w:b/>
          <w:sz w:val="36"/>
        </w:rPr>
        <w:t>DS442</w:t>
      </w:r>
    </w:p>
    <w:p w:rsidR="006D061F" w:rsidRPr="00C10D10" w:rsidRDefault="006D061F" w:rsidP="006D061F">
      <w:pPr>
        <w:spacing w:after="240"/>
        <w:rPr>
          <w:rFonts w:ascii="Times New Roman" w:hAnsi="Times New Roman"/>
          <w:b/>
          <w:sz w:val="44"/>
        </w:rPr>
      </w:pPr>
    </w:p>
    <w:p w:rsidR="006D061F" w:rsidRPr="00C10D10" w:rsidRDefault="00620A65" w:rsidP="006D061F">
      <w:pPr>
        <w:spacing w:after="240"/>
        <w:rPr>
          <w:rFonts w:ascii="Times New Roman" w:hAnsi="Times New Roman"/>
          <w:b/>
          <w:sz w:val="28"/>
        </w:rPr>
      </w:pPr>
      <w:r w:rsidRPr="00C10D10">
        <w:rPr>
          <w:rFonts w:ascii="Times New Roman" w:hAnsi="Times New Roman"/>
          <w:sz w:val="28"/>
        </w:rPr>
        <w:t>(</w:t>
      </w:r>
      <w:r w:rsidR="006D061F" w:rsidRPr="00C10D10">
        <w:rPr>
          <w:rFonts w:ascii="Times New Roman" w:hAnsi="Times New Roman"/>
          <w:sz w:val="28"/>
        </w:rPr>
        <w:t>Revision of WS-G-2.3</w:t>
      </w:r>
      <w:r w:rsidRPr="00C10D10">
        <w:rPr>
          <w:rFonts w:ascii="Times New Roman" w:hAnsi="Times New Roman"/>
          <w:sz w:val="28"/>
        </w:rPr>
        <w:t>)</w:t>
      </w:r>
    </w:p>
    <w:p w:rsidR="006D061F" w:rsidRPr="00C10D10" w:rsidRDefault="006D061F">
      <w:pPr>
        <w:pStyle w:val="BodyText"/>
      </w:pPr>
      <w:r w:rsidRPr="00C10D10">
        <w:t>IAEA</w:t>
      </w:r>
    </w:p>
    <w:p w:rsidR="006D061F" w:rsidRPr="00C10D10" w:rsidRDefault="006D061F" w:rsidP="006D061F">
      <w:pPr>
        <w:spacing w:after="240"/>
        <w:rPr>
          <w:rFonts w:ascii="Times New Roman" w:hAnsi="Times New Roman"/>
          <w:b/>
          <w:bCs/>
          <w:sz w:val="24"/>
        </w:rPr>
      </w:pPr>
      <w:r w:rsidRPr="00C10D10">
        <w:rPr>
          <w:rFonts w:ascii="Times New Roman" w:hAnsi="Times New Roman"/>
          <w:b/>
          <w:bCs/>
          <w:sz w:val="24"/>
        </w:rPr>
        <w:t>International Atomic Energy Agency</w:t>
      </w:r>
    </w:p>
    <w:bookmarkEnd w:id="0"/>
    <w:p w:rsidR="009B7047" w:rsidRPr="007F5337" w:rsidRDefault="00C0077C" w:rsidP="006D061F">
      <w:pPr>
        <w:spacing w:after="240"/>
        <w:jc w:val="center"/>
        <w:rPr>
          <w:rFonts w:ascii="Times New Roman" w:hAnsi="Times New Roman"/>
          <w:b/>
          <w:sz w:val="24"/>
          <w:szCs w:val="28"/>
        </w:rPr>
      </w:pPr>
      <w:r w:rsidRPr="007F5337">
        <w:rPr>
          <w:rFonts w:ascii="Times New Roman" w:hAnsi="Times New Roman"/>
          <w:b/>
          <w:sz w:val="24"/>
          <w:szCs w:val="28"/>
        </w:rPr>
        <w:lastRenderedPageBreak/>
        <w:t>CONTENTS</w:t>
      </w:r>
    </w:p>
    <w:p w:rsidR="00794F6D" w:rsidRPr="00794F6D" w:rsidRDefault="000108B9">
      <w:pPr>
        <w:pStyle w:val="TOC1"/>
        <w:rPr>
          <w:rFonts w:ascii="Times New Roman" w:eastAsiaTheme="minorEastAsia" w:hAnsi="Times New Roman" w:cs="Times New Roman"/>
          <w:b w:val="0"/>
          <w:bCs w:val="0"/>
          <w:caps w:val="0"/>
          <w:noProof/>
          <w:sz w:val="22"/>
          <w:szCs w:val="22"/>
          <w:lang w:eastAsia="en-GB"/>
        </w:rPr>
      </w:pPr>
      <w:r w:rsidRPr="007F5337">
        <w:rPr>
          <w:rFonts w:ascii="Times New Roman" w:hAnsi="Times New Roman" w:cs="Times New Roman"/>
          <w:b w:val="0"/>
          <w:caps w:val="0"/>
          <w:sz w:val="22"/>
          <w:szCs w:val="22"/>
        </w:rPr>
        <w:fldChar w:fldCharType="begin"/>
      </w:r>
      <w:r w:rsidR="00E05F1A" w:rsidRPr="007F5337">
        <w:rPr>
          <w:rFonts w:ascii="Times New Roman" w:hAnsi="Times New Roman" w:cs="Times New Roman"/>
          <w:b w:val="0"/>
          <w:caps w:val="0"/>
          <w:sz w:val="22"/>
          <w:szCs w:val="22"/>
        </w:rPr>
        <w:instrText xml:space="preserve"> TOC \o "1-2" \h \z \u </w:instrText>
      </w:r>
      <w:r w:rsidRPr="007F5337">
        <w:rPr>
          <w:rFonts w:ascii="Times New Roman" w:hAnsi="Times New Roman" w:cs="Times New Roman"/>
          <w:b w:val="0"/>
          <w:caps w:val="0"/>
          <w:sz w:val="22"/>
          <w:szCs w:val="22"/>
        </w:rPr>
        <w:fldChar w:fldCharType="separate"/>
      </w:r>
      <w:hyperlink w:anchor="_Toc452966928" w:history="1">
        <w:r w:rsidR="00794F6D" w:rsidRPr="00794F6D">
          <w:rPr>
            <w:rStyle w:val="Hyperlink"/>
            <w:rFonts w:ascii="Times New Roman" w:hAnsi="Times New Roman" w:cs="Times New Roman"/>
            <w:noProof/>
            <w:sz w:val="22"/>
            <w:szCs w:val="22"/>
          </w:rPr>
          <w:t>1.</w:t>
        </w:r>
        <w:r w:rsidR="00794F6D" w:rsidRPr="00794F6D">
          <w:rPr>
            <w:rFonts w:ascii="Times New Roman" w:eastAsiaTheme="minorEastAsia" w:hAnsi="Times New Roman" w:cs="Times New Roman"/>
            <w:b w:val="0"/>
            <w:bCs w:val="0"/>
            <w:caps w:val="0"/>
            <w:noProof/>
            <w:sz w:val="22"/>
            <w:szCs w:val="22"/>
            <w:lang w:eastAsia="en-GB"/>
          </w:rPr>
          <w:tab/>
        </w:r>
        <w:r w:rsidR="00794F6D" w:rsidRPr="00794F6D">
          <w:rPr>
            <w:rStyle w:val="Hyperlink"/>
            <w:rFonts w:ascii="Times New Roman" w:hAnsi="Times New Roman" w:cs="Times New Roman"/>
            <w:noProof/>
            <w:sz w:val="22"/>
            <w:szCs w:val="22"/>
          </w:rPr>
          <w:t>INTRODUCTION</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_Toc452966928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1</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29" w:history="1">
        <w:r w:rsidR="00794F6D" w:rsidRPr="00794F6D">
          <w:rPr>
            <w:rStyle w:val="Hyperlink"/>
            <w:rFonts w:ascii="Times New Roman" w:hAnsi="Times New Roman" w:cs="Times New Roman"/>
            <w:noProof/>
            <w:sz w:val="22"/>
            <w:szCs w:val="22"/>
          </w:rPr>
          <w:t>BACKGROUND</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_Toc452966929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1</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30" w:history="1">
        <w:r w:rsidR="00794F6D" w:rsidRPr="00794F6D">
          <w:rPr>
            <w:rStyle w:val="Hyperlink"/>
            <w:rFonts w:ascii="Times New Roman" w:hAnsi="Times New Roman" w:cs="Times New Roman"/>
            <w:noProof/>
            <w:sz w:val="22"/>
            <w:szCs w:val="22"/>
          </w:rPr>
          <w:t>OBJECTIVE</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_Toc452966930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2</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31" w:history="1">
        <w:r w:rsidR="00794F6D" w:rsidRPr="00794F6D">
          <w:rPr>
            <w:rStyle w:val="Hyperlink"/>
            <w:rFonts w:ascii="Times New Roman" w:hAnsi="Times New Roman" w:cs="Times New Roman"/>
            <w:noProof/>
            <w:sz w:val="22"/>
            <w:szCs w:val="22"/>
          </w:rPr>
          <w:t>SCOPE</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_Toc452966931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3</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32" w:history="1">
        <w:r w:rsidR="00794F6D" w:rsidRPr="00794F6D">
          <w:rPr>
            <w:rStyle w:val="Hyperlink"/>
            <w:rFonts w:ascii="Times New Roman" w:hAnsi="Times New Roman" w:cs="Times New Roman"/>
            <w:noProof/>
            <w:sz w:val="22"/>
            <w:szCs w:val="22"/>
          </w:rPr>
          <w:t>STRUCTURE</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_Toc452966932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4</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1"/>
        <w:rPr>
          <w:rFonts w:ascii="Times New Roman" w:eastAsiaTheme="minorEastAsia" w:hAnsi="Times New Roman" w:cs="Times New Roman"/>
          <w:b w:val="0"/>
          <w:bCs w:val="0"/>
          <w:caps w:val="0"/>
          <w:noProof/>
          <w:sz w:val="22"/>
          <w:szCs w:val="22"/>
          <w:lang w:eastAsia="en-GB"/>
        </w:rPr>
      </w:pPr>
      <w:hyperlink w:anchor="_Toc452966933" w:history="1">
        <w:r w:rsidR="00794F6D" w:rsidRPr="00794F6D">
          <w:rPr>
            <w:rStyle w:val="Hyperlink"/>
            <w:rFonts w:ascii="Times New Roman" w:hAnsi="Times New Roman" w:cs="Times New Roman"/>
            <w:noProof/>
            <w:sz w:val="22"/>
            <w:szCs w:val="22"/>
          </w:rPr>
          <w:t>2.</w:t>
        </w:r>
        <w:r w:rsidR="00794F6D" w:rsidRPr="00794F6D">
          <w:rPr>
            <w:rFonts w:ascii="Times New Roman" w:eastAsiaTheme="minorEastAsia" w:hAnsi="Times New Roman" w:cs="Times New Roman"/>
            <w:b w:val="0"/>
            <w:bCs w:val="0"/>
            <w:caps w:val="0"/>
            <w:noProof/>
            <w:sz w:val="22"/>
            <w:szCs w:val="22"/>
            <w:lang w:eastAsia="en-GB"/>
          </w:rPr>
          <w:tab/>
        </w:r>
        <w:r w:rsidR="00794F6D" w:rsidRPr="00794F6D">
          <w:rPr>
            <w:rStyle w:val="Hyperlink"/>
            <w:rFonts w:ascii="Times New Roman" w:hAnsi="Times New Roman" w:cs="Times New Roman"/>
            <w:noProof/>
            <w:sz w:val="22"/>
            <w:szCs w:val="22"/>
          </w:rPr>
          <w:t>THE PRINCIPLES OF RADIATION PROTECTION FOR CONTROL OF DISCHARGES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_Toc452966933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5</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34" w:history="1">
        <w:r w:rsidR="00794F6D" w:rsidRPr="00794F6D">
          <w:rPr>
            <w:rStyle w:val="Hyperlink"/>
            <w:rFonts w:ascii="Times New Roman" w:hAnsi="Times New Roman" w:cs="Times New Roman"/>
            <w:noProof/>
            <w:sz w:val="22"/>
            <w:szCs w:val="22"/>
          </w:rPr>
          <w:t>JUSTIFICATION OF FACILITIES AND ACTIVITIES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_Toc452966934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5</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35" w:history="1">
        <w:r w:rsidR="00794F6D" w:rsidRPr="00794F6D">
          <w:rPr>
            <w:rStyle w:val="Hyperlink"/>
            <w:rFonts w:ascii="Times New Roman" w:hAnsi="Times New Roman" w:cs="Times New Roman"/>
            <w:noProof/>
            <w:sz w:val="22"/>
            <w:szCs w:val="22"/>
          </w:rPr>
          <w:t>OPTIMIZATION OF PROTECTION</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_Toc452966935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5</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36" w:history="1">
        <w:r w:rsidR="00794F6D" w:rsidRPr="00794F6D">
          <w:rPr>
            <w:rStyle w:val="Hyperlink"/>
            <w:rFonts w:ascii="Times New Roman" w:hAnsi="Times New Roman" w:cs="Times New Roman"/>
            <w:noProof/>
            <w:sz w:val="22"/>
            <w:szCs w:val="22"/>
          </w:rPr>
          <w:t>APPLICATION OF DOSE LIMITS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_Toc452966936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6</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1"/>
        <w:rPr>
          <w:rFonts w:ascii="Times New Roman" w:eastAsiaTheme="minorEastAsia" w:hAnsi="Times New Roman" w:cs="Times New Roman"/>
          <w:b w:val="0"/>
          <w:bCs w:val="0"/>
          <w:caps w:val="0"/>
          <w:noProof/>
          <w:sz w:val="22"/>
          <w:szCs w:val="22"/>
          <w:lang w:eastAsia="en-GB"/>
        </w:rPr>
      </w:pPr>
      <w:hyperlink w:anchor="_Toc452966937" w:history="1">
        <w:r w:rsidR="00794F6D" w:rsidRPr="00794F6D">
          <w:rPr>
            <w:rStyle w:val="Hyperlink"/>
            <w:rFonts w:ascii="Times New Roman" w:hAnsi="Times New Roman" w:cs="Times New Roman"/>
            <w:noProof/>
            <w:sz w:val="22"/>
            <w:szCs w:val="22"/>
          </w:rPr>
          <w:t>3.</w:t>
        </w:r>
        <w:r w:rsidR="00794F6D" w:rsidRPr="00794F6D">
          <w:rPr>
            <w:rFonts w:ascii="Times New Roman" w:eastAsiaTheme="minorEastAsia" w:hAnsi="Times New Roman" w:cs="Times New Roman"/>
            <w:b w:val="0"/>
            <w:bCs w:val="0"/>
            <w:caps w:val="0"/>
            <w:noProof/>
            <w:sz w:val="22"/>
            <w:szCs w:val="22"/>
            <w:lang w:eastAsia="en-GB"/>
          </w:rPr>
          <w:tab/>
        </w:r>
        <w:r w:rsidR="00794F6D" w:rsidRPr="00794F6D">
          <w:rPr>
            <w:rStyle w:val="Hyperlink"/>
            <w:rFonts w:ascii="Times New Roman" w:hAnsi="Times New Roman" w:cs="Times New Roman"/>
            <w:noProof/>
            <w:sz w:val="22"/>
            <w:szCs w:val="22"/>
          </w:rPr>
          <w:t>SAFETY OBJECTIVES AND REQUIREMENTS RELEVANT TO THE CONTROL OF RADIOACTIVE DISCHARGES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_Toc452966937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7</w:t>
        </w:r>
        <w:r w:rsidR="00794F6D" w:rsidRPr="00794F6D">
          <w:rPr>
            <w:rFonts w:ascii="Times New Roman" w:hAnsi="Times New Roman" w:cs="Times New Roman"/>
            <w:noProof/>
            <w:webHidden/>
            <w:sz w:val="22"/>
            <w:szCs w:val="22"/>
          </w:rPr>
          <w:fldChar w:fldCharType="end"/>
        </w:r>
      </w:hyperlink>
    </w:p>
    <w:p w:rsidR="00794F6D" w:rsidRPr="001244DC" w:rsidRDefault="00B03A44">
      <w:pPr>
        <w:pStyle w:val="TOC2"/>
        <w:rPr>
          <w:rFonts w:ascii="Times New Roman" w:eastAsiaTheme="minorEastAsia" w:hAnsi="Times New Roman" w:cs="Times New Roman"/>
          <w:smallCaps w:val="0"/>
          <w:noProof/>
          <w:sz w:val="22"/>
          <w:szCs w:val="22"/>
          <w:lang w:eastAsia="en-GB"/>
        </w:rPr>
      </w:pPr>
      <w:hyperlink w:anchor="_Toc452966938" w:history="1">
        <w:r w:rsidR="00794F6D" w:rsidRPr="00794F6D">
          <w:rPr>
            <w:rStyle w:val="Hyperlink"/>
            <w:rFonts w:ascii="Times New Roman" w:hAnsi="Times New Roman" w:cs="Times New Roman"/>
            <w:noProof/>
            <w:sz w:val="22"/>
            <w:szCs w:val="22"/>
          </w:rPr>
          <w:t>GENERAL</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_Toc452966938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7</w:t>
        </w:r>
        <w:r w:rsidR="00794F6D" w:rsidRPr="00794F6D">
          <w:rPr>
            <w:rFonts w:ascii="Times New Roman" w:hAnsi="Times New Roman" w:cs="Times New Roman"/>
            <w:noProof/>
            <w:webHidden/>
            <w:sz w:val="22"/>
            <w:szCs w:val="22"/>
          </w:rPr>
          <w:fldChar w:fldCharType="end"/>
        </w:r>
      </w:hyperlink>
    </w:p>
    <w:p w:rsidR="00794F6D" w:rsidRPr="001244DC" w:rsidRDefault="00B03A44">
      <w:pPr>
        <w:pStyle w:val="TOC2"/>
        <w:rPr>
          <w:rFonts w:ascii="Times New Roman" w:eastAsiaTheme="minorEastAsia" w:hAnsi="Times New Roman" w:cs="Times New Roman"/>
          <w:smallCaps w:val="0"/>
          <w:noProof/>
          <w:sz w:val="22"/>
          <w:szCs w:val="22"/>
          <w:lang w:eastAsia="en-GB"/>
        </w:rPr>
      </w:pPr>
      <w:hyperlink w:anchor="_Toc452966939" w:history="1">
        <w:r w:rsidR="00794F6D" w:rsidRPr="001244DC">
          <w:rPr>
            <w:rStyle w:val="Hyperlink"/>
            <w:rFonts w:ascii="Times New Roman" w:hAnsi="Times New Roman" w:cs="Times New Roman"/>
            <w:smallCaps w:val="0"/>
            <w:noProof/>
            <w:sz w:val="22"/>
            <w:szCs w:val="22"/>
          </w:rPr>
          <w:t>JUSTIFICATION</w:t>
        </w:r>
        <w:r w:rsidR="001244DC" w:rsidRPr="001244DC">
          <w:rPr>
            <w:rFonts w:ascii="Times New Roman" w:hAnsi="Times New Roman" w:cs="Times New Roman"/>
            <w:smallCaps w:val="0"/>
            <w:noProof/>
            <w:webHidden/>
            <w:sz w:val="22"/>
            <w:szCs w:val="22"/>
          </w:rPr>
          <w:tab/>
        </w:r>
        <w:r w:rsidR="00794F6D" w:rsidRPr="001244DC">
          <w:rPr>
            <w:rFonts w:ascii="Times New Roman" w:hAnsi="Times New Roman" w:cs="Times New Roman"/>
            <w:smallCaps w:val="0"/>
            <w:noProof/>
            <w:webHidden/>
            <w:sz w:val="22"/>
            <w:szCs w:val="22"/>
          </w:rPr>
          <w:fldChar w:fldCharType="begin"/>
        </w:r>
        <w:r w:rsidR="00794F6D" w:rsidRPr="001244DC">
          <w:rPr>
            <w:rFonts w:ascii="Times New Roman" w:hAnsi="Times New Roman" w:cs="Times New Roman"/>
            <w:smallCaps w:val="0"/>
            <w:noProof/>
            <w:webHidden/>
            <w:sz w:val="22"/>
            <w:szCs w:val="22"/>
          </w:rPr>
          <w:instrText xml:space="preserve"> PAGEREF _Toc452966939 \h </w:instrText>
        </w:r>
        <w:r w:rsidR="00794F6D" w:rsidRPr="001244DC">
          <w:rPr>
            <w:rFonts w:ascii="Times New Roman" w:hAnsi="Times New Roman" w:cs="Times New Roman"/>
            <w:smallCaps w:val="0"/>
            <w:noProof/>
            <w:webHidden/>
            <w:sz w:val="22"/>
            <w:szCs w:val="22"/>
          </w:rPr>
        </w:r>
        <w:r w:rsidR="00794F6D" w:rsidRPr="001244DC">
          <w:rPr>
            <w:rFonts w:ascii="Times New Roman" w:hAnsi="Times New Roman" w:cs="Times New Roman"/>
            <w:smallCaps w:val="0"/>
            <w:noProof/>
            <w:webHidden/>
            <w:sz w:val="22"/>
            <w:szCs w:val="22"/>
          </w:rPr>
          <w:fldChar w:fldCharType="separate"/>
        </w:r>
        <w:r w:rsidR="001244DC" w:rsidRPr="001244DC">
          <w:rPr>
            <w:rFonts w:ascii="Times New Roman" w:hAnsi="Times New Roman" w:cs="Times New Roman"/>
            <w:smallCaps w:val="0"/>
            <w:noProof/>
            <w:webHidden/>
            <w:sz w:val="22"/>
            <w:szCs w:val="22"/>
          </w:rPr>
          <w:t>8</w:t>
        </w:r>
        <w:r w:rsidR="00794F6D" w:rsidRPr="001244DC">
          <w:rPr>
            <w:rFonts w:ascii="Times New Roman" w:hAnsi="Times New Roman" w:cs="Times New Roman"/>
            <w:smallCaps w:val="0"/>
            <w:noProof/>
            <w:webHidden/>
            <w:sz w:val="22"/>
            <w:szCs w:val="22"/>
          </w:rPr>
          <w:fldChar w:fldCharType="end"/>
        </w:r>
      </w:hyperlink>
    </w:p>
    <w:p w:rsidR="00794F6D" w:rsidRPr="001244DC" w:rsidRDefault="00B03A44">
      <w:pPr>
        <w:pStyle w:val="TOC2"/>
        <w:rPr>
          <w:rFonts w:ascii="Times New Roman" w:eastAsiaTheme="minorEastAsia" w:hAnsi="Times New Roman" w:cs="Times New Roman"/>
          <w:smallCaps w:val="0"/>
          <w:noProof/>
          <w:sz w:val="22"/>
          <w:szCs w:val="22"/>
          <w:lang w:eastAsia="en-GB"/>
        </w:rPr>
      </w:pPr>
      <w:hyperlink w:anchor="_Toc452966940" w:history="1">
        <w:r w:rsidR="00794F6D" w:rsidRPr="001244DC">
          <w:rPr>
            <w:rStyle w:val="Hyperlink"/>
            <w:rFonts w:ascii="Times New Roman" w:hAnsi="Times New Roman" w:cs="Times New Roman"/>
            <w:smallCaps w:val="0"/>
            <w:noProof/>
            <w:sz w:val="22"/>
            <w:szCs w:val="22"/>
          </w:rPr>
          <w:t>OPTIMIZATION OF PROTECTION AND SAFETY</w:t>
        </w:r>
        <w:r w:rsidR="001244DC" w:rsidRPr="001244DC">
          <w:rPr>
            <w:rFonts w:ascii="Times New Roman" w:hAnsi="Times New Roman" w:cs="Times New Roman"/>
            <w:smallCaps w:val="0"/>
            <w:noProof/>
            <w:webHidden/>
            <w:sz w:val="22"/>
            <w:szCs w:val="22"/>
          </w:rPr>
          <w:tab/>
        </w:r>
        <w:r w:rsidR="00794F6D" w:rsidRPr="001244DC">
          <w:rPr>
            <w:rFonts w:ascii="Times New Roman" w:hAnsi="Times New Roman" w:cs="Times New Roman"/>
            <w:smallCaps w:val="0"/>
            <w:noProof/>
            <w:webHidden/>
            <w:sz w:val="22"/>
            <w:szCs w:val="22"/>
          </w:rPr>
          <w:fldChar w:fldCharType="begin"/>
        </w:r>
        <w:r w:rsidR="00794F6D" w:rsidRPr="001244DC">
          <w:rPr>
            <w:rFonts w:ascii="Times New Roman" w:hAnsi="Times New Roman" w:cs="Times New Roman"/>
            <w:smallCaps w:val="0"/>
            <w:noProof/>
            <w:webHidden/>
            <w:sz w:val="22"/>
            <w:szCs w:val="22"/>
          </w:rPr>
          <w:instrText xml:space="preserve"> PAGEREF _Toc452966940 \h </w:instrText>
        </w:r>
        <w:r w:rsidR="00794F6D" w:rsidRPr="001244DC">
          <w:rPr>
            <w:rFonts w:ascii="Times New Roman" w:hAnsi="Times New Roman" w:cs="Times New Roman"/>
            <w:smallCaps w:val="0"/>
            <w:noProof/>
            <w:webHidden/>
            <w:sz w:val="22"/>
            <w:szCs w:val="22"/>
          </w:rPr>
        </w:r>
        <w:r w:rsidR="00794F6D" w:rsidRPr="001244DC">
          <w:rPr>
            <w:rFonts w:ascii="Times New Roman" w:hAnsi="Times New Roman" w:cs="Times New Roman"/>
            <w:smallCaps w:val="0"/>
            <w:noProof/>
            <w:webHidden/>
            <w:sz w:val="22"/>
            <w:szCs w:val="22"/>
          </w:rPr>
          <w:fldChar w:fldCharType="separate"/>
        </w:r>
        <w:r w:rsidR="001244DC" w:rsidRPr="001244DC">
          <w:rPr>
            <w:rFonts w:ascii="Times New Roman" w:hAnsi="Times New Roman" w:cs="Times New Roman"/>
            <w:smallCaps w:val="0"/>
            <w:noProof/>
            <w:webHidden/>
            <w:sz w:val="22"/>
            <w:szCs w:val="22"/>
          </w:rPr>
          <w:t>8</w:t>
        </w:r>
        <w:r w:rsidR="00794F6D" w:rsidRPr="001244DC">
          <w:rPr>
            <w:rFonts w:ascii="Times New Roman" w:hAnsi="Times New Roman" w:cs="Times New Roman"/>
            <w:smallCaps w:val="0"/>
            <w:noProof/>
            <w:webHidden/>
            <w:sz w:val="22"/>
            <w:szCs w:val="22"/>
          </w:rPr>
          <w:fldChar w:fldCharType="end"/>
        </w:r>
      </w:hyperlink>
    </w:p>
    <w:p w:rsidR="00794F6D" w:rsidRPr="001244DC" w:rsidRDefault="00B03A44">
      <w:pPr>
        <w:pStyle w:val="TOC2"/>
        <w:rPr>
          <w:rFonts w:ascii="Times New Roman" w:eastAsiaTheme="minorEastAsia" w:hAnsi="Times New Roman" w:cs="Times New Roman"/>
          <w:smallCaps w:val="0"/>
          <w:noProof/>
          <w:sz w:val="22"/>
          <w:szCs w:val="22"/>
          <w:lang w:eastAsia="en-GB"/>
        </w:rPr>
      </w:pPr>
      <w:hyperlink w:anchor="_Toc452966941" w:history="1">
        <w:r w:rsidR="00794F6D" w:rsidRPr="001244DC">
          <w:rPr>
            <w:rStyle w:val="Hyperlink"/>
            <w:rFonts w:ascii="Times New Roman" w:hAnsi="Times New Roman" w:cs="Times New Roman"/>
            <w:smallCaps w:val="0"/>
            <w:noProof/>
            <w:sz w:val="22"/>
            <w:szCs w:val="22"/>
          </w:rPr>
          <w:t>AUTHORIZATION</w:t>
        </w:r>
        <w:r w:rsidR="001244DC" w:rsidRPr="001244DC">
          <w:rPr>
            <w:rFonts w:ascii="Times New Roman" w:hAnsi="Times New Roman" w:cs="Times New Roman"/>
            <w:smallCaps w:val="0"/>
            <w:noProof/>
            <w:webHidden/>
            <w:sz w:val="22"/>
            <w:szCs w:val="22"/>
          </w:rPr>
          <w:tab/>
        </w:r>
        <w:r w:rsidR="00794F6D" w:rsidRPr="001244DC">
          <w:rPr>
            <w:rFonts w:ascii="Times New Roman" w:hAnsi="Times New Roman" w:cs="Times New Roman"/>
            <w:smallCaps w:val="0"/>
            <w:noProof/>
            <w:webHidden/>
            <w:sz w:val="22"/>
            <w:szCs w:val="22"/>
          </w:rPr>
          <w:fldChar w:fldCharType="begin"/>
        </w:r>
        <w:r w:rsidR="00794F6D" w:rsidRPr="001244DC">
          <w:rPr>
            <w:rFonts w:ascii="Times New Roman" w:hAnsi="Times New Roman" w:cs="Times New Roman"/>
            <w:smallCaps w:val="0"/>
            <w:noProof/>
            <w:webHidden/>
            <w:sz w:val="22"/>
            <w:szCs w:val="22"/>
          </w:rPr>
          <w:instrText xml:space="preserve"> PAGEREF _Toc452966941 \h </w:instrText>
        </w:r>
        <w:r w:rsidR="00794F6D" w:rsidRPr="001244DC">
          <w:rPr>
            <w:rFonts w:ascii="Times New Roman" w:hAnsi="Times New Roman" w:cs="Times New Roman"/>
            <w:smallCaps w:val="0"/>
            <w:noProof/>
            <w:webHidden/>
            <w:sz w:val="22"/>
            <w:szCs w:val="22"/>
          </w:rPr>
        </w:r>
        <w:r w:rsidR="00794F6D" w:rsidRPr="001244DC">
          <w:rPr>
            <w:rFonts w:ascii="Times New Roman" w:hAnsi="Times New Roman" w:cs="Times New Roman"/>
            <w:smallCaps w:val="0"/>
            <w:noProof/>
            <w:webHidden/>
            <w:sz w:val="22"/>
            <w:szCs w:val="22"/>
          </w:rPr>
          <w:fldChar w:fldCharType="separate"/>
        </w:r>
        <w:r w:rsidR="001244DC" w:rsidRPr="001244DC">
          <w:rPr>
            <w:rFonts w:ascii="Times New Roman" w:hAnsi="Times New Roman" w:cs="Times New Roman"/>
            <w:smallCaps w:val="0"/>
            <w:noProof/>
            <w:webHidden/>
            <w:sz w:val="22"/>
            <w:szCs w:val="22"/>
          </w:rPr>
          <w:t>9</w:t>
        </w:r>
        <w:r w:rsidR="00794F6D" w:rsidRPr="001244DC">
          <w:rPr>
            <w:rFonts w:ascii="Times New Roman" w:hAnsi="Times New Roman" w:cs="Times New Roman"/>
            <w:smallCaps w:val="0"/>
            <w:noProof/>
            <w:webHidden/>
            <w:sz w:val="22"/>
            <w:szCs w:val="22"/>
          </w:rPr>
          <w:fldChar w:fldCharType="end"/>
        </w:r>
      </w:hyperlink>
    </w:p>
    <w:p w:rsidR="00794F6D" w:rsidRPr="001244DC" w:rsidRDefault="00B03A44">
      <w:pPr>
        <w:pStyle w:val="TOC2"/>
        <w:rPr>
          <w:rFonts w:ascii="Times New Roman" w:eastAsiaTheme="minorEastAsia" w:hAnsi="Times New Roman" w:cs="Times New Roman"/>
          <w:smallCaps w:val="0"/>
          <w:noProof/>
          <w:sz w:val="22"/>
          <w:szCs w:val="22"/>
          <w:lang w:eastAsia="en-GB"/>
        </w:rPr>
      </w:pPr>
      <w:hyperlink w:anchor="_Toc452966942" w:history="1">
        <w:r w:rsidR="00794F6D" w:rsidRPr="001244DC">
          <w:rPr>
            <w:rStyle w:val="Hyperlink"/>
            <w:rFonts w:ascii="Times New Roman" w:hAnsi="Times New Roman" w:cs="Times New Roman"/>
            <w:smallCaps w:val="0"/>
            <w:noProof/>
            <w:sz w:val="22"/>
            <w:szCs w:val="22"/>
          </w:rPr>
          <w:t>DOSE LIMITATION</w:t>
        </w:r>
        <w:r w:rsidR="001244DC" w:rsidRPr="001244DC">
          <w:rPr>
            <w:rFonts w:ascii="Times New Roman" w:hAnsi="Times New Roman" w:cs="Times New Roman"/>
            <w:smallCaps w:val="0"/>
            <w:noProof/>
            <w:webHidden/>
            <w:sz w:val="22"/>
            <w:szCs w:val="22"/>
          </w:rPr>
          <w:tab/>
        </w:r>
        <w:r w:rsidR="00794F6D" w:rsidRPr="001244DC">
          <w:rPr>
            <w:rFonts w:ascii="Times New Roman" w:hAnsi="Times New Roman" w:cs="Times New Roman"/>
            <w:smallCaps w:val="0"/>
            <w:noProof/>
            <w:webHidden/>
            <w:sz w:val="22"/>
            <w:szCs w:val="22"/>
          </w:rPr>
          <w:fldChar w:fldCharType="begin"/>
        </w:r>
        <w:r w:rsidR="00794F6D" w:rsidRPr="001244DC">
          <w:rPr>
            <w:rFonts w:ascii="Times New Roman" w:hAnsi="Times New Roman" w:cs="Times New Roman"/>
            <w:smallCaps w:val="0"/>
            <w:noProof/>
            <w:webHidden/>
            <w:sz w:val="22"/>
            <w:szCs w:val="22"/>
          </w:rPr>
          <w:instrText xml:space="preserve"> PAGEREF _Toc452966942 \h </w:instrText>
        </w:r>
        <w:r w:rsidR="00794F6D" w:rsidRPr="001244DC">
          <w:rPr>
            <w:rFonts w:ascii="Times New Roman" w:hAnsi="Times New Roman" w:cs="Times New Roman"/>
            <w:smallCaps w:val="0"/>
            <w:noProof/>
            <w:webHidden/>
            <w:sz w:val="22"/>
            <w:szCs w:val="22"/>
          </w:rPr>
        </w:r>
        <w:r w:rsidR="00794F6D" w:rsidRPr="001244DC">
          <w:rPr>
            <w:rFonts w:ascii="Times New Roman" w:hAnsi="Times New Roman" w:cs="Times New Roman"/>
            <w:smallCaps w:val="0"/>
            <w:noProof/>
            <w:webHidden/>
            <w:sz w:val="22"/>
            <w:szCs w:val="22"/>
          </w:rPr>
          <w:fldChar w:fldCharType="separate"/>
        </w:r>
        <w:r w:rsidR="001244DC" w:rsidRPr="001244DC">
          <w:rPr>
            <w:rFonts w:ascii="Times New Roman" w:hAnsi="Times New Roman" w:cs="Times New Roman"/>
            <w:smallCaps w:val="0"/>
            <w:noProof/>
            <w:webHidden/>
            <w:sz w:val="22"/>
            <w:szCs w:val="22"/>
          </w:rPr>
          <w:t>10</w:t>
        </w:r>
        <w:r w:rsidR="00794F6D" w:rsidRPr="001244DC">
          <w:rPr>
            <w:rFonts w:ascii="Times New Roman" w:hAnsi="Times New Roman" w:cs="Times New Roman"/>
            <w:smallCaps w:val="0"/>
            <w:noProof/>
            <w:webHidden/>
            <w:sz w:val="22"/>
            <w:szCs w:val="22"/>
          </w:rPr>
          <w:fldChar w:fldCharType="end"/>
        </w:r>
      </w:hyperlink>
    </w:p>
    <w:p w:rsidR="00794F6D" w:rsidRPr="001244DC" w:rsidRDefault="00B03A44">
      <w:pPr>
        <w:pStyle w:val="TOC2"/>
        <w:rPr>
          <w:rFonts w:ascii="Times New Roman" w:eastAsiaTheme="minorEastAsia" w:hAnsi="Times New Roman" w:cs="Times New Roman"/>
          <w:smallCaps w:val="0"/>
          <w:noProof/>
          <w:sz w:val="22"/>
          <w:szCs w:val="22"/>
          <w:lang w:eastAsia="en-GB"/>
        </w:rPr>
      </w:pPr>
      <w:hyperlink w:anchor="_Toc452966943" w:history="1">
        <w:r w:rsidR="00794F6D" w:rsidRPr="001244DC">
          <w:rPr>
            <w:rStyle w:val="Hyperlink"/>
            <w:rFonts w:ascii="Times New Roman" w:hAnsi="Times New Roman" w:cs="Times New Roman"/>
            <w:smallCaps w:val="0"/>
            <w:noProof/>
            <w:sz w:val="22"/>
            <w:szCs w:val="22"/>
          </w:rPr>
          <w:t>TRANSBOUNDARY IMPACTS</w:t>
        </w:r>
        <w:r w:rsidR="001244DC" w:rsidRPr="001244DC">
          <w:rPr>
            <w:rFonts w:ascii="Times New Roman" w:hAnsi="Times New Roman" w:cs="Times New Roman"/>
            <w:smallCaps w:val="0"/>
            <w:noProof/>
            <w:webHidden/>
            <w:sz w:val="22"/>
            <w:szCs w:val="22"/>
          </w:rPr>
          <w:tab/>
        </w:r>
        <w:r w:rsidR="00794F6D" w:rsidRPr="001244DC">
          <w:rPr>
            <w:rFonts w:ascii="Times New Roman" w:hAnsi="Times New Roman" w:cs="Times New Roman"/>
            <w:smallCaps w:val="0"/>
            <w:noProof/>
            <w:webHidden/>
            <w:sz w:val="22"/>
            <w:szCs w:val="22"/>
          </w:rPr>
          <w:fldChar w:fldCharType="begin"/>
        </w:r>
        <w:r w:rsidR="00794F6D" w:rsidRPr="001244DC">
          <w:rPr>
            <w:rFonts w:ascii="Times New Roman" w:hAnsi="Times New Roman" w:cs="Times New Roman"/>
            <w:smallCaps w:val="0"/>
            <w:noProof/>
            <w:webHidden/>
            <w:sz w:val="22"/>
            <w:szCs w:val="22"/>
          </w:rPr>
          <w:instrText xml:space="preserve"> PAGEREF _Toc452966943 \h </w:instrText>
        </w:r>
        <w:r w:rsidR="00794F6D" w:rsidRPr="001244DC">
          <w:rPr>
            <w:rFonts w:ascii="Times New Roman" w:hAnsi="Times New Roman" w:cs="Times New Roman"/>
            <w:smallCaps w:val="0"/>
            <w:noProof/>
            <w:webHidden/>
            <w:sz w:val="22"/>
            <w:szCs w:val="22"/>
          </w:rPr>
        </w:r>
        <w:r w:rsidR="00794F6D" w:rsidRPr="001244DC">
          <w:rPr>
            <w:rFonts w:ascii="Times New Roman" w:hAnsi="Times New Roman" w:cs="Times New Roman"/>
            <w:smallCaps w:val="0"/>
            <w:noProof/>
            <w:webHidden/>
            <w:sz w:val="22"/>
            <w:szCs w:val="22"/>
          </w:rPr>
          <w:fldChar w:fldCharType="separate"/>
        </w:r>
        <w:r w:rsidR="001244DC" w:rsidRPr="001244DC">
          <w:rPr>
            <w:rFonts w:ascii="Times New Roman" w:hAnsi="Times New Roman" w:cs="Times New Roman"/>
            <w:smallCaps w:val="0"/>
            <w:noProof/>
            <w:webHidden/>
            <w:sz w:val="22"/>
            <w:szCs w:val="22"/>
          </w:rPr>
          <w:t>10</w:t>
        </w:r>
        <w:r w:rsidR="00794F6D" w:rsidRPr="001244DC">
          <w:rPr>
            <w:rFonts w:ascii="Times New Roman" w:hAnsi="Times New Roman" w:cs="Times New Roman"/>
            <w:smallCaps w:val="0"/>
            <w:noProof/>
            <w:webHidden/>
            <w:sz w:val="22"/>
            <w:szCs w:val="22"/>
          </w:rPr>
          <w:fldChar w:fldCharType="end"/>
        </w:r>
      </w:hyperlink>
    </w:p>
    <w:p w:rsidR="00794F6D" w:rsidRPr="001244DC" w:rsidRDefault="00B03A44">
      <w:pPr>
        <w:pStyle w:val="TOC2"/>
        <w:rPr>
          <w:rFonts w:ascii="Times New Roman" w:eastAsiaTheme="minorEastAsia" w:hAnsi="Times New Roman" w:cs="Times New Roman"/>
          <w:smallCaps w:val="0"/>
          <w:noProof/>
          <w:sz w:val="22"/>
          <w:szCs w:val="22"/>
          <w:lang w:eastAsia="en-GB"/>
        </w:rPr>
      </w:pPr>
      <w:hyperlink w:anchor="_Toc452966944" w:history="1">
        <w:r w:rsidR="00794F6D" w:rsidRPr="001244DC">
          <w:rPr>
            <w:rStyle w:val="Hyperlink"/>
            <w:rFonts w:ascii="Times New Roman" w:hAnsi="Times New Roman" w:cs="Times New Roman"/>
            <w:smallCaps w:val="0"/>
            <w:noProof/>
            <w:sz w:val="22"/>
            <w:szCs w:val="22"/>
          </w:rPr>
          <w:t>PERIODIC REVIEW</w:t>
        </w:r>
        <w:r w:rsidR="001244DC" w:rsidRPr="001244DC">
          <w:rPr>
            <w:rFonts w:ascii="Times New Roman" w:hAnsi="Times New Roman" w:cs="Times New Roman"/>
            <w:smallCaps w:val="0"/>
            <w:noProof/>
            <w:webHidden/>
            <w:sz w:val="22"/>
            <w:szCs w:val="22"/>
          </w:rPr>
          <w:tab/>
        </w:r>
        <w:r w:rsidR="00794F6D" w:rsidRPr="001244DC">
          <w:rPr>
            <w:rFonts w:ascii="Times New Roman" w:hAnsi="Times New Roman" w:cs="Times New Roman"/>
            <w:smallCaps w:val="0"/>
            <w:noProof/>
            <w:webHidden/>
            <w:sz w:val="22"/>
            <w:szCs w:val="22"/>
          </w:rPr>
          <w:fldChar w:fldCharType="begin"/>
        </w:r>
        <w:r w:rsidR="00794F6D" w:rsidRPr="001244DC">
          <w:rPr>
            <w:rFonts w:ascii="Times New Roman" w:hAnsi="Times New Roman" w:cs="Times New Roman"/>
            <w:smallCaps w:val="0"/>
            <w:noProof/>
            <w:webHidden/>
            <w:sz w:val="22"/>
            <w:szCs w:val="22"/>
          </w:rPr>
          <w:instrText xml:space="preserve"> PAGEREF _Toc452966944 \h </w:instrText>
        </w:r>
        <w:r w:rsidR="00794F6D" w:rsidRPr="001244DC">
          <w:rPr>
            <w:rFonts w:ascii="Times New Roman" w:hAnsi="Times New Roman" w:cs="Times New Roman"/>
            <w:smallCaps w:val="0"/>
            <w:noProof/>
            <w:webHidden/>
            <w:sz w:val="22"/>
            <w:szCs w:val="22"/>
          </w:rPr>
        </w:r>
        <w:r w:rsidR="00794F6D" w:rsidRPr="001244DC">
          <w:rPr>
            <w:rFonts w:ascii="Times New Roman" w:hAnsi="Times New Roman" w:cs="Times New Roman"/>
            <w:smallCaps w:val="0"/>
            <w:noProof/>
            <w:webHidden/>
            <w:sz w:val="22"/>
            <w:szCs w:val="22"/>
          </w:rPr>
          <w:fldChar w:fldCharType="separate"/>
        </w:r>
        <w:r w:rsidR="001244DC" w:rsidRPr="001244DC">
          <w:rPr>
            <w:rFonts w:ascii="Times New Roman" w:hAnsi="Times New Roman" w:cs="Times New Roman"/>
            <w:smallCaps w:val="0"/>
            <w:noProof/>
            <w:webHidden/>
            <w:sz w:val="22"/>
            <w:szCs w:val="22"/>
          </w:rPr>
          <w:t>11</w:t>
        </w:r>
        <w:r w:rsidR="00794F6D" w:rsidRPr="001244DC">
          <w:rPr>
            <w:rFonts w:ascii="Times New Roman" w:hAnsi="Times New Roman" w:cs="Times New Roman"/>
            <w:smallCaps w:val="0"/>
            <w:noProof/>
            <w:webHidden/>
            <w:sz w:val="22"/>
            <w:szCs w:val="22"/>
          </w:rPr>
          <w:fldChar w:fldCharType="end"/>
        </w:r>
      </w:hyperlink>
    </w:p>
    <w:p w:rsidR="00794F6D" w:rsidRPr="001244DC" w:rsidRDefault="00B03A44">
      <w:pPr>
        <w:pStyle w:val="TOC2"/>
        <w:rPr>
          <w:rFonts w:ascii="Times New Roman" w:eastAsiaTheme="minorEastAsia" w:hAnsi="Times New Roman" w:cs="Times New Roman"/>
          <w:smallCaps w:val="0"/>
          <w:noProof/>
          <w:sz w:val="22"/>
          <w:szCs w:val="22"/>
          <w:lang w:eastAsia="en-GB"/>
        </w:rPr>
      </w:pPr>
      <w:hyperlink w:anchor="_Toc452966945" w:history="1">
        <w:r w:rsidR="00794F6D" w:rsidRPr="001244DC">
          <w:rPr>
            <w:rStyle w:val="Hyperlink"/>
            <w:rFonts w:ascii="Times New Roman" w:hAnsi="Times New Roman" w:cs="Times New Roman"/>
            <w:smallCaps w:val="0"/>
            <w:noProof/>
            <w:sz w:val="22"/>
            <w:szCs w:val="22"/>
          </w:rPr>
          <w:t>SOURCE MONITORING AND ENVIRONMENTAL MONITORING</w:t>
        </w:r>
        <w:r w:rsidR="001244DC" w:rsidRPr="001244DC">
          <w:rPr>
            <w:rFonts w:ascii="Times New Roman" w:hAnsi="Times New Roman" w:cs="Times New Roman"/>
            <w:smallCaps w:val="0"/>
            <w:noProof/>
            <w:webHidden/>
            <w:sz w:val="22"/>
            <w:szCs w:val="22"/>
          </w:rPr>
          <w:tab/>
        </w:r>
        <w:r w:rsidR="00794F6D" w:rsidRPr="001244DC">
          <w:rPr>
            <w:rFonts w:ascii="Times New Roman" w:hAnsi="Times New Roman" w:cs="Times New Roman"/>
            <w:smallCaps w:val="0"/>
            <w:noProof/>
            <w:webHidden/>
            <w:sz w:val="22"/>
            <w:szCs w:val="22"/>
          </w:rPr>
          <w:fldChar w:fldCharType="begin"/>
        </w:r>
        <w:r w:rsidR="00794F6D" w:rsidRPr="001244DC">
          <w:rPr>
            <w:rFonts w:ascii="Times New Roman" w:hAnsi="Times New Roman" w:cs="Times New Roman"/>
            <w:smallCaps w:val="0"/>
            <w:noProof/>
            <w:webHidden/>
            <w:sz w:val="22"/>
            <w:szCs w:val="22"/>
          </w:rPr>
          <w:instrText xml:space="preserve"> PAGEREF _Toc452966945 \h </w:instrText>
        </w:r>
        <w:r w:rsidR="00794F6D" w:rsidRPr="001244DC">
          <w:rPr>
            <w:rFonts w:ascii="Times New Roman" w:hAnsi="Times New Roman" w:cs="Times New Roman"/>
            <w:smallCaps w:val="0"/>
            <w:noProof/>
            <w:webHidden/>
            <w:sz w:val="22"/>
            <w:szCs w:val="22"/>
          </w:rPr>
        </w:r>
        <w:r w:rsidR="00794F6D" w:rsidRPr="001244DC">
          <w:rPr>
            <w:rFonts w:ascii="Times New Roman" w:hAnsi="Times New Roman" w:cs="Times New Roman"/>
            <w:smallCaps w:val="0"/>
            <w:noProof/>
            <w:webHidden/>
            <w:sz w:val="22"/>
            <w:szCs w:val="22"/>
          </w:rPr>
          <w:fldChar w:fldCharType="separate"/>
        </w:r>
        <w:r w:rsidR="001244DC" w:rsidRPr="001244DC">
          <w:rPr>
            <w:rFonts w:ascii="Times New Roman" w:hAnsi="Times New Roman" w:cs="Times New Roman"/>
            <w:smallCaps w:val="0"/>
            <w:noProof/>
            <w:webHidden/>
            <w:sz w:val="22"/>
            <w:szCs w:val="22"/>
          </w:rPr>
          <w:t>11</w:t>
        </w:r>
        <w:r w:rsidR="00794F6D" w:rsidRPr="001244DC">
          <w:rPr>
            <w:rFonts w:ascii="Times New Roman" w:hAnsi="Times New Roman" w:cs="Times New Roman"/>
            <w:smallCaps w:val="0"/>
            <w:noProof/>
            <w:webHidden/>
            <w:sz w:val="22"/>
            <w:szCs w:val="22"/>
          </w:rPr>
          <w:fldChar w:fldCharType="end"/>
        </w:r>
      </w:hyperlink>
    </w:p>
    <w:p w:rsidR="00794F6D" w:rsidRPr="001244DC" w:rsidRDefault="00B03A44">
      <w:pPr>
        <w:pStyle w:val="TOC2"/>
        <w:rPr>
          <w:rFonts w:ascii="Times New Roman" w:eastAsiaTheme="minorEastAsia" w:hAnsi="Times New Roman" w:cs="Times New Roman"/>
          <w:smallCaps w:val="0"/>
          <w:noProof/>
          <w:sz w:val="22"/>
          <w:szCs w:val="22"/>
          <w:lang w:eastAsia="en-GB"/>
        </w:rPr>
      </w:pPr>
      <w:hyperlink w:anchor="_Toc452966946" w:history="1">
        <w:r w:rsidR="00794F6D" w:rsidRPr="001244DC">
          <w:rPr>
            <w:rStyle w:val="Hyperlink"/>
            <w:rFonts w:ascii="Times New Roman" w:hAnsi="Times New Roman" w:cs="Times New Roman"/>
            <w:smallCaps w:val="0"/>
            <w:noProof/>
            <w:sz w:val="22"/>
            <w:szCs w:val="22"/>
          </w:rPr>
          <w:t>GRADED APPROACH</w:t>
        </w:r>
        <w:r w:rsidR="001244DC" w:rsidRPr="001244DC">
          <w:rPr>
            <w:rFonts w:ascii="Times New Roman" w:hAnsi="Times New Roman" w:cs="Times New Roman"/>
            <w:smallCaps w:val="0"/>
            <w:noProof/>
            <w:webHidden/>
            <w:sz w:val="22"/>
            <w:szCs w:val="22"/>
          </w:rPr>
          <w:tab/>
        </w:r>
        <w:r w:rsidR="00794F6D" w:rsidRPr="001244DC">
          <w:rPr>
            <w:rFonts w:ascii="Times New Roman" w:hAnsi="Times New Roman" w:cs="Times New Roman"/>
            <w:smallCaps w:val="0"/>
            <w:noProof/>
            <w:webHidden/>
            <w:sz w:val="22"/>
            <w:szCs w:val="22"/>
          </w:rPr>
          <w:fldChar w:fldCharType="begin"/>
        </w:r>
        <w:r w:rsidR="00794F6D" w:rsidRPr="001244DC">
          <w:rPr>
            <w:rFonts w:ascii="Times New Roman" w:hAnsi="Times New Roman" w:cs="Times New Roman"/>
            <w:smallCaps w:val="0"/>
            <w:noProof/>
            <w:webHidden/>
            <w:sz w:val="22"/>
            <w:szCs w:val="22"/>
          </w:rPr>
          <w:instrText xml:space="preserve"> PAGEREF _Toc452966946 \h </w:instrText>
        </w:r>
        <w:r w:rsidR="00794F6D" w:rsidRPr="001244DC">
          <w:rPr>
            <w:rFonts w:ascii="Times New Roman" w:hAnsi="Times New Roman" w:cs="Times New Roman"/>
            <w:smallCaps w:val="0"/>
            <w:noProof/>
            <w:webHidden/>
            <w:sz w:val="22"/>
            <w:szCs w:val="22"/>
          </w:rPr>
        </w:r>
        <w:r w:rsidR="00794F6D" w:rsidRPr="001244DC">
          <w:rPr>
            <w:rFonts w:ascii="Times New Roman" w:hAnsi="Times New Roman" w:cs="Times New Roman"/>
            <w:smallCaps w:val="0"/>
            <w:noProof/>
            <w:webHidden/>
            <w:sz w:val="22"/>
            <w:szCs w:val="22"/>
          </w:rPr>
          <w:fldChar w:fldCharType="separate"/>
        </w:r>
        <w:r w:rsidR="001244DC" w:rsidRPr="001244DC">
          <w:rPr>
            <w:rFonts w:ascii="Times New Roman" w:hAnsi="Times New Roman" w:cs="Times New Roman"/>
            <w:smallCaps w:val="0"/>
            <w:noProof/>
            <w:webHidden/>
            <w:sz w:val="22"/>
            <w:szCs w:val="22"/>
          </w:rPr>
          <w:t>12</w:t>
        </w:r>
        <w:r w:rsidR="00794F6D" w:rsidRPr="001244DC">
          <w:rPr>
            <w:rFonts w:ascii="Times New Roman" w:hAnsi="Times New Roman" w:cs="Times New Roman"/>
            <w:smallCaps w:val="0"/>
            <w:noProof/>
            <w:webHidden/>
            <w:sz w:val="22"/>
            <w:szCs w:val="22"/>
          </w:rPr>
          <w:fldChar w:fldCharType="end"/>
        </w:r>
      </w:hyperlink>
    </w:p>
    <w:p w:rsidR="00794F6D" w:rsidRPr="00794F6D" w:rsidRDefault="00B03A44">
      <w:pPr>
        <w:pStyle w:val="TOC1"/>
        <w:rPr>
          <w:rFonts w:ascii="Times New Roman" w:eastAsiaTheme="minorEastAsia" w:hAnsi="Times New Roman" w:cs="Times New Roman"/>
          <w:b w:val="0"/>
          <w:bCs w:val="0"/>
          <w:caps w:val="0"/>
          <w:noProof/>
          <w:sz w:val="22"/>
          <w:szCs w:val="22"/>
          <w:lang w:eastAsia="en-GB"/>
        </w:rPr>
      </w:pPr>
      <w:hyperlink w:anchor="_Toc452966947" w:history="1">
        <w:r w:rsidR="00794F6D" w:rsidRPr="00794F6D">
          <w:rPr>
            <w:rStyle w:val="Hyperlink"/>
            <w:rFonts w:ascii="Times New Roman" w:hAnsi="Times New Roman" w:cs="Times New Roman"/>
            <w:noProof/>
            <w:sz w:val="22"/>
            <w:szCs w:val="22"/>
          </w:rPr>
          <w:t>4.</w:t>
        </w:r>
        <w:r w:rsidR="00794F6D" w:rsidRPr="00794F6D">
          <w:rPr>
            <w:rFonts w:ascii="Times New Roman" w:eastAsiaTheme="minorEastAsia" w:hAnsi="Times New Roman" w:cs="Times New Roman"/>
            <w:b w:val="0"/>
            <w:bCs w:val="0"/>
            <w:caps w:val="0"/>
            <w:noProof/>
            <w:sz w:val="22"/>
            <w:szCs w:val="22"/>
            <w:lang w:eastAsia="en-GB"/>
          </w:rPr>
          <w:tab/>
        </w:r>
        <w:r w:rsidR="00794F6D" w:rsidRPr="00794F6D">
          <w:rPr>
            <w:rStyle w:val="Hyperlink"/>
            <w:rFonts w:ascii="Times New Roman" w:hAnsi="Times New Roman" w:cs="Times New Roman"/>
            <w:noProof/>
            <w:sz w:val="22"/>
            <w:szCs w:val="22"/>
          </w:rPr>
          <w:t>ESTABLISHING THE NEED FOR AN AUTHORIZATION FOR DISCHARGES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_Toc452966947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12</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1"/>
        <w:rPr>
          <w:rFonts w:ascii="Times New Roman" w:eastAsiaTheme="minorEastAsia" w:hAnsi="Times New Roman" w:cs="Times New Roman"/>
          <w:b w:val="0"/>
          <w:bCs w:val="0"/>
          <w:caps w:val="0"/>
          <w:noProof/>
          <w:sz w:val="22"/>
          <w:szCs w:val="22"/>
          <w:lang w:eastAsia="en-GB"/>
        </w:rPr>
      </w:pPr>
      <w:hyperlink w:anchor="_Toc452966948" w:history="1">
        <w:r w:rsidR="00794F6D" w:rsidRPr="00794F6D">
          <w:rPr>
            <w:rStyle w:val="Hyperlink"/>
            <w:rFonts w:ascii="Times New Roman" w:hAnsi="Times New Roman" w:cs="Times New Roman"/>
            <w:noProof/>
            <w:sz w:val="22"/>
            <w:szCs w:val="22"/>
          </w:rPr>
          <w:t>5.</w:t>
        </w:r>
        <w:r w:rsidR="00794F6D" w:rsidRPr="00794F6D">
          <w:rPr>
            <w:rFonts w:ascii="Times New Roman" w:eastAsiaTheme="minorEastAsia" w:hAnsi="Times New Roman" w:cs="Times New Roman"/>
            <w:b w:val="0"/>
            <w:bCs w:val="0"/>
            <w:caps w:val="0"/>
            <w:noProof/>
            <w:sz w:val="22"/>
            <w:szCs w:val="22"/>
            <w:lang w:eastAsia="en-GB"/>
          </w:rPr>
          <w:tab/>
        </w:r>
        <w:r w:rsidR="00794F6D" w:rsidRPr="00794F6D">
          <w:rPr>
            <w:rStyle w:val="Hyperlink"/>
            <w:rFonts w:ascii="Times New Roman" w:hAnsi="Times New Roman" w:cs="Times New Roman"/>
            <w:noProof/>
            <w:sz w:val="22"/>
            <w:szCs w:val="22"/>
          </w:rPr>
          <w:t>THE PROCESS FOR AUTHORIZATION OF DISCHARGES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_Toc452966948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15</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49" w:history="1">
        <w:r w:rsidR="00794F6D" w:rsidRPr="00794F6D">
          <w:rPr>
            <w:rStyle w:val="Hyperlink"/>
            <w:rFonts w:ascii="Times New Roman" w:hAnsi="Times New Roman" w:cs="Times New Roman"/>
            <w:noProof/>
            <w:sz w:val="22"/>
            <w:szCs w:val="22"/>
          </w:rPr>
          <w:t>DEVELOPMENT OF AN AUTHORIZATION FOR DISCHARGES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_Toc452966949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18</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50" w:history="1">
        <w:r w:rsidR="00794F6D" w:rsidRPr="00794F6D">
          <w:rPr>
            <w:rStyle w:val="Hyperlink"/>
            <w:rFonts w:ascii="Times New Roman" w:hAnsi="Times New Roman" w:cs="Times New Roman"/>
            <w:noProof/>
            <w:sz w:val="22"/>
            <w:szCs w:val="22"/>
          </w:rPr>
          <w:t>ESTABLISHING A DOSE CONSTRAINT FOR THE CONTROL OF DISCHARGES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_Toc452966950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20</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51" w:history="1">
        <w:r w:rsidR="00794F6D" w:rsidRPr="00794F6D">
          <w:rPr>
            <w:rStyle w:val="Hyperlink"/>
            <w:rFonts w:ascii="Times New Roman" w:hAnsi="Times New Roman" w:cs="Times New Roman"/>
            <w:noProof/>
            <w:sz w:val="22"/>
            <w:szCs w:val="22"/>
          </w:rPr>
          <w:t>CHARACTERIZATION OF DISCHARGES AND EXPOSURE SCENARIOS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_Toc452966951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21</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52" w:history="1">
        <w:r w:rsidR="00794F6D" w:rsidRPr="00794F6D">
          <w:rPr>
            <w:rStyle w:val="Hyperlink"/>
            <w:rFonts w:ascii="Times New Roman" w:hAnsi="Times New Roman" w:cs="Times New Roman"/>
            <w:noProof/>
            <w:sz w:val="22"/>
            <w:szCs w:val="22"/>
          </w:rPr>
          <w:t>CONSIDERATION OF OPTIMIZATION OF PROTECTION AND SAFETY</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_Toc452966952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22</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53" w:history="1">
        <w:r w:rsidR="00794F6D" w:rsidRPr="00794F6D">
          <w:rPr>
            <w:rStyle w:val="Hyperlink"/>
            <w:rFonts w:ascii="Times New Roman" w:hAnsi="Times New Roman" w:cs="Times New Roman"/>
            <w:noProof/>
            <w:sz w:val="22"/>
            <w:szCs w:val="22"/>
          </w:rPr>
          <w:t>ASSESSMENT OF THE DOSE TO THE REPRESENTATIVE PERSON</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_Toc452966953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27</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54" w:history="1">
        <w:r w:rsidR="00794F6D" w:rsidRPr="00794F6D">
          <w:rPr>
            <w:rStyle w:val="Hyperlink"/>
            <w:rFonts w:ascii="Times New Roman" w:hAnsi="Times New Roman" w:cs="Times New Roman"/>
            <w:noProof/>
            <w:sz w:val="22"/>
            <w:szCs w:val="22"/>
          </w:rPr>
          <w:t>AUTHORIZATION FOR DISCHARGES AND OPERATIONAL limits and CONDITIONS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_Toc452966954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31</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55" w:history="1">
        <w:r w:rsidR="00794F6D" w:rsidRPr="00794F6D">
          <w:rPr>
            <w:rStyle w:val="Hyperlink"/>
            <w:rFonts w:ascii="Times New Roman" w:hAnsi="Times New Roman" w:cs="Times New Roman"/>
            <w:noProof/>
            <w:sz w:val="22"/>
            <w:szCs w:val="22"/>
          </w:rPr>
          <w:t>DEMONSTRATION OF COMPLIANCE</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_Toc452966955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35</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56" w:history="1">
        <w:r w:rsidR="00794F6D" w:rsidRPr="00794F6D">
          <w:rPr>
            <w:rStyle w:val="Hyperlink"/>
            <w:rFonts w:ascii="Times New Roman" w:hAnsi="Times New Roman" w:cs="Times New Roman"/>
            <w:noProof/>
            <w:sz w:val="22"/>
            <w:szCs w:val="22"/>
          </w:rPr>
          <w:t>INSPECTION AND ENFORCEMENT</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_Toc452966956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39</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2"/>
        <w:rPr>
          <w:rFonts w:ascii="Times New Roman" w:eastAsiaTheme="minorEastAsia" w:hAnsi="Times New Roman" w:cs="Times New Roman"/>
          <w:smallCaps w:val="0"/>
          <w:noProof/>
          <w:sz w:val="22"/>
          <w:szCs w:val="22"/>
          <w:lang w:eastAsia="en-GB"/>
        </w:rPr>
      </w:pPr>
      <w:hyperlink w:anchor="_Toc452966957" w:history="1">
        <w:r w:rsidR="00794F6D" w:rsidRPr="00794F6D">
          <w:rPr>
            <w:rStyle w:val="Hyperlink"/>
            <w:rFonts w:ascii="Times New Roman" w:hAnsi="Times New Roman" w:cs="Times New Roman"/>
            <w:noProof/>
            <w:sz w:val="22"/>
            <w:szCs w:val="22"/>
          </w:rPr>
          <w:t>INVOLVEMENT OF INTERESTED PARTIES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_Toc452966957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40</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1"/>
        <w:rPr>
          <w:rFonts w:ascii="Times New Roman" w:eastAsiaTheme="minorEastAsia" w:hAnsi="Times New Roman" w:cs="Times New Roman"/>
          <w:b w:val="0"/>
          <w:bCs w:val="0"/>
          <w:caps w:val="0"/>
          <w:noProof/>
          <w:sz w:val="22"/>
          <w:szCs w:val="22"/>
          <w:lang w:eastAsia="en-GB"/>
        </w:rPr>
      </w:pPr>
      <w:hyperlink w:anchor="_Toc452966958" w:history="1">
        <w:r w:rsidR="00794F6D" w:rsidRPr="00794F6D">
          <w:rPr>
            <w:rStyle w:val="Hyperlink"/>
            <w:rFonts w:ascii="Times New Roman" w:hAnsi="Times New Roman" w:cs="Times New Roman"/>
            <w:noProof/>
            <w:sz w:val="22"/>
            <w:szCs w:val="22"/>
          </w:rPr>
          <w:t>6.</w:t>
        </w:r>
        <w:r w:rsidR="00794F6D" w:rsidRPr="00794F6D">
          <w:rPr>
            <w:rFonts w:ascii="Times New Roman" w:eastAsiaTheme="minorEastAsia" w:hAnsi="Times New Roman" w:cs="Times New Roman"/>
            <w:b w:val="0"/>
            <w:bCs w:val="0"/>
            <w:caps w:val="0"/>
            <w:noProof/>
            <w:sz w:val="22"/>
            <w:szCs w:val="22"/>
            <w:lang w:eastAsia="en-GB"/>
          </w:rPr>
          <w:tab/>
        </w:r>
        <w:r w:rsidR="00794F6D" w:rsidRPr="00794F6D">
          <w:rPr>
            <w:rStyle w:val="Hyperlink"/>
            <w:rFonts w:ascii="Times New Roman" w:hAnsi="Times New Roman" w:cs="Times New Roman"/>
            <w:noProof/>
            <w:sz w:val="22"/>
            <w:szCs w:val="22"/>
          </w:rPr>
          <w:t>CONSIDERATION OF EFFLUENTS CONTAINING RADIONUCLIDES OF NATURAL ORIGIN IN DIFFERENT INDUSTRIES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_Toc452966958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41</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1"/>
        <w:rPr>
          <w:rFonts w:ascii="Times New Roman" w:eastAsiaTheme="minorEastAsia" w:hAnsi="Times New Roman" w:cs="Times New Roman"/>
          <w:b w:val="0"/>
          <w:bCs w:val="0"/>
          <w:caps w:val="0"/>
          <w:noProof/>
          <w:sz w:val="22"/>
          <w:szCs w:val="22"/>
          <w:lang w:eastAsia="en-GB"/>
        </w:rPr>
      </w:pPr>
      <w:hyperlink w:anchor="_Toc452966959" w:history="1">
        <w:r w:rsidR="00794F6D" w:rsidRPr="00794F6D">
          <w:rPr>
            <w:rStyle w:val="Hyperlink"/>
            <w:rFonts w:ascii="Times New Roman" w:hAnsi="Times New Roman" w:cs="Times New Roman"/>
            <w:noProof/>
            <w:sz w:val="22"/>
            <w:szCs w:val="22"/>
          </w:rPr>
          <w:t>7.</w:t>
        </w:r>
        <w:r w:rsidR="00794F6D" w:rsidRPr="00794F6D">
          <w:rPr>
            <w:rFonts w:ascii="Times New Roman" w:eastAsiaTheme="minorEastAsia" w:hAnsi="Times New Roman" w:cs="Times New Roman"/>
            <w:b w:val="0"/>
            <w:bCs w:val="0"/>
            <w:caps w:val="0"/>
            <w:noProof/>
            <w:sz w:val="22"/>
            <w:szCs w:val="22"/>
            <w:lang w:eastAsia="en-GB"/>
          </w:rPr>
          <w:tab/>
        </w:r>
        <w:r w:rsidR="00794F6D" w:rsidRPr="00794F6D">
          <w:rPr>
            <w:rStyle w:val="Hyperlink"/>
            <w:rFonts w:ascii="Times New Roman" w:hAnsi="Times New Roman" w:cs="Times New Roman"/>
            <w:noProof/>
            <w:sz w:val="22"/>
            <w:szCs w:val="22"/>
          </w:rPr>
          <w:t>CONTROL OF DISCHARGES DURING DECOMMISSIONING</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_Toc452966959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45</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1"/>
        <w:rPr>
          <w:rFonts w:ascii="Times New Roman" w:eastAsiaTheme="minorEastAsia" w:hAnsi="Times New Roman" w:cs="Times New Roman"/>
          <w:b w:val="0"/>
          <w:bCs w:val="0"/>
          <w:caps w:val="0"/>
          <w:noProof/>
          <w:sz w:val="22"/>
          <w:szCs w:val="22"/>
          <w:lang w:eastAsia="en-GB"/>
        </w:rPr>
      </w:pPr>
      <w:hyperlink w:anchor="_Toc452966960" w:history="1">
        <w:r w:rsidR="00794F6D" w:rsidRPr="00794F6D">
          <w:rPr>
            <w:rStyle w:val="Hyperlink"/>
            <w:rFonts w:ascii="Times New Roman" w:hAnsi="Times New Roman" w:cs="Times New Roman"/>
            <w:noProof/>
            <w:sz w:val="22"/>
            <w:szCs w:val="22"/>
          </w:rPr>
          <w:t>8.</w:t>
        </w:r>
        <w:r w:rsidR="00794F6D" w:rsidRPr="00794F6D">
          <w:rPr>
            <w:rFonts w:ascii="Times New Roman" w:eastAsiaTheme="minorEastAsia" w:hAnsi="Times New Roman" w:cs="Times New Roman"/>
            <w:b w:val="0"/>
            <w:bCs w:val="0"/>
            <w:caps w:val="0"/>
            <w:noProof/>
            <w:sz w:val="22"/>
            <w:szCs w:val="22"/>
            <w:lang w:eastAsia="en-GB"/>
          </w:rPr>
          <w:tab/>
        </w:r>
        <w:r w:rsidR="00794F6D" w:rsidRPr="00794F6D">
          <w:rPr>
            <w:rStyle w:val="Hyperlink"/>
            <w:rFonts w:ascii="Times New Roman" w:hAnsi="Times New Roman" w:cs="Times New Roman"/>
            <w:noProof/>
            <w:sz w:val="22"/>
            <w:szCs w:val="22"/>
          </w:rPr>
          <w:t>PREVIOUSLY UNREGULATED PRACTICES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_Toc452966960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46</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1"/>
        <w:rPr>
          <w:rFonts w:ascii="Times New Roman" w:eastAsiaTheme="minorEastAsia" w:hAnsi="Times New Roman" w:cs="Times New Roman"/>
          <w:b w:val="0"/>
          <w:bCs w:val="0"/>
          <w:caps w:val="0"/>
          <w:noProof/>
          <w:sz w:val="22"/>
          <w:szCs w:val="22"/>
          <w:lang w:eastAsia="en-GB"/>
        </w:rPr>
      </w:pPr>
      <w:hyperlink w:anchor="_Toc452966961" w:history="1">
        <w:r w:rsidR="00794F6D" w:rsidRPr="00794F6D">
          <w:rPr>
            <w:rStyle w:val="Hyperlink"/>
            <w:rFonts w:ascii="Times New Roman" w:hAnsi="Times New Roman" w:cs="Times New Roman"/>
            <w:noProof/>
            <w:sz w:val="22"/>
            <w:szCs w:val="22"/>
          </w:rPr>
          <w:t>REFERENCES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_Toc452966961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48</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1"/>
        <w:rPr>
          <w:rFonts w:ascii="Times New Roman" w:eastAsiaTheme="minorEastAsia" w:hAnsi="Times New Roman" w:cs="Times New Roman"/>
          <w:b w:val="0"/>
          <w:bCs w:val="0"/>
          <w:caps w:val="0"/>
          <w:noProof/>
          <w:sz w:val="22"/>
          <w:szCs w:val="22"/>
          <w:lang w:eastAsia="en-GB"/>
        </w:rPr>
      </w:pPr>
      <w:hyperlink w:anchor="_Toc452966962" w:history="1">
        <w:r w:rsidR="00794F6D" w:rsidRPr="00794F6D">
          <w:rPr>
            <w:rStyle w:val="Hyperlink"/>
            <w:rFonts w:ascii="Times New Roman" w:hAnsi="Times New Roman" w:cs="Times New Roman"/>
            <w:noProof/>
            <w:sz w:val="22"/>
            <w:szCs w:val="22"/>
          </w:rPr>
          <w:t>Annex I PRACTICAL CONSIDERATIONS IN GRANTING AN AUTHORIZATION FOR DISCHARGES</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_Toc452966962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53</w:t>
        </w:r>
        <w:r w:rsidR="00794F6D" w:rsidRPr="00794F6D">
          <w:rPr>
            <w:rFonts w:ascii="Times New Roman" w:hAnsi="Times New Roman" w:cs="Times New Roman"/>
            <w:noProof/>
            <w:webHidden/>
            <w:sz w:val="22"/>
            <w:szCs w:val="22"/>
          </w:rPr>
          <w:fldChar w:fldCharType="end"/>
        </w:r>
      </w:hyperlink>
    </w:p>
    <w:p w:rsidR="00794F6D" w:rsidRPr="00794F6D" w:rsidRDefault="00B03A44">
      <w:pPr>
        <w:pStyle w:val="TOC1"/>
        <w:rPr>
          <w:rFonts w:ascii="Times New Roman" w:eastAsiaTheme="minorEastAsia" w:hAnsi="Times New Roman" w:cs="Times New Roman"/>
          <w:b w:val="0"/>
          <w:bCs w:val="0"/>
          <w:caps w:val="0"/>
          <w:noProof/>
          <w:sz w:val="22"/>
          <w:szCs w:val="22"/>
          <w:lang w:eastAsia="en-GB"/>
        </w:rPr>
      </w:pPr>
      <w:hyperlink w:anchor="_Toc452966963" w:history="1">
        <w:r w:rsidR="00794F6D" w:rsidRPr="00794F6D">
          <w:rPr>
            <w:rStyle w:val="Hyperlink"/>
            <w:rFonts w:ascii="Times New Roman" w:hAnsi="Times New Roman" w:cs="Times New Roman"/>
            <w:noProof/>
            <w:sz w:val="22"/>
            <w:szCs w:val="22"/>
          </w:rPr>
          <w:t>REFERENCES TO THE ANNEX</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_Toc452966963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65</w:t>
        </w:r>
        <w:r w:rsidR="00794F6D" w:rsidRPr="00794F6D">
          <w:rPr>
            <w:rFonts w:ascii="Times New Roman" w:hAnsi="Times New Roman" w:cs="Times New Roman"/>
            <w:noProof/>
            <w:webHidden/>
            <w:sz w:val="22"/>
            <w:szCs w:val="22"/>
          </w:rPr>
          <w:fldChar w:fldCharType="end"/>
        </w:r>
      </w:hyperlink>
    </w:p>
    <w:p w:rsidR="00540383" w:rsidRPr="007F5337" w:rsidRDefault="00B03A44" w:rsidP="00794F6D">
      <w:pPr>
        <w:pStyle w:val="TOC1"/>
        <w:rPr>
          <w:rFonts w:ascii="Times New Roman" w:hAnsi="Times New Roman"/>
          <w:bCs w:val="0"/>
        </w:rPr>
      </w:pPr>
      <w:hyperlink w:anchor="_Toc452966964" w:history="1">
        <w:r w:rsidR="00794F6D" w:rsidRPr="00794F6D">
          <w:rPr>
            <w:rStyle w:val="Hyperlink"/>
            <w:rFonts w:ascii="Times New Roman" w:hAnsi="Times New Roman" w:cs="Times New Roman"/>
            <w:noProof/>
            <w:sz w:val="22"/>
            <w:szCs w:val="22"/>
          </w:rPr>
          <w:t>CONTRIBUTORS TO DRAFTING AND REVIEW</w:t>
        </w:r>
        <w:r w:rsidR="00794F6D" w:rsidRPr="00794F6D">
          <w:rPr>
            <w:rFonts w:ascii="Times New Roman" w:hAnsi="Times New Roman" w:cs="Times New Roman"/>
            <w:noProof/>
            <w:webHidden/>
            <w:sz w:val="22"/>
            <w:szCs w:val="22"/>
          </w:rPr>
          <w:tab/>
        </w:r>
        <w:r w:rsidR="00794F6D" w:rsidRPr="00794F6D">
          <w:rPr>
            <w:rFonts w:ascii="Times New Roman" w:hAnsi="Times New Roman" w:cs="Times New Roman"/>
            <w:noProof/>
            <w:webHidden/>
            <w:sz w:val="22"/>
            <w:szCs w:val="22"/>
          </w:rPr>
          <w:fldChar w:fldCharType="begin"/>
        </w:r>
        <w:r w:rsidR="00794F6D" w:rsidRPr="00794F6D">
          <w:rPr>
            <w:rFonts w:ascii="Times New Roman" w:hAnsi="Times New Roman" w:cs="Times New Roman"/>
            <w:noProof/>
            <w:webHidden/>
            <w:sz w:val="22"/>
            <w:szCs w:val="22"/>
          </w:rPr>
          <w:instrText xml:space="preserve"> PAGEREF _Toc452966964 \h </w:instrText>
        </w:r>
        <w:r w:rsidR="00794F6D" w:rsidRPr="00794F6D">
          <w:rPr>
            <w:rFonts w:ascii="Times New Roman" w:hAnsi="Times New Roman" w:cs="Times New Roman"/>
            <w:noProof/>
            <w:webHidden/>
            <w:sz w:val="22"/>
            <w:szCs w:val="22"/>
          </w:rPr>
        </w:r>
        <w:r w:rsidR="00794F6D" w:rsidRPr="00794F6D">
          <w:rPr>
            <w:rFonts w:ascii="Times New Roman" w:hAnsi="Times New Roman" w:cs="Times New Roman"/>
            <w:noProof/>
            <w:webHidden/>
            <w:sz w:val="22"/>
            <w:szCs w:val="22"/>
          </w:rPr>
          <w:fldChar w:fldCharType="separate"/>
        </w:r>
        <w:r w:rsidR="00794F6D">
          <w:rPr>
            <w:rFonts w:ascii="Times New Roman" w:hAnsi="Times New Roman" w:cs="Times New Roman"/>
            <w:noProof/>
            <w:webHidden/>
            <w:sz w:val="22"/>
            <w:szCs w:val="22"/>
          </w:rPr>
          <w:t>67</w:t>
        </w:r>
        <w:r w:rsidR="00794F6D" w:rsidRPr="00794F6D">
          <w:rPr>
            <w:rFonts w:ascii="Times New Roman" w:hAnsi="Times New Roman" w:cs="Times New Roman"/>
            <w:noProof/>
            <w:webHidden/>
            <w:sz w:val="22"/>
            <w:szCs w:val="22"/>
          </w:rPr>
          <w:fldChar w:fldCharType="end"/>
        </w:r>
      </w:hyperlink>
      <w:r w:rsidR="000108B9" w:rsidRPr="007F5337">
        <w:rPr>
          <w:rFonts w:ascii="Times New Roman" w:hAnsi="Times New Roman"/>
          <w:bCs w:val="0"/>
        </w:rPr>
        <w:fldChar w:fldCharType="end"/>
      </w:r>
    </w:p>
    <w:p w:rsidR="006D061F" w:rsidRPr="007F5337" w:rsidRDefault="006D061F">
      <w:pPr>
        <w:rPr>
          <w:rFonts w:ascii="Times New Roman" w:hAnsi="Times New Roman"/>
          <w:bCs/>
          <w:sz w:val="24"/>
          <w:szCs w:val="24"/>
        </w:rPr>
        <w:sectPr w:rsidR="006D061F" w:rsidRPr="007F5337" w:rsidSect="00A96C46">
          <w:pgSz w:w="11906" w:h="16838" w:code="9"/>
          <w:pgMar w:top="1134" w:right="1418" w:bottom="1531" w:left="1418" w:header="709" w:footer="709" w:gutter="0"/>
          <w:cols w:space="708"/>
          <w:docGrid w:linePitch="360"/>
        </w:sectPr>
      </w:pPr>
    </w:p>
    <w:p w:rsidR="004564B7" w:rsidRPr="007F5337" w:rsidRDefault="004564B7" w:rsidP="00C366F8">
      <w:pPr>
        <w:pStyle w:val="Heading1"/>
        <w:spacing w:before="120" w:after="0" w:line="360" w:lineRule="auto"/>
        <w:ind w:left="0" w:firstLine="0"/>
        <w:rPr>
          <w:kern w:val="0"/>
          <w:lang w:val="en-GB"/>
        </w:rPr>
      </w:pPr>
      <w:bookmarkStart w:id="1" w:name="_Toc310524891"/>
      <w:bookmarkStart w:id="2" w:name="_Toc396128249"/>
      <w:bookmarkStart w:id="3" w:name="_Toc396128861"/>
      <w:bookmarkStart w:id="4" w:name="_Toc452966928"/>
      <w:r w:rsidRPr="007F5337">
        <w:rPr>
          <w:kern w:val="0"/>
          <w:lang w:val="en-GB"/>
        </w:rPr>
        <w:lastRenderedPageBreak/>
        <w:t>INTRODUCTION</w:t>
      </w:r>
      <w:bookmarkEnd w:id="1"/>
      <w:bookmarkEnd w:id="2"/>
      <w:bookmarkEnd w:id="3"/>
      <w:bookmarkEnd w:id="4"/>
    </w:p>
    <w:p w:rsidR="004564B7" w:rsidRPr="007F5337" w:rsidRDefault="004564B7" w:rsidP="00C366F8">
      <w:pPr>
        <w:pStyle w:val="Heading2"/>
        <w:spacing w:before="120" w:after="0" w:line="360" w:lineRule="auto"/>
        <w:rPr>
          <w:caps w:val="0"/>
          <w:lang w:val="en-GB"/>
        </w:rPr>
      </w:pPr>
      <w:bookmarkStart w:id="5" w:name="_Toc396128250"/>
      <w:bookmarkStart w:id="6" w:name="_Toc396128862"/>
      <w:bookmarkStart w:id="7" w:name="_Toc452966929"/>
      <w:r w:rsidRPr="007F5337">
        <w:rPr>
          <w:caps w:val="0"/>
          <w:lang w:val="en-GB"/>
        </w:rPr>
        <w:t>BACKGROUND</w:t>
      </w:r>
      <w:bookmarkEnd w:id="5"/>
      <w:bookmarkEnd w:id="6"/>
      <w:bookmarkEnd w:id="7"/>
    </w:p>
    <w:p w:rsidR="00BA4C9D" w:rsidRDefault="00C4619C" w:rsidP="002704B6">
      <w:pPr>
        <w:numPr>
          <w:ilvl w:val="0"/>
          <w:numId w:val="2"/>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Facilities and activities</w:t>
      </w:r>
      <w:r w:rsidRPr="00C10D10">
        <w:rPr>
          <w:rStyle w:val="FootnoteReference"/>
          <w:rFonts w:ascii="Times New Roman" w:hAnsi="Times New Roman"/>
          <w:sz w:val="24"/>
          <w:szCs w:val="24"/>
        </w:rPr>
        <w:footnoteReference w:id="2"/>
      </w:r>
      <w:r w:rsidRPr="00C10D10">
        <w:rPr>
          <w:rFonts w:ascii="Times New Roman" w:hAnsi="Times New Roman"/>
          <w:sz w:val="24"/>
          <w:szCs w:val="24"/>
        </w:rPr>
        <w:t xml:space="preserve"> that </w:t>
      </w:r>
      <w:r w:rsidR="00DE00DF">
        <w:rPr>
          <w:rFonts w:ascii="Times New Roman" w:hAnsi="Times New Roman"/>
          <w:sz w:val="24"/>
          <w:szCs w:val="24"/>
        </w:rPr>
        <w:t>give rise to radiation risk</w:t>
      </w:r>
      <w:r w:rsidR="007D62FD">
        <w:rPr>
          <w:rFonts w:ascii="Times New Roman" w:hAnsi="Times New Roman"/>
          <w:sz w:val="24"/>
          <w:szCs w:val="24"/>
        </w:rPr>
        <w:t>s</w:t>
      </w:r>
      <w:r w:rsidRPr="00C10D10">
        <w:rPr>
          <w:rFonts w:ascii="Times New Roman" w:hAnsi="Times New Roman"/>
          <w:sz w:val="24"/>
          <w:szCs w:val="24"/>
        </w:rPr>
        <w:t xml:space="preserve"> are </w:t>
      </w:r>
      <w:r w:rsidR="009F0346" w:rsidRPr="00C10D10">
        <w:rPr>
          <w:rFonts w:ascii="Times New Roman" w:hAnsi="Times New Roman"/>
          <w:sz w:val="24"/>
          <w:szCs w:val="24"/>
        </w:rPr>
        <w:t xml:space="preserve">required to be </w:t>
      </w:r>
      <w:r w:rsidRPr="00C10D10">
        <w:rPr>
          <w:rFonts w:ascii="Times New Roman" w:hAnsi="Times New Roman"/>
          <w:sz w:val="24"/>
          <w:szCs w:val="24"/>
        </w:rPr>
        <w:t>designed, built,</w:t>
      </w:r>
      <w:r w:rsidR="003A6F1A">
        <w:rPr>
          <w:rFonts w:ascii="Times New Roman" w:hAnsi="Times New Roman"/>
          <w:sz w:val="24"/>
          <w:szCs w:val="24"/>
        </w:rPr>
        <w:t xml:space="preserve"> </w:t>
      </w:r>
      <w:r w:rsidR="0051146A">
        <w:rPr>
          <w:rFonts w:ascii="Times New Roman" w:hAnsi="Times New Roman"/>
          <w:sz w:val="24"/>
          <w:szCs w:val="24"/>
        </w:rPr>
        <w:t>authorized</w:t>
      </w:r>
      <w:r w:rsidR="00E62BAE">
        <w:rPr>
          <w:rFonts w:ascii="Times New Roman" w:hAnsi="Times New Roman"/>
          <w:sz w:val="24"/>
          <w:szCs w:val="24"/>
        </w:rPr>
        <w:t>,</w:t>
      </w:r>
      <w:r w:rsidRPr="00C10D10">
        <w:rPr>
          <w:rFonts w:ascii="Times New Roman" w:hAnsi="Times New Roman"/>
          <w:sz w:val="24"/>
          <w:szCs w:val="24"/>
        </w:rPr>
        <w:t xml:space="preserve"> operated and maintained </w:t>
      </w:r>
      <w:r w:rsidR="00AD7563">
        <w:rPr>
          <w:rFonts w:ascii="Times New Roman" w:hAnsi="Times New Roman"/>
          <w:sz w:val="24"/>
          <w:szCs w:val="24"/>
        </w:rPr>
        <w:t>so as</w:t>
      </w:r>
      <w:r w:rsidR="00AC29BC" w:rsidRPr="00C10D10">
        <w:rPr>
          <w:rFonts w:ascii="Times New Roman" w:hAnsi="Times New Roman"/>
          <w:sz w:val="24"/>
          <w:szCs w:val="24"/>
        </w:rPr>
        <w:t xml:space="preserve"> </w:t>
      </w:r>
      <w:r w:rsidRPr="00C10D10">
        <w:rPr>
          <w:rFonts w:ascii="Times New Roman" w:hAnsi="Times New Roman"/>
          <w:sz w:val="24"/>
          <w:szCs w:val="24"/>
        </w:rPr>
        <w:t>to prevent</w:t>
      </w:r>
      <w:r w:rsidR="00625BEC" w:rsidRPr="00625BEC">
        <w:rPr>
          <w:rFonts w:ascii="Times New Roman" w:hAnsi="Times New Roman"/>
          <w:sz w:val="24"/>
          <w:szCs w:val="24"/>
        </w:rPr>
        <w:t xml:space="preserve"> </w:t>
      </w:r>
      <w:r w:rsidR="00625BEC" w:rsidRPr="00C10D10">
        <w:rPr>
          <w:rFonts w:ascii="Times New Roman" w:hAnsi="Times New Roman"/>
          <w:sz w:val="24"/>
          <w:szCs w:val="24"/>
        </w:rPr>
        <w:t>radioactive releases to the environment</w:t>
      </w:r>
      <w:r w:rsidR="00AC29BC" w:rsidRPr="00C10D10">
        <w:rPr>
          <w:rFonts w:ascii="Times New Roman" w:hAnsi="Times New Roman"/>
          <w:sz w:val="24"/>
          <w:szCs w:val="24"/>
        </w:rPr>
        <w:t xml:space="preserve"> </w:t>
      </w:r>
      <w:r w:rsidR="008D53F3" w:rsidRPr="00C10D10">
        <w:rPr>
          <w:rFonts w:ascii="Times New Roman" w:hAnsi="Times New Roman"/>
          <w:sz w:val="24"/>
          <w:szCs w:val="24"/>
        </w:rPr>
        <w:t xml:space="preserve">or </w:t>
      </w:r>
      <w:r w:rsidR="00417BFF">
        <w:rPr>
          <w:rFonts w:ascii="Times New Roman" w:hAnsi="Times New Roman"/>
          <w:sz w:val="24"/>
          <w:szCs w:val="24"/>
        </w:rPr>
        <w:t xml:space="preserve">to </w:t>
      </w:r>
      <w:r w:rsidR="00AC29BC" w:rsidRPr="00C10D10">
        <w:rPr>
          <w:rFonts w:ascii="Times New Roman" w:hAnsi="Times New Roman"/>
          <w:sz w:val="24"/>
          <w:szCs w:val="24"/>
        </w:rPr>
        <w:t xml:space="preserve">minimize </w:t>
      </w:r>
      <w:r w:rsidR="00BA4C9D">
        <w:rPr>
          <w:rFonts w:ascii="Times New Roman" w:hAnsi="Times New Roman"/>
          <w:sz w:val="24"/>
          <w:szCs w:val="24"/>
        </w:rPr>
        <w:t>the consequences</w:t>
      </w:r>
      <w:r w:rsidR="002441AF">
        <w:rPr>
          <w:rFonts w:ascii="Times New Roman" w:hAnsi="Times New Roman"/>
          <w:sz w:val="24"/>
          <w:szCs w:val="24"/>
        </w:rPr>
        <w:t>,</w:t>
      </w:r>
      <w:r w:rsidR="00F14864" w:rsidRPr="00C10D10">
        <w:rPr>
          <w:rFonts w:ascii="Times New Roman" w:hAnsi="Times New Roman"/>
          <w:sz w:val="24"/>
          <w:szCs w:val="24"/>
        </w:rPr>
        <w:t xml:space="preserve"> providing adequate levels of protection </w:t>
      </w:r>
      <w:r w:rsidR="00625BEC">
        <w:rPr>
          <w:rFonts w:ascii="Times New Roman" w:hAnsi="Times New Roman"/>
          <w:sz w:val="24"/>
          <w:szCs w:val="24"/>
        </w:rPr>
        <w:t>of</w:t>
      </w:r>
      <w:r w:rsidR="00625BEC" w:rsidRPr="00C10D10">
        <w:rPr>
          <w:rFonts w:ascii="Times New Roman" w:hAnsi="Times New Roman"/>
          <w:sz w:val="24"/>
          <w:szCs w:val="24"/>
        </w:rPr>
        <w:t xml:space="preserve"> </w:t>
      </w:r>
      <w:r w:rsidR="00F14864" w:rsidRPr="00C10D10">
        <w:rPr>
          <w:rFonts w:ascii="Times New Roman" w:hAnsi="Times New Roman"/>
          <w:sz w:val="24"/>
          <w:szCs w:val="24"/>
        </w:rPr>
        <w:t xml:space="preserve">the public and </w:t>
      </w:r>
      <w:r w:rsidR="00AF74FA">
        <w:rPr>
          <w:rFonts w:ascii="Times New Roman" w:hAnsi="Times New Roman"/>
          <w:sz w:val="24"/>
          <w:szCs w:val="24"/>
        </w:rPr>
        <w:t xml:space="preserve">protection of </w:t>
      </w:r>
      <w:r w:rsidR="00F14864" w:rsidRPr="00C10D10">
        <w:rPr>
          <w:rFonts w:ascii="Times New Roman" w:hAnsi="Times New Roman"/>
          <w:sz w:val="24"/>
          <w:szCs w:val="24"/>
        </w:rPr>
        <w:t>the environment</w:t>
      </w:r>
      <w:r w:rsidR="00226273">
        <w:rPr>
          <w:rFonts w:ascii="Times New Roman" w:hAnsi="Times New Roman"/>
          <w:sz w:val="24"/>
          <w:szCs w:val="24"/>
        </w:rPr>
        <w:t xml:space="preserve"> [</w:t>
      </w:r>
      <w:r w:rsidR="00417BFF">
        <w:rPr>
          <w:rFonts w:ascii="Times New Roman" w:hAnsi="Times New Roman"/>
          <w:sz w:val="24"/>
          <w:szCs w:val="24"/>
        </w:rPr>
        <w:t>3</w:t>
      </w:r>
      <w:r w:rsidR="00226273">
        <w:rPr>
          <w:rFonts w:ascii="Times New Roman" w:hAnsi="Times New Roman"/>
          <w:sz w:val="24"/>
          <w:szCs w:val="24"/>
        </w:rPr>
        <w:t>]</w:t>
      </w:r>
      <w:r w:rsidRPr="00C10D10">
        <w:rPr>
          <w:rFonts w:ascii="Times New Roman" w:hAnsi="Times New Roman"/>
          <w:sz w:val="24"/>
          <w:szCs w:val="24"/>
        </w:rPr>
        <w:t>.</w:t>
      </w:r>
    </w:p>
    <w:p w:rsidR="004043AE" w:rsidRPr="00C10D10" w:rsidRDefault="001E209C" w:rsidP="002704B6">
      <w:pPr>
        <w:numPr>
          <w:ilvl w:val="0"/>
          <w:numId w:val="2"/>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S</w:t>
      </w:r>
      <w:r w:rsidR="00295980" w:rsidRPr="00C10D10">
        <w:rPr>
          <w:rFonts w:ascii="Times New Roman" w:hAnsi="Times New Roman"/>
          <w:sz w:val="24"/>
          <w:szCs w:val="24"/>
        </w:rPr>
        <w:t>ome f</w:t>
      </w:r>
      <w:r w:rsidR="004564B7" w:rsidRPr="00C10D10">
        <w:rPr>
          <w:rFonts w:ascii="Times New Roman" w:hAnsi="Times New Roman"/>
          <w:sz w:val="24"/>
          <w:szCs w:val="24"/>
        </w:rPr>
        <w:t>acilities</w:t>
      </w:r>
      <w:r w:rsidR="007E4CDE" w:rsidRPr="00C10D10">
        <w:rPr>
          <w:rFonts w:ascii="Times New Roman" w:hAnsi="Times New Roman"/>
          <w:sz w:val="24"/>
          <w:szCs w:val="24"/>
        </w:rPr>
        <w:t xml:space="preserve"> and </w:t>
      </w:r>
      <w:r w:rsidR="00C4619C" w:rsidRPr="00C10D10">
        <w:rPr>
          <w:rFonts w:ascii="Times New Roman" w:hAnsi="Times New Roman"/>
          <w:sz w:val="24"/>
          <w:szCs w:val="24"/>
        </w:rPr>
        <w:t xml:space="preserve">activities </w:t>
      </w:r>
      <w:r w:rsidR="004564B7" w:rsidRPr="00C10D10">
        <w:rPr>
          <w:rFonts w:ascii="Times New Roman" w:hAnsi="Times New Roman"/>
          <w:sz w:val="24"/>
          <w:szCs w:val="24"/>
        </w:rPr>
        <w:t>generate gaseous and liquid</w:t>
      </w:r>
      <w:r w:rsidR="00C4619C" w:rsidRPr="00C10D10">
        <w:rPr>
          <w:rFonts w:ascii="Times New Roman" w:hAnsi="Times New Roman"/>
          <w:sz w:val="24"/>
          <w:szCs w:val="24"/>
        </w:rPr>
        <w:t xml:space="preserve"> effluents during normal operation </w:t>
      </w:r>
      <w:r w:rsidR="00B31AAD">
        <w:rPr>
          <w:rFonts w:ascii="Times New Roman" w:hAnsi="Times New Roman"/>
          <w:sz w:val="24"/>
          <w:szCs w:val="24"/>
        </w:rPr>
        <w:t xml:space="preserve">that </w:t>
      </w:r>
      <w:r w:rsidR="00C4619C" w:rsidRPr="00C10D10">
        <w:rPr>
          <w:rFonts w:ascii="Times New Roman" w:hAnsi="Times New Roman"/>
          <w:sz w:val="24"/>
          <w:szCs w:val="24"/>
        </w:rPr>
        <w:t xml:space="preserve">contain </w:t>
      </w:r>
      <w:r w:rsidR="0040333E">
        <w:rPr>
          <w:rFonts w:ascii="Times New Roman" w:hAnsi="Times New Roman"/>
          <w:sz w:val="24"/>
          <w:szCs w:val="24"/>
        </w:rPr>
        <w:t>small</w:t>
      </w:r>
      <w:r w:rsidR="00C4619C" w:rsidRPr="00C10D10">
        <w:rPr>
          <w:rFonts w:ascii="Times New Roman" w:hAnsi="Times New Roman"/>
          <w:sz w:val="24"/>
          <w:szCs w:val="24"/>
        </w:rPr>
        <w:t xml:space="preserve"> amounts of</w:t>
      </w:r>
      <w:r w:rsidR="004564B7" w:rsidRPr="00C10D10">
        <w:rPr>
          <w:rFonts w:ascii="Times New Roman" w:hAnsi="Times New Roman"/>
          <w:sz w:val="24"/>
          <w:szCs w:val="24"/>
        </w:rPr>
        <w:t xml:space="preserve"> </w:t>
      </w:r>
      <w:r w:rsidR="000F0FF3">
        <w:rPr>
          <w:rFonts w:ascii="Times New Roman" w:hAnsi="Times New Roman"/>
          <w:sz w:val="24"/>
          <w:szCs w:val="24"/>
        </w:rPr>
        <w:t xml:space="preserve">radionuclides </w:t>
      </w:r>
      <w:r w:rsidR="004043AE" w:rsidRPr="00C10D10">
        <w:rPr>
          <w:rFonts w:ascii="Times New Roman" w:hAnsi="Times New Roman"/>
          <w:sz w:val="24"/>
          <w:szCs w:val="24"/>
        </w:rPr>
        <w:t>that</w:t>
      </w:r>
      <w:r w:rsidR="00E62BAE">
        <w:rPr>
          <w:rFonts w:ascii="Times New Roman" w:hAnsi="Times New Roman"/>
          <w:sz w:val="24"/>
          <w:szCs w:val="24"/>
        </w:rPr>
        <w:t xml:space="preserve"> may</w:t>
      </w:r>
      <w:r w:rsidR="0040333E">
        <w:rPr>
          <w:rFonts w:ascii="Times New Roman" w:hAnsi="Times New Roman"/>
          <w:sz w:val="24"/>
          <w:szCs w:val="24"/>
        </w:rPr>
        <w:t xml:space="preserve"> expose th</w:t>
      </w:r>
      <w:r w:rsidR="00EC5108">
        <w:rPr>
          <w:rFonts w:ascii="Times New Roman" w:hAnsi="Times New Roman"/>
          <w:sz w:val="24"/>
          <w:szCs w:val="24"/>
        </w:rPr>
        <w:t>e public and the environment to</w:t>
      </w:r>
      <w:r w:rsidR="00BA4C9D">
        <w:rPr>
          <w:rFonts w:ascii="Times New Roman" w:hAnsi="Times New Roman"/>
          <w:sz w:val="24"/>
          <w:szCs w:val="24"/>
        </w:rPr>
        <w:t xml:space="preserve"> low level</w:t>
      </w:r>
      <w:r w:rsidR="0040333E">
        <w:rPr>
          <w:rFonts w:ascii="Times New Roman" w:hAnsi="Times New Roman"/>
          <w:sz w:val="24"/>
          <w:szCs w:val="24"/>
        </w:rPr>
        <w:t>s of radiation</w:t>
      </w:r>
      <w:r w:rsidRPr="00C10D10">
        <w:rPr>
          <w:rFonts w:ascii="Times New Roman" w:hAnsi="Times New Roman"/>
          <w:sz w:val="24"/>
          <w:szCs w:val="24"/>
        </w:rPr>
        <w:t xml:space="preserve">. </w:t>
      </w:r>
      <w:r w:rsidR="00BA4C9D">
        <w:rPr>
          <w:rFonts w:ascii="Times New Roman" w:hAnsi="Times New Roman"/>
          <w:sz w:val="24"/>
          <w:szCs w:val="24"/>
        </w:rPr>
        <w:t>In many cases</w:t>
      </w:r>
      <w:r w:rsidR="00D63A55">
        <w:rPr>
          <w:rFonts w:ascii="Times New Roman" w:hAnsi="Times New Roman"/>
          <w:sz w:val="24"/>
          <w:szCs w:val="24"/>
        </w:rPr>
        <w:t>,</w:t>
      </w:r>
      <w:r w:rsidR="00BA4C9D">
        <w:rPr>
          <w:rFonts w:ascii="Times New Roman" w:hAnsi="Times New Roman"/>
          <w:sz w:val="24"/>
          <w:szCs w:val="24"/>
        </w:rPr>
        <w:t xml:space="preserve"> the </w:t>
      </w:r>
      <w:r w:rsidR="00B12048">
        <w:rPr>
          <w:rFonts w:ascii="Times New Roman" w:hAnsi="Times New Roman"/>
          <w:sz w:val="24"/>
          <w:szCs w:val="24"/>
        </w:rPr>
        <w:t xml:space="preserve">complete </w:t>
      </w:r>
      <w:r w:rsidR="00BA4C9D">
        <w:rPr>
          <w:rFonts w:ascii="Times New Roman" w:hAnsi="Times New Roman"/>
          <w:sz w:val="24"/>
          <w:szCs w:val="24"/>
        </w:rPr>
        <w:t xml:space="preserve">prevention of </w:t>
      </w:r>
      <w:r w:rsidR="00FC6F58">
        <w:rPr>
          <w:rFonts w:ascii="Times New Roman" w:hAnsi="Times New Roman"/>
          <w:sz w:val="24"/>
          <w:szCs w:val="24"/>
        </w:rPr>
        <w:t xml:space="preserve">the </w:t>
      </w:r>
      <w:r w:rsidR="00BA4C9D">
        <w:rPr>
          <w:rFonts w:ascii="Times New Roman" w:hAnsi="Times New Roman"/>
          <w:sz w:val="24"/>
          <w:szCs w:val="24"/>
        </w:rPr>
        <w:t xml:space="preserve">release </w:t>
      </w:r>
      <w:r w:rsidR="00FC6F58">
        <w:rPr>
          <w:rFonts w:ascii="Times New Roman" w:hAnsi="Times New Roman"/>
          <w:sz w:val="24"/>
          <w:szCs w:val="24"/>
        </w:rPr>
        <w:t xml:space="preserve">of </w:t>
      </w:r>
      <w:r w:rsidR="00B31AAD">
        <w:rPr>
          <w:rFonts w:ascii="Times New Roman" w:hAnsi="Times New Roman"/>
          <w:sz w:val="24"/>
          <w:szCs w:val="24"/>
        </w:rPr>
        <w:t xml:space="preserve">such </w:t>
      </w:r>
      <w:r w:rsidR="00FC6F58">
        <w:rPr>
          <w:rFonts w:ascii="Times New Roman" w:hAnsi="Times New Roman"/>
          <w:sz w:val="24"/>
          <w:szCs w:val="24"/>
        </w:rPr>
        <w:t>effluents is</w:t>
      </w:r>
      <w:r w:rsidR="00BA4C9D">
        <w:rPr>
          <w:rFonts w:ascii="Times New Roman" w:hAnsi="Times New Roman"/>
          <w:sz w:val="24"/>
          <w:szCs w:val="24"/>
        </w:rPr>
        <w:t xml:space="preserve"> technically difficult or extremely costly</w:t>
      </w:r>
      <w:r w:rsidR="00FC6F58">
        <w:rPr>
          <w:rFonts w:ascii="Times New Roman" w:hAnsi="Times New Roman"/>
          <w:sz w:val="24"/>
          <w:szCs w:val="24"/>
        </w:rPr>
        <w:t xml:space="preserve"> to achieve</w:t>
      </w:r>
      <w:r w:rsidR="00BA4C9D">
        <w:rPr>
          <w:rFonts w:ascii="Times New Roman" w:hAnsi="Times New Roman"/>
          <w:sz w:val="24"/>
          <w:szCs w:val="24"/>
        </w:rPr>
        <w:t>.</w:t>
      </w:r>
      <w:r w:rsidR="003648D8" w:rsidRPr="00C10D10">
        <w:rPr>
          <w:rFonts w:ascii="Times New Roman" w:hAnsi="Times New Roman"/>
          <w:sz w:val="24"/>
          <w:szCs w:val="24"/>
        </w:rPr>
        <w:t xml:space="preserve"> </w:t>
      </w:r>
      <w:r w:rsidR="00071CA6">
        <w:rPr>
          <w:rFonts w:ascii="Times New Roman" w:hAnsi="Times New Roman"/>
          <w:sz w:val="24"/>
          <w:szCs w:val="24"/>
        </w:rPr>
        <w:t>In all cases, the resulting doses to any member of the public must be below established limits.</w:t>
      </w:r>
    </w:p>
    <w:p w:rsidR="001B23B5" w:rsidRPr="00C10D10" w:rsidRDefault="00417BFF" w:rsidP="002704B6">
      <w:pPr>
        <w:numPr>
          <w:ilvl w:val="0"/>
          <w:numId w:val="2"/>
        </w:numPr>
        <w:autoSpaceDE w:val="0"/>
        <w:autoSpaceDN w:val="0"/>
        <w:adjustRightInd w:val="0"/>
        <w:spacing w:before="120" w:line="360" w:lineRule="auto"/>
        <w:jc w:val="both"/>
        <w:rPr>
          <w:rFonts w:ascii="Times New Roman" w:hAnsi="Times New Roman"/>
          <w:sz w:val="24"/>
          <w:szCs w:val="24"/>
        </w:rPr>
      </w:pPr>
      <w:r>
        <w:rPr>
          <w:rFonts w:ascii="Times New Roman" w:hAnsi="Times New Roman"/>
          <w:sz w:val="24"/>
          <w:szCs w:val="24"/>
        </w:rPr>
        <w:t>In accordance with the</w:t>
      </w:r>
      <w:r w:rsidRPr="00C10D10">
        <w:rPr>
          <w:rFonts w:ascii="Times New Roman" w:hAnsi="Times New Roman"/>
          <w:sz w:val="24"/>
          <w:szCs w:val="24"/>
        </w:rPr>
        <w:t xml:space="preserve"> </w:t>
      </w:r>
      <w:r w:rsidR="005A3563" w:rsidRPr="00C10D10">
        <w:rPr>
          <w:rFonts w:ascii="Times New Roman" w:hAnsi="Times New Roman"/>
          <w:sz w:val="24"/>
          <w:szCs w:val="24"/>
        </w:rPr>
        <w:t>requirements for</w:t>
      </w:r>
      <w:r w:rsidR="001E209C" w:rsidRPr="00C10D10">
        <w:rPr>
          <w:rFonts w:ascii="Times New Roman" w:hAnsi="Times New Roman"/>
          <w:sz w:val="24"/>
          <w:szCs w:val="24"/>
        </w:rPr>
        <w:t xml:space="preserve"> </w:t>
      </w:r>
      <w:r w:rsidR="003648D8" w:rsidRPr="00C10D10">
        <w:rPr>
          <w:rFonts w:ascii="Times New Roman" w:hAnsi="Times New Roman"/>
          <w:sz w:val="24"/>
          <w:szCs w:val="24"/>
        </w:rPr>
        <w:t xml:space="preserve">optimization of radiation protection </w:t>
      </w:r>
      <w:r>
        <w:rPr>
          <w:rFonts w:ascii="Times New Roman" w:hAnsi="Times New Roman"/>
          <w:sz w:val="24"/>
          <w:szCs w:val="24"/>
        </w:rPr>
        <w:t>it can be</w:t>
      </w:r>
      <w:r w:rsidR="003648D8" w:rsidRPr="00C10D10">
        <w:rPr>
          <w:rFonts w:ascii="Times New Roman" w:hAnsi="Times New Roman"/>
          <w:sz w:val="24"/>
          <w:szCs w:val="24"/>
        </w:rPr>
        <w:t xml:space="preserve"> conclu</w:t>
      </w:r>
      <w:r>
        <w:rPr>
          <w:rFonts w:ascii="Times New Roman" w:hAnsi="Times New Roman"/>
          <w:sz w:val="24"/>
          <w:szCs w:val="24"/>
        </w:rPr>
        <w:t>ded</w:t>
      </w:r>
      <w:r w:rsidR="003648D8" w:rsidRPr="00C10D10">
        <w:rPr>
          <w:rFonts w:ascii="Times New Roman" w:hAnsi="Times New Roman"/>
          <w:sz w:val="24"/>
          <w:szCs w:val="24"/>
        </w:rPr>
        <w:t xml:space="preserve"> that, </w:t>
      </w:r>
      <w:r w:rsidR="004043AE" w:rsidRPr="00C10D10">
        <w:rPr>
          <w:rFonts w:ascii="Times New Roman" w:hAnsi="Times New Roman"/>
          <w:sz w:val="24"/>
          <w:szCs w:val="24"/>
        </w:rPr>
        <w:t xml:space="preserve">if </w:t>
      </w:r>
      <w:r w:rsidR="001E209C" w:rsidRPr="00C10D10">
        <w:rPr>
          <w:rFonts w:ascii="Times New Roman" w:hAnsi="Times New Roman"/>
          <w:sz w:val="24"/>
          <w:szCs w:val="24"/>
        </w:rPr>
        <w:t xml:space="preserve">releases </w:t>
      </w:r>
      <w:r>
        <w:rPr>
          <w:rFonts w:ascii="Times New Roman" w:hAnsi="Times New Roman"/>
          <w:sz w:val="24"/>
          <w:szCs w:val="24"/>
        </w:rPr>
        <w:t xml:space="preserve">are </w:t>
      </w:r>
      <w:r w:rsidR="00F70F2D">
        <w:rPr>
          <w:rFonts w:ascii="Times New Roman" w:hAnsi="Times New Roman"/>
          <w:sz w:val="24"/>
          <w:szCs w:val="24"/>
        </w:rPr>
        <w:t xml:space="preserve">controlled </w:t>
      </w:r>
      <w:r w:rsidR="00B31AAD">
        <w:rPr>
          <w:rFonts w:ascii="Times New Roman" w:hAnsi="Times New Roman"/>
          <w:sz w:val="24"/>
          <w:szCs w:val="24"/>
        </w:rPr>
        <w:t>such</w:t>
      </w:r>
      <w:r w:rsidR="00F70F2D">
        <w:rPr>
          <w:rFonts w:ascii="Times New Roman" w:hAnsi="Times New Roman"/>
          <w:sz w:val="24"/>
          <w:szCs w:val="24"/>
        </w:rPr>
        <w:t xml:space="preserve"> that </w:t>
      </w:r>
      <w:r w:rsidR="00E67A82">
        <w:rPr>
          <w:rFonts w:ascii="Times New Roman" w:hAnsi="Times New Roman"/>
          <w:sz w:val="24"/>
          <w:szCs w:val="24"/>
        </w:rPr>
        <w:t>“</w:t>
      </w:r>
      <w:r w:rsidR="00F70F2D">
        <w:rPr>
          <w:rFonts w:ascii="Times New Roman" w:hAnsi="Times New Roman"/>
          <w:sz w:val="24"/>
          <w:szCs w:val="24"/>
        </w:rPr>
        <w:t xml:space="preserve">the magnitude of individual doses, the number of individuals (workers and members of the public) subject to exposure and the likelihood of exposure being </w:t>
      </w:r>
      <w:r w:rsidR="001E209C" w:rsidRPr="00C10D10">
        <w:rPr>
          <w:rFonts w:ascii="Times New Roman" w:hAnsi="Times New Roman"/>
          <w:sz w:val="24"/>
          <w:szCs w:val="24"/>
        </w:rPr>
        <w:t xml:space="preserve">as low as </w:t>
      </w:r>
      <w:r w:rsidR="005B2740">
        <w:rPr>
          <w:rFonts w:ascii="Times New Roman" w:hAnsi="Times New Roman"/>
          <w:sz w:val="24"/>
          <w:szCs w:val="24"/>
        </w:rPr>
        <w:t xml:space="preserve">reasonably </w:t>
      </w:r>
      <w:r w:rsidR="001E209C" w:rsidRPr="00C10D10">
        <w:rPr>
          <w:rFonts w:ascii="Times New Roman" w:hAnsi="Times New Roman"/>
          <w:sz w:val="24"/>
          <w:szCs w:val="24"/>
        </w:rPr>
        <w:t xml:space="preserve">achievable, </w:t>
      </w:r>
      <w:r w:rsidR="00F70F2D">
        <w:rPr>
          <w:rFonts w:ascii="Times New Roman" w:hAnsi="Times New Roman"/>
          <w:sz w:val="24"/>
          <w:szCs w:val="24"/>
        </w:rPr>
        <w:t>economic and social factors being taken into account</w:t>
      </w:r>
      <w:r w:rsidR="005B2740">
        <w:rPr>
          <w:rFonts w:ascii="Times New Roman" w:hAnsi="Times New Roman"/>
          <w:sz w:val="24"/>
          <w:szCs w:val="24"/>
        </w:rPr>
        <w:t xml:space="preserve"> (ALARA)</w:t>
      </w:r>
      <w:r w:rsidR="00E67A82">
        <w:rPr>
          <w:rFonts w:ascii="Times New Roman" w:hAnsi="Times New Roman"/>
          <w:sz w:val="24"/>
          <w:szCs w:val="24"/>
        </w:rPr>
        <w:t>” [</w:t>
      </w:r>
      <w:r>
        <w:rPr>
          <w:rFonts w:ascii="Times New Roman" w:hAnsi="Times New Roman"/>
          <w:sz w:val="24"/>
          <w:szCs w:val="24"/>
        </w:rPr>
        <w:t>3</w:t>
      </w:r>
      <w:r w:rsidR="00E67A82">
        <w:rPr>
          <w:rFonts w:ascii="Times New Roman" w:hAnsi="Times New Roman"/>
          <w:sz w:val="24"/>
          <w:szCs w:val="24"/>
        </w:rPr>
        <w:t>]</w:t>
      </w:r>
      <w:r w:rsidR="004A7A38">
        <w:rPr>
          <w:rFonts w:ascii="Times New Roman" w:hAnsi="Times New Roman"/>
          <w:sz w:val="24"/>
          <w:szCs w:val="24"/>
        </w:rPr>
        <w:t xml:space="preserve">, </w:t>
      </w:r>
      <w:r>
        <w:rPr>
          <w:rFonts w:ascii="Times New Roman" w:hAnsi="Times New Roman"/>
          <w:sz w:val="24"/>
          <w:szCs w:val="24"/>
        </w:rPr>
        <w:t xml:space="preserve">then </w:t>
      </w:r>
      <w:r w:rsidR="003648D8" w:rsidRPr="00C10D10">
        <w:rPr>
          <w:rFonts w:ascii="Times New Roman" w:hAnsi="Times New Roman"/>
          <w:sz w:val="24"/>
          <w:szCs w:val="24"/>
        </w:rPr>
        <w:t xml:space="preserve">such releases </w:t>
      </w:r>
      <w:r>
        <w:rPr>
          <w:rFonts w:ascii="Times New Roman" w:hAnsi="Times New Roman"/>
          <w:sz w:val="24"/>
          <w:szCs w:val="24"/>
        </w:rPr>
        <w:t xml:space="preserve">may be </w:t>
      </w:r>
      <w:r w:rsidR="0051146A">
        <w:rPr>
          <w:rFonts w:ascii="Times New Roman" w:hAnsi="Times New Roman"/>
          <w:sz w:val="24"/>
          <w:szCs w:val="24"/>
        </w:rPr>
        <w:t xml:space="preserve">acceptable </w:t>
      </w:r>
      <w:r w:rsidR="00AF74FA">
        <w:rPr>
          <w:rFonts w:ascii="Times New Roman" w:hAnsi="Times New Roman"/>
          <w:sz w:val="24"/>
          <w:szCs w:val="24"/>
        </w:rPr>
        <w:t xml:space="preserve">with regard to </w:t>
      </w:r>
      <w:r w:rsidR="0051146A">
        <w:rPr>
          <w:rFonts w:ascii="Times New Roman" w:hAnsi="Times New Roman"/>
          <w:sz w:val="24"/>
          <w:szCs w:val="24"/>
        </w:rPr>
        <w:t>protection and safety</w:t>
      </w:r>
      <w:r w:rsidR="004043AE" w:rsidRPr="00C10D10">
        <w:rPr>
          <w:rFonts w:ascii="Times New Roman" w:hAnsi="Times New Roman"/>
          <w:sz w:val="24"/>
          <w:szCs w:val="24"/>
        </w:rPr>
        <w:t xml:space="preserve">, considering the </w:t>
      </w:r>
      <w:r w:rsidR="00477183" w:rsidRPr="00C10D10">
        <w:rPr>
          <w:rFonts w:ascii="Times New Roman" w:hAnsi="Times New Roman"/>
          <w:sz w:val="24"/>
          <w:szCs w:val="24"/>
        </w:rPr>
        <w:t xml:space="preserve">very </w:t>
      </w:r>
      <w:r w:rsidR="004043AE" w:rsidRPr="00C10D10">
        <w:rPr>
          <w:rFonts w:ascii="Times New Roman" w:hAnsi="Times New Roman"/>
          <w:sz w:val="24"/>
          <w:szCs w:val="24"/>
        </w:rPr>
        <w:t xml:space="preserve">low </w:t>
      </w:r>
      <w:r w:rsidR="001E209C" w:rsidRPr="00C10D10">
        <w:rPr>
          <w:rFonts w:ascii="Times New Roman" w:hAnsi="Times New Roman"/>
          <w:sz w:val="24"/>
          <w:szCs w:val="24"/>
        </w:rPr>
        <w:t>radiological significance</w:t>
      </w:r>
      <w:r w:rsidR="004043AE" w:rsidRPr="00C10D10">
        <w:rPr>
          <w:rFonts w:ascii="Times New Roman" w:hAnsi="Times New Roman"/>
          <w:sz w:val="24"/>
          <w:szCs w:val="24"/>
        </w:rPr>
        <w:t xml:space="preserve"> </w:t>
      </w:r>
      <w:r>
        <w:rPr>
          <w:rFonts w:ascii="Times New Roman" w:hAnsi="Times New Roman"/>
          <w:sz w:val="24"/>
          <w:szCs w:val="24"/>
        </w:rPr>
        <w:t xml:space="preserve">of the releases </w:t>
      </w:r>
      <w:r w:rsidR="004043AE" w:rsidRPr="00C10D10">
        <w:rPr>
          <w:rFonts w:ascii="Times New Roman" w:hAnsi="Times New Roman"/>
          <w:sz w:val="24"/>
          <w:szCs w:val="24"/>
        </w:rPr>
        <w:t>and the</w:t>
      </w:r>
      <w:r>
        <w:rPr>
          <w:rFonts w:ascii="Times New Roman" w:hAnsi="Times New Roman"/>
          <w:sz w:val="24"/>
          <w:szCs w:val="24"/>
        </w:rPr>
        <w:t xml:space="preserve"> possibly</w:t>
      </w:r>
      <w:r w:rsidR="004043AE" w:rsidRPr="00C10D10">
        <w:rPr>
          <w:rFonts w:ascii="Times New Roman" w:hAnsi="Times New Roman"/>
          <w:sz w:val="24"/>
          <w:szCs w:val="24"/>
        </w:rPr>
        <w:t xml:space="preserve"> high </w:t>
      </w:r>
      <w:r w:rsidR="001E209C" w:rsidRPr="00C10D10">
        <w:rPr>
          <w:rFonts w:ascii="Times New Roman" w:hAnsi="Times New Roman"/>
          <w:sz w:val="24"/>
          <w:szCs w:val="24"/>
        </w:rPr>
        <w:t xml:space="preserve"> </w:t>
      </w:r>
      <w:r w:rsidR="004043AE" w:rsidRPr="00C10D10">
        <w:rPr>
          <w:rFonts w:ascii="Times New Roman" w:hAnsi="Times New Roman"/>
          <w:sz w:val="24"/>
          <w:szCs w:val="24"/>
        </w:rPr>
        <w:t xml:space="preserve">costs </w:t>
      </w:r>
      <w:r w:rsidR="00B31AAD">
        <w:rPr>
          <w:rFonts w:ascii="Times New Roman" w:hAnsi="Times New Roman"/>
          <w:sz w:val="24"/>
          <w:szCs w:val="24"/>
        </w:rPr>
        <w:t>that</w:t>
      </w:r>
      <w:r w:rsidR="00B31AAD" w:rsidRPr="00C10D10">
        <w:rPr>
          <w:rFonts w:ascii="Times New Roman" w:hAnsi="Times New Roman"/>
          <w:sz w:val="24"/>
          <w:szCs w:val="24"/>
        </w:rPr>
        <w:t xml:space="preserve"> </w:t>
      </w:r>
      <w:r w:rsidR="004043AE" w:rsidRPr="00C10D10">
        <w:rPr>
          <w:rFonts w:ascii="Times New Roman" w:hAnsi="Times New Roman"/>
          <w:sz w:val="24"/>
          <w:szCs w:val="24"/>
        </w:rPr>
        <w:t xml:space="preserve">may be </w:t>
      </w:r>
      <w:r>
        <w:rPr>
          <w:rFonts w:ascii="Times New Roman" w:hAnsi="Times New Roman"/>
          <w:sz w:val="24"/>
          <w:szCs w:val="24"/>
        </w:rPr>
        <w:t>associated with reducing them further</w:t>
      </w:r>
      <w:r w:rsidR="001B23B5" w:rsidRPr="00C10D10">
        <w:rPr>
          <w:rFonts w:ascii="Times New Roman" w:hAnsi="Times New Roman"/>
          <w:sz w:val="24"/>
          <w:szCs w:val="24"/>
        </w:rPr>
        <w:t>.</w:t>
      </w:r>
      <w:r w:rsidR="00594E5C" w:rsidRPr="00C10D10">
        <w:rPr>
          <w:rFonts w:ascii="Times New Roman" w:hAnsi="Times New Roman"/>
          <w:sz w:val="24"/>
          <w:szCs w:val="24"/>
        </w:rPr>
        <w:t xml:space="preserve"> </w:t>
      </w:r>
    </w:p>
    <w:p w:rsidR="00585CCB" w:rsidRPr="00C10D10" w:rsidRDefault="0051146A" w:rsidP="00585CCB">
      <w:pPr>
        <w:numPr>
          <w:ilvl w:val="0"/>
          <w:numId w:val="2"/>
        </w:numPr>
        <w:autoSpaceDE w:val="0"/>
        <w:autoSpaceDN w:val="0"/>
        <w:adjustRightInd w:val="0"/>
        <w:spacing w:before="120" w:line="360" w:lineRule="auto"/>
        <w:jc w:val="both"/>
        <w:rPr>
          <w:rFonts w:ascii="Times New Roman" w:hAnsi="Times New Roman"/>
          <w:sz w:val="24"/>
          <w:szCs w:val="24"/>
        </w:rPr>
      </w:pPr>
      <w:r>
        <w:rPr>
          <w:rFonts w:ascii="Times New Roman" w:hAnsi="Times New Roman"/>
          <w:sz w:val="24"/>
          <w:szCs w:val="24"/>
        </w:rPr>
        <w:t xml:space="preserve">Facilities and activities </w:t>
      </w:r>
      <w:r w:rsidR="00AF74FA">
        <w:rPr>
          <w:rFonts w:ascii="Times New Roman" w:hAnsi="Times New Roman"/>
          <w:sz w:val="24"/>
          <w:szCs w:val="24"/>
        </w:rPr>
        <w:t xml:space="preserve">that </w:t>
      </w:r>
      <w:r w:rsidR="0083388D">
        <w:rPr>
          <w:rFonts w:ascii="Times New Roman" w:hAnsi="Times New Roman"/>
          <w:sz w:val="24"/>
          <w:szCs w:val="24"/>
        </w:rPr>
        <w:t>generate</w:t>
      </w:r>
      <w:r>
        <w:rPr>
          <w:rFonts w:ascii="Times New Roman" w:hAnsi="Times New Roman"/>
          <w:sz w:val="24"/>
          <w:szCs w:val="24"/>
        </w:rPr>
        <w:t xml:space="preserve"> controll</w:t>
      </w:r>
      <w:r w:rsidR="0083388D">
        <w:rPr>
          <w:rFonts w:ascii="Times New Roman" w:hAnsi="Times New Roman"/>
          <w:sz w:val="24"/>
          <w:szCs w:val="24"/>
        </w:rPr>
        <w:t>able</w:t>
      </w:r>
      <w:r>
        <w:rPr>
          <w:rFonts w:ascii="Times New Roman" w:hAnsi="Times New Roman"/>
          <w:sz w:val="24"/>
          <w:szCs w:val="24"/>
        </w:rPr>
        <w:t xml:space="preserve"> radioactive releases </w:t>
      </w:r>
      <w:r w:rsidR="00AF74FA">
        <w:rPr>
          <w:rFonts w:ascii="Times New Roman" w:hAnsi="Times New Roman"/>
          <w:sz w:val="24"/>
          <w:szCs w:val="24"/>
        </w:rPr>
        <w:t>are</w:t>
      </w:r>
      <w:r>
        <w:rPr>
          <w:rFonts w:ascii="Times New Roman" w:hAnsi="Times New Roman"/>
          <w:sz w:val="24"/>
          <w:szCs w:val="24"/>
        </w:rPr>
        <w:t xml:space="preserve"> regulated in different ways through a graded approach. </w:t>
      </w:r>
      <w:r w:rsidR="00041779">
        <w:rPr>
          <w:rFonts w:ascii="Times New Roman" w:hAnsi="Times New Roman"/>
          <w:sz w:val="24"/>
          <w:szCs w:val="24"/>
        </w:rPr>
        <w:t xml:space="preserve">In many cases, </w:t>
      </w:r>
      <w:r w:rsidR="00B21067">
        <w:rPr>
          <w:rFonts w:ascii="Times New Roman" w:hAnsi="Times New Roman"/>
          <w:sz w:val="24"/>
          <w:szCs w:val="24"/>
        </w:rPr>
        <w:t xml:space="preserve">the regulation of </w:t>
      </w:r>
      <w:r w:rsidR="006F329E">
        <w:rPr>
          <w:rFonts w:ascii="Times New Roman" w:hAnsi="Times New Roman"/>
          <w:sz w:val="24"/>
          <w:szCs w:val="24"/>
        </w:rPr>
        <w:t xml:space="preserve">facilities and activities </w:t>
      </w:r>
      <w:r w:rsidR="00AF74FA">
        <w:rPr>
          <w:rFonts w:ascii="Times New Roman" w:hAnsi="Times New Roman"/>
          <w:sz w:val="24"/>
          <w:szCs w:val="24"/>
        </w:rPr>
        <w:t>generating</w:t>
      </w:r>
      <w:r w:rsidR="006F329E">
        <w:rPr>
          <w:rFonts w:ascii="Times New Roman" w:hAnsi="Times New Roman"/>
          <w:sz w:val="24"/>
          <w:szCs w:val="24"/>
        </w:rPr>
        <w:t xml:space="preserve"> </w:t>
      </w:r>
      <w:r w:rsidR="00B21067">
        <w:rPr>
          <w:rFonts w:ascii="Times New Roman" w:hAnsi="Times New Roman"/>
          <w:sz w:val="24"/>
          <w:szCs w:val="24"/>
        </w:rPr>
        <w:t xml:space="preserve">radioactive </w:t>
      </w:r>
      <w:r>
        <w:rPr>
          <w:rFonts w:ascii="Times New Roman" w:hAnsi="Times New Roman"/>
          <w:sz w:val="24"/>
          <w:szCs w:val="24"/>
        </w:rPr>
        <w:t xml:space="preserve">releases </w:t>
      </w:r>
      <w:r w:rsidR="00B31AAD">
        <w:rPr>
          <w:rFonts w:ascii="Times New Roman" w:hAnsi="Times New Roman"/>
          <w:sz w:val="24"/>
          <w:szCs w:val="24"/>
        </w:rPr>
        <w:t xml:space="preserve">in normal operation  </w:t>
      </w:r>
      <w:r w:rsidR="00041779">
        <w:rPr>
          <w:rFonts w:ascii="Times New Roman" w:hAnsi="Times New Roman"/>
          <w:sz w:val="24"/>
          <w:szCs w:val="24"/>
        </w:rPr>
        <w:t xml:space="preserve">that result in </w:t>
      </w:r>
      <w:r w:rsidR="00AF74FA">
        <w:rPr>
          <w:rFonts w:ascii="Times New Roman" w:hAnsi="Times New Roman"/>
          <w:sz w:val="24"/>
          <w:szCs w:val="24"/>
        </w:rPr>
        <w:t>very low</w:t>
      </w:r>
      <w:r w:rsidR="00041779">
        <w:rPr>
          <w:rFonts w:ascii="Times New Roman" w:hAnsi="Times New Roman"/>
          <w:sz w:val="24"/>
          <w:szCs w:val="24"/>
        </w:rPr>
        <w:t xml:space="preserve"> doses to the public </w:t>
      </w:r>
      <w:r w:rsidR="006F329E">
        <w:rPr>
          <w:rFonts w:ascii="Times New Roman" w:hAnsi="Times New Roman"/>
          <w:sz w:val="24"/>
          <w:szCs w:val="24"/>
        </w:rPr>
        <w:t xml:space="preserve">and </w:t>
      </w:r>
      <w:r w:rsidR="00AF74FA">
        <w:rPr>
          <w:rFonts w:ascii="Times New Roman" w:hAnsi="Times New Roman"/>
          <w:sz w:val="24"/>
          <w:szCs w:val="24"/>
        </w:rPr>
        <w:t>for which there</w:t>
      </w:r>
      <w:r w:rsidR="006F329E">
        <w:rPr>
          <w:rFonts w:ascii="Times New Roman" w:hAnsi="Times New Roman"/>
          <w:sz w:val="24"/>
          <w:szCs w:val="24"/>
        </w:rPr>
        <w:t xml:space="preserve"> </w:t>
      </w:r>
      <w:r w:rsidR="00B21067">
        <w:rPr>
          <w:rFonts w:ascii="Times New Roman" w:hAnsi="Times New Roman"/>
          <w:sz w:val="24"/>
          <w:szCs w:val="24"/>
        </w:rPr>
        <w:t xml:space="preserve">is </w:t>
      </w:r>
      <w:r w:rsidR="006F329E">
        <w:rPr>
          <w:rFonts w:ascii="Times New Roman" w:hAnsi="Times New Roman"/>
          <w:sz w:val="24"/>
          <w:szCs w:val="24"/>
        </w:rPr>
        <w:t xml:space="preserve">no risk of </w:t>
      </w:r>
      <w:r w:rsidR="00AF74FA">
        <w:rPr>
          <w:rFonts w:ascii="Times New Roman" w:hAnsi="Times New Roman"/>
          <w:sz w:val="24"/>
          <w:szCs w:val="24"/>
        </w:rPr>
        <w:t xml:space="preserve">an </w:t>
      </w:r>
      <w:r w:rsidR="006F329E">
        <w:rPr>
          <w:rFonts w:ascii="Times New Roman" w:hAnsi="Times New Roman"/>
          <w:sz w:val="24"/>
          <w:szCs w:val="24"/>
        </w:rPr>
        <w:t xml:space="preserve">unexpected </w:t>
      </w:r>
      <w:r w:rsidR="00DF59C2">
        <w:rPr>
          <w:rFonts w:ascii="Times New Roman" w:hAnsi="Times New Roman"/>
          <w:sz w:val="24"/>
          <w:szCs w:val="24"/>
        </w:rPr>
        <w:t xml:space="preserve">accidental </w:t>
      </w:r>
      <w:r w:rsidR="006F329E">
        <w:rPr>
          <w:rFonts w:ascii="Times New Roman" w:hAnsi="Times New Roman"/>
          <w:sz w:val="24"/>
          <w:szCs w:val="24"/>
        </w:rPr>
        <w:t xml:space="preserve">release </w:t>
      </w:r>
      <w:r w:rsidR="00041779">
        <w:rPr>
          <w:rFonts w:ascii="Times New Roman" w:hAnsi="Times New Roman"/>
          <w:sz w:val="24"/>
          <w:szCs w:val="24"/>
        </w:rPr>
        <w:t xml:space="preserve">can be managed through </w:t>
      </w:r>
      <w:r w:rsidR="00FC6F58">
        <w:rPr>
          <w:rFonts w:ascii="Times New Roman" w:hAnsi="Times New Roman"/>
          <w:sz w:val="24"/>
          <w:szCs w:val="24"/>
        </w:rPr>
        <w:t xml:space="preserve">the application of </w:t>
      </w:r>
      <w:r w:rsidR="00041779">
        <w:rPr>
          <w:rFonts w:ascii="Times New Roman" w:hAnsi="Times New Roman"/>
          <w:sz w:val="24"/>
          <w:szCs w:val="24"/>
        </w:rPr>
        <w:t xml:space="preserve">the concept of </w:t>
      </w:r>
      <w:r w:rsidR="00041779" w:rsidRPr="000A36A3">
        <w:rPr>
          <w:rFonts w:ascii="Times New Roman" w:hAnsi="Times New Roman"/>
          <w:sz w:val="24"/>
          <w:szCs w:val="24"/>
        </w:rPr>
        <w:t>exemption</w:t>
      </w:r>
      <w:r>
        <w:rPr>
          <w:rFonts w:ascii="Times New Roman" w:hAnsi="Times New Roman"/>
          <w:sz w:val="24"/>
          <w:szCs w:val="24"/>
        </w:rPr>
        <w:t xml:space="preserve"> </w:t>
      </w:r>
      <w:r w:rsidR="006F329E">
        <w:rPr>
          <w:rFonts w:ascii="Times New Roman" w:hAnsi="Times New Roman"/>
          <w:sz w:val="24"/>
          <w:szCs w:val="24"/>
        </w:rPr>
        <w:t xml:space="preserve"> or by </w:t>
      </w:r>
      <w:r w:rsidR="00B21067">
        <w:rPr>
          <w:rFonts w:ascii="Times New Roman" w:hAnsi="Times New Roman"/>
          <w:sz w:val="24"/>
          <w:szCs w:val="24"/>
        </w:rPr>
        <w:t xml:space="preserve">means of </w:t>
      </w:r>
      <w:r w:rsidR="006F329E">
        <w:rPr>
          <w:rFonts w:ascii="Times New Roman" w:hAnsi="Times New Roman"/>
          <w:sz w:val="24"/>
          <w:szCs w:val="24"/>
        </w:rPr>
        <w:t xml:space="preserve">notification </w:t>
      </w:r>
      <w:r w:rsidR="00417BFF">
        <w:rPr>
          <w:rFonts w:ascii="Times New Roman" w:hAnsi="Times New Roman"/>
          <w:sz w:val="24"/>
          <w:szCs w:val="24"/>
        </w:rPr>
        <w:t>[3]</w:t>
      </w:r>
      <w:r w:rsidR="00041779" w:rsidRPr="000A36A3">
        <w:rPr>
          <w:rFonts w:ascii="Times New Roman" w:hAnsi="Times New Roman"/>
          <w:sz w:val="24"/>
          <w:szCs w:val="24"/>
        </w:rPr>
        <w:t>. However</w:t>
      </w:r>
      <w:r w:rsidR="00041779">
        <w:rPr>
          <w:rFonts w:ascii="Times New Roman" w:hAnsi="Times New Roman"/>
          <w:sz w:val="24"/>
          <w:szCs w:val="24"/>
        </w:rPr>
        <w:t xml:space="preserve">, some </w:t>
      </w:r>
      <w:r w:rsidR="0083388D">
        <w:rPr>
          <w:rFonts w:ascii="Times New Roman" w:hAnsi="Times New Roman"/>
          <w:sz w:val="24"/>
          <w:szCs w:val="24"/>
        </w:rPr>
        <w:t xml:space="preserve">releases </w:t>
      </w:r>
      <w:r w:rsidR="00041779">
        <w:rPr>
          <w:rFonts w:ascii="Times New Roman" w:hAnsi="Times New Roman"/>
          <w:sz w:val="24"/>
          <w:szCs w:val="24"/>
        </w:rPr>
        <w:t xml:space="preserve">may </w:t>
      </w:r>
      <w:r w:rsidR="0083388D">
        <w:rPr>
          <w:rFonts w:ascii="Times New Roman" w:hAnsi="Times New Roman"/>
          <w:sz w:val="24"/>
          <w:szCs w:val="24"/>
        </w:rPr>
        <w:t>result in doses with a</w:t>
      </w:r>
      <w:r w:rsidR="00041779">
        <w:rPr>
          <w:rFonts w:ascii="Times New Roman" w:hAnsi="Times New Roman"/>
          <w:sz w:val="24"/>
          <w:szCs w:val="24"/>
        </w:rPr>
        <w:t xml:space="preserve"> higher level of </w:t>
      </w:r>
      <w:r w:rsidR="0083388D">
        <w:rPr>
          <w:rFonts w:ascii="Times New Roman" w:hAnsi="Times New Roman"/>
          <w:sz w:val="24"/>
          <w:szCs w:val="24"/>
        </w:rPr>
        <w:t xml:space="preserve">radiological </w:t>
      </w:r>
      <w:r w:rsidR="00041779">
        <w:rPr>
          <w:rFonts w:ascii="Times New Roman" w:hAnsi="Times New Roman"/>
          <w:sz w:val="24"/>
          <w:szCs w:val="24"/>
        </w:rPr>
        <w:t>significance</w:t>
      </w:r>
      <w:r w:rsidR="00960A0C">
        <w:rPr>
          <w:rFonts w:ascii="Times New Roman" w:hAnsi="Times New Roman"/>
          <w:sz w:val="24"/>
          <w:szCs w:val="24"/>
        </w:rPr>
        <w:t xml:space="preserve"> or </w:t>
      </w:r>
      <w:r w:rsidR="0083388D">
        <w:rPr>
          <w:rFonts w:ascii="Times New Roman" w:hAnsi="Times New Roman"/>
          <w:sz w:val="24"/>
          <w:szCs w:val="24"/>
        </w:rPr>
        <w:t xml:space="preserve">the </w:t>
      </w:r>
      <w:r w:rsidR="00960A0C">
        <w:rPr>
          <w:rFonts w:ascii="Times New Roman" w:hAnsi="Times New Roman"/>
          <w:sz w:val="24"/>
          <w:szCs w:val="24"/>
        </w:rPr>
        <w:t>facilit</w:t>
      </w:r>
      <w:r w:rsidR="00B21067">
        <w:rPr>
          <w:rFonts w:ascii="Times New Roman" w:hAnsi="Times New Roman"/>
          <w:sz w:val="24"/>
          <w:szCs w:val="24"/>
        </w:rPr>
        <w:t>y</w:t>
      </w:r>
      <w:r w:rsidR="0083388D">
        <w:rPr>
          <w:rFonts w:ascii="Times New Roman" w:hAnsi="Times New Roman"/>
          <w:sz w:val="24"/>
          <w:szCs w:val="24"/>
        </w:rPr>
        <w:t xml:space="preserve"> or activit</w:t>
      </w:r>
      <w:r w:rsidR="00B21067">
        <w:rPr>
          <w:rFonts w:ascii="Times New Roman" w:hAnsi="Times New Roman"/>
          <w:sz w:val="24"/>
          <w:szCs w:val="24"/>
        </w:rPr>
        <w:t>y</w:t>
      </w:r>
      <w:r w:rsidR="00960A0C">
        <w:rPr>
          <w:rFonts w:ascii="Times New Roman" w:hAnsi="Times New Roman"/>
          <w:sz w:val="24"/>
          <w:szCs w:val="24"/>
        </w:rPr>
        <w:t xml:space="preserve"> may present potentially higher </w:t>
      </w:r>
      <w:r w:rsidR="00B86BD8">
        <w:rPr>
          <w:rFonts w:ascii="Times New Roman" w:hAnsi="Times New Roman"/>
          <w:sz w:val="24"/>
          <w:szCs w:val="24"/>
        </w:rPr>
        <w:t>radiation</w:t>
      </w:r>
      <w:r w:rsidR="00107BB5">
        <w:rPr>
          <w:rFonts w:ascii="Times New Roman" w:hAnsi="Times New Roman"/>
          <w:sz w:val="24"/>
          <w:szCs w:val="24"/>
        </w:rPr>
        <w:t xml:space="preserve"> </w:t>
      </w:r>
      <w:r w:rsidR="00960A0C">
        <w:rPr>
          <w:rFonts w:ascii="Times New Roman" w:hAnsi="Times New Roman"/>
          <w:sz w:val="24"/>
          <w:szCs w:val="24"/>
        </w:rPr>
        <w:t>risks</w:t>
      </w:r>
      <w:r w:rsidR="00041779">
        <w:rPr>
          <w:rFonts w:ascii="Times New Roman" w:hAnsi="Times New Roman"/>
          <w:sz w:val="24"/>
          <w:szCs w:val="24"/>
        </w:rPr>
        <w:t xml:space="preserve">. </w:t>
      </w:r>
      <w:r w:rsidR="00585CCB" w:rsidRPr="00C10D10">
        <w:rPr>
          <w:rFonts w:ascii="Times New Roman" w:hAnsi="Times New Roman"/>
          <w:sz w:val="24"/>
          <w:szCs w:val="24"/>
        </w:rPr>
        <w:t xml:space="preserve">In </w:t>
      </w:r>
      <w:r w:rsidR="00B21067">
        <w:rPr>
          <w:rFonts w:ascii="Times New Roman" w:hAnsi="Times New Roman"/>
          <w:sz w:val="24"/>
          <w:szCs w:val="24"/>
        </w:rPr>
        <w:t>such</w:t>
      </w:r>
      <w:r w:rsidR="00B21067" w:rsidRPr="00C10D10">
        <w:rPr>
          <w:rFonts w:ascii="Times New Roman" w:hAnsi="Times New Roman"/>
          <w:sz w:val="24"/>
          <w:szCs w:val="24"/>
        </w:rPr>
        <w:t xml:space="preserve"> </w:t>
      </w:r>
      <w:r w:rsidR="00585CCB" w:rsidRPr="00C10D10">
        <w:rPr>
          <w:rFonts w:ascii="Times New Roman" w:hAnsi="Times New Roman"/>
          <w:sz w:val="24"/>
          <w:szCs w:val="24"/>
        </w:rPr>
        <w:t xml:space="preserve">cases it </w:t>
      </w:r>
      <w:r w:rsidR="009575FD">
        <w:rPr>
          <w:rFonts w:ascii="Times New Roman" w:hAnsi="Times New Roman"/>
          <w:sz w:val="24"/>
          <w:szCs w:val="24"/>
        </w:rPr>
        <w:t>may be</w:t>
      </w:r>
      <w:r w:rsidR="00585CCB" w:rsidRPr="00C10D10">
        <w:rPr>
          <w:rFonts w:ascii="Times New Roman" w:hAnsi="Times New Roman"/>
          <w:sz w:val="24"/>
          <w:szCs w:val="24"/>
        </w:rPr>
        <w:t xml:space="preserve"> appropriate </w:t>
      </w:r>
      <w:r w:rsidR="00B21067">
        <w:rPr>
          <w:rFonts w:ascii="Times New Roman" w:hAnsi="Times New Roman"/>
          <w:sz w:val="24"/>
          <w:szCs w:val="24"/>
        </w:rPr>
        <w:t>for the regulation of the release</w:t>
      </w:r>
      <w:r w:rsidR="00357729">
        <w:rPr>
          <w:rFonts w:ascii="Times New Roman" w:hAnsi="Times New Roman"/>
          <w:sz w:val="24"/>
          <w:szCs w:val="24"/>
        </w:rPr>
        <w:t>s</w:t>
      </w:r>
      <w:r w:rsidR="00B21067">
        <w:rPr>
          <w:rFonts w:ascii="Times New Roman" w:hAnsi="Times New Roman"/>
          <w:sz w:val="24"/>
          <w:szCs w:val="24"/>
        </w:rPr>
        <w:t xml:space="preserve"> from such facilities or activities to be managed by means of</w:t>
      </w:r>
      <w:r w:rsidR="001E209C" w:rsidRPr="00C10D10">
        <w:rPr>
          <w:rFonts w:ascii="Times New Roman" w:hAnsi="Times New Roman"/>
          <w:sz w:val="24"/>
          <w:szCs w:val="24"/>
        </w:rPr>
        <w:t xml:space="preserve"> </w:t>
      </w:r>
      <w:r w:rsidR="00B4450B">
        <w:rPr>
          <w:rFonts w:ascii="Times New Roman" w:hAnsi="Times New Roman"/>
          <w:sz w:val="24"/>
          <w:szCs w:val="24"/>
        </w:rPr>
        <w:t>an authorization</w:t>
      </w:r>
      <w:r w:rsidR="00983055">
        <w:rPr>
          <w:rFonts w:ascii="Times New Roman" w:hAnsi="Times New Roman"/>
          <w:sz w:val="24"/>
          <w:szCs w:val="24"/>
        </w:rPr>
        <w:t xml:space="preserve"> (registration or licen</w:t>
      </w:r>
      <w:r w:rsidR="00B21067">
        <w:rPr>
          <w:rFonts w:ascii="Times New Roman" w:hAnsi="Times New Roman"/>
          <w:sz w:val="24"/>
          <w:szCs w:val="24"/>
        </w:rPr>
        <w:t>s</w:t>
      </w:r>
      <w:r w:rsidR="00983055">
        <w:rPr>
          <w:rFonts w:ascii="Times New Roman" w:hAnsi="Times New Roman"/>
          <w:sz w:val="24"/>
          <w:szCs w:val="24"/>
        </w:rPr>
        <w:t>ing, as relevant)</w:t>
      </w:r>
      <w:r w:rsidR="00585CCB" w:rsidRPr="00C10D10">
        <w:rPr>
          <w:rFonts w:ascii="Times New Roman" w:hAnsi="Times New Roman"/>
          <w:sz w:val="24"/>
          <w:szCs w:val="24"/>
        </w:rPr>
        <w:t xml:space="preserve">, </w:t>
      </w:r>
      <w:r w:rsidR="00226273">
        <w:rPr>
          <w:rFonts w:ascii="Times New Roman" w:hAnsi="Times New Roman"/>
          <w:sz w:val="24"/>
          <w:szCs w:val="24"/>
        </w:rPr>
        <w:t xml:space="preserve">which </w:t>
      </w:r>
      <w:r w:rsidR="00585CCB" w:rsidRPr="00C10D10">
        <w:rPr>
          <w:rFonts w:ascii="Times New Roman" w:hAnsi="Times New Roman"/>
          <w:sz w:val="24"/>
          <w:szCs w:val="24"/>
        </w:rPr>
        <w:t>establish</w:t>
      </w:r>
      <w:r w:rsidR="00226273">
        <w:rPr>
          <w:rFonts w:ascii="Times New Roman" w:hAnsi="Times New Roman"/>
          <w:sz w:val="24"/>
          <w:szCs w:val="24"/>
        </w:rPr>
        <w:t>es</w:t>
      </w:r>
      <w:r w:rsidR="00585CCB" w:rsidRPr="00C10D10">
        <w:rPr>
          <w:rFonts w:ascii="Times New Roman" w:hAnsi="Times New Roman"/>
          <w:sz w:val="24"/>
          <w:szCs w:val="24"/>
        </w:rPr>
        <w:t xml:space="preserve"> </w:t>
      </w:r>
      <w:r w:rsidR="004043AE" w:rsidRPr="00C10D10">
        <w:rPr>
          <w:rFonts w:ascii="Times New Roman" w:hAnsi="Times New Roman"/>
          <w:sz w:val="24"/>
          <w:szCs w:val="24"/>
        </w:rPr>
        <w:t xml:space="preserve">stringent </w:t>
      </w:r>
      <w:r w:rsidR="00AC615A" w:rsidRPr="00C10D10">
        <w:rPr>
          <w:rFonts w:ascii="Times New Roman" w:hAnsi="Times New Roman"/>
          <w:sz w:val="24"/>
          <w:szCs w:val="24"/>
        </w:rPr>
        <w:t>technical</w:t>
      </w:r>
      <w:r w:rsidR="00F3710D" w:rsidRPr="00C10D10">
        <w:rPr>
          <w:rFonts w:ascii="Times New Roman" w:hAnsi="Times New Roman"/>
          <w:sz w:val="24"/>
          <w:szCs w:val="24"/>
        </w:rPr>
        <w:t xml:space="preserve"> and</w:t>
      </w:r>
      <w:r w:rsidR="00AC615A" w:rsidRPr="00C10D10">
        <w:rPr>
          <w:rFonts w:ascii="Times New Roman" w:hAnsi="Times New Roman"/>
          <w:sz w:val="24"/>
          <w:szCs w:val="24"/>
        </w:rPr>
        <w:t xml:space="preserve"> </w:t>
      </w:r>
      <w:r w:rsidR="00585CCB" w:rsidRPr="00C10D10">
        <w:rPr>
          <w:rFonts w:ascii="Times New Roman" w:hAnsi="Times New Roman"/>
          <w:sz w:val="24"/>
          <w:szCs w:val="24"/>
        </w:rPr>
        <w:t>regulatory conditions</w:t>
      </w:r>
      <w:r w:rsidR="001E209C" w:rsidRPr="00C10D10">
        <w:rPr>
          <w:rFonts w:ascii="Times New Roman" w:hAnsi="Times New Roman"/>
          <w:sz w:val="24"/>
          <w:szCs w:val="24"/>
        </w:rPr>
        <w:t xml:space="preserve">, including </w:t>
      </w:r>
      <w:r w:rsidR="00585CCB" w:rsidRPr="00C10D10">
        <w:rPr>
          <w:rFonts w:ascii="Times New Roman" w:hAnsi="Times New Roman"/>
          <w:sz w:val="24"/>
          <w:szCs w:val="24"/>
        </w:rPr>
        <w:t xml:space="preserve">for the </w:t>
      </w:r>
      <w:r w:rsidR="00AC615A" w:rsidRPr="00C10D10">
        <w:rPr>
          <w:rFonts w:ascii="Times New Roman" w:hAnsi="Times New Roman"/>
          <w:sz w:val="24"/>
          <w:szCs w:val="24"/>
        </w:rPr>
        <w:t xml:space="preserve">adequate </w:t>
      </w:r>
      <w:r w:rsidR="00585CCB" w:rsidRPr="00C10D10">
        <w:rPr>
          <w:rFonts w:ascii="Times New Roman" w:hAnsi="Times New Roman"/>
          <w:sz w:val="24"/>
          <w:szCs w:val="24"/>
        </w:rPr>
        <w:t xml:space="preserve">management and </w:t>
      </w:r>
      <w:r w:rsidR="00585CCB" w:rsidRPr="00C10D10">
        <w:rPr>
          <w:rFonts w:ascii="Times New Roman" w:hAnsi="Times New Roman"/>
          <w:sz w:val="24"/>
          <w:szCs w:val="24"/>
        </w:rPr>
        <w:lastRenderedPageBreak/>
        <w:t>control</w:t>
      </w:r>
      <w:r w:rsidR="001E209C" w:rsidRPr="00C10D10">
        <w:rPr>
          <w:rFonts w:ascii="Times New Roman" w:hAnsi="Times New Roman"/>
          <w:sz w:val="24"/>
          <w:szCs w:val="24"/>
        </w:rPr>
        <w:t xml:space="preserve"> </w:t>
      </w:r>
      <w:r w:rsidR="00585CCB" w:rsidRPr="00C10D10">
        <w:rPr>
          <w:rFonts w:ascii="Times New Roman" w:hAnsi="Times New Roman"/>
          <w:sz w:val="24"/>
          <w:szCs w:val="24"/>
        </w:rPr>
        <w:t>of these effluents</w:t>
      </w:r>
      <w:r w:rsidR="001E209C" w:rsidRPr="00C10D10">
        <w:rPr>
          <w:rFonts w:ascii="Times New Roman" w:hAnsi="Times New Roman"/>
          <w:sz w:val="24"/>
          <w:szCs w:val="24"/>
        </w:rPr>
        <w:t xml:space="preserve"> and their radiological </w:t>
      </w:r>
      <w:r w:rsidR="00EF2B82" w:rsidRPr="00C10D10">
        <w:rPr>
          <w:rFonts w:ascii="Times New Roman" w:hAnsi="Times New Roman"/>
          <w:sz w:val="24"/>
          <w:szCs w:val="24"/>
        </w:rPr>
        <w:t>consequences</w:t>
      </w:r>
      <w:r w:rsidR="00585CCB" w:rsidRPr="00C10D10">
        <w:rPr>
          <w:rFonts w:ascii="Times New Roman" w:hAnsi="Times New Roman"/>
          <w:sz w:val="24"/>
          <w:szCs w:val="24"/>
        </w:rPr>
        <w:t>.</w:t>
      </w:r>
      <w:r w:rsidR="00445B36">
        <w:rPr>
          <w:rFonts w:ascii="Times New Roman" w:hAnsi="Times New Roman"/>
          <w:sz w:val="24"/>
          <w:szCs w:val="24"/>
        </w:rPr>
        <w:t xml:space="preserve"> </w:t>
      </w:r>
      <w:r w:rsidR="00983055">
        <w:rPr>
          <w:rFonts w:ascii="Times New Roman" w:hAnsi="Times New Roman"/>
          <w:sz w:val="24"/>
          <w:szCs w:val="24"/>
        </w:rPr>
        <w:t xml:space="preserve">For a practice </w:t>
      </w:r>
      <w:r w:rsidR="00B21067">
        <w:rPr>
          <w:rFonts w:ascii="Times New Roman" w:hAnsi="Times New Roman"/>
          <w:sz w:val="24"/>
          <w:szCs w:val="24"/>
        </w:rPr>
        <w:t>that</w:t>
      </w:r>
      <w:r w:rsidR="00983055">
        <w:rPr>
          <w:rFonts w:ascii="Times New Roman" w:hAnsi="Times New Roman"/>
          <w:sz w:val="24"/>
          <w:szCs w:val="24"/>
        </w:rPr>
        <w:t xml:space="preserve"> is justified, </w:t>
      </w:r>
      <w:r w:rsidR="00085069">
        <w:rPr>
          <w:rFonts w:ascii="Times New Roman" w:hAnsi="Times New Roman"/>
          <w:sz w:val="24"/>
          <w:szCs w:val="24"/>
        </w:rPr>
        <w:t>the</w:t>
      </w:r>
      <w:r w:rsidR="00B21067">
        <w:rPr>
          <w:rFonts w:ascii="Times New Roman" w:hAnsi="Times New Roman"/>
          <w:sz w:val="24"/>
          <w:szCs w:val="24"/>
        </w:rPr>
        <w:t xml:space="preserve"> </w:t>
      </w:r>
      <w:r w:rsidR="00445B36">
        <w:rPr>
          <w:rFonts w:ascii="Times New Roman" w:hAnsi="Times New Roman"/>
          <w:sz w:val="24"/>
          <w:szCs w:val="24"/>
        </w:rPr>
        <w:t xml:space="preserve">decision to </w:t>
      </w:r>
      <w:r w:rsidR="00644E2A">
        <w:rPr>
          <w:rFonts w:ascii="Times New Roman" w:hAnsi="Times New Roman"/>
          <w:sz w:val="24"/>
          <w:szCs w:val="24"/>
        </w:rPr>
        <w:t>authorize</w:t>
      </w:r>
      <w:r w:rsidR="00445B36">
        <w:rPr>
          <w:rFonts w:ascii="Times New Roman" w:hAnsi="Times New Roman"/>
          <w:sz w:val="24"/>
          <w:szCs w:val="24"/>
        </w:rPr>
        <w:t xml:space="preserve"> such releases should take into account the radiation </w:t>
      </w:r>
      <w:r w:rsidR="00085069">
        <w:rPr>
          <w:rFonts w:ascii="Times New Roman" w:hAnsi="Times New Roman"/>
          <w:sz w:val="24"/>
          <w:szCs w:val="24"/>
        </w:rPr>
        <w:t xml:space="preserve">protection </w:t>
      </w:r>
      <w:r w:rsidR="00445B36">
        <w:rPr>
          <w:rFonts w:ascii="Times New Roman" w:hAnsi="Times New Roman"/>
          <w:sz w:val="24"/>
          <w:szCs w:val="24"/>
        </w:rPr>
        <w:t>principles of optimi</w:t>
      </w:r>
      <w:r w:rsidR="00B21067">
        <w:rPr>
          <w:rFonts w:ascii="Times New Roman" w:hAnsi="Times New Roman"/>
          <w:sz w:val="24"/>
          <w:szCs w:val="24"/>
        </w:rPr>
        <w:t>z</w:t>
      </w:r>
      <w:r w:rsidR="00445B36">
        <w:rPr>
          <w:rFonts w:ascii="Times New Roman" w:hAnsi="Times New Roman"/>
          <w:sz w:val="24"/>
          <w:szCs w:val="24"/>
        </w:rPr>
        <w:t xml:space="preserve">ation and </w:t>
      </w:r>
      <w:r w:rsidR="00DE00DF">
        <w:rPr>
          <w:rFonts w:ascii="Times New Roman" w:hAnsi="Times New Roman"/>
          <w:sz w:val="24"/>
          <w:szCs w:val="24"/>
        </w:rPr>
        <w:t xml:space="preserve">dose </w:t>
      </w:r>
      <w:r w:rsidR="00445B36">
        <w:rPr>
          <w:rFonts w:ascii="Times New Roman" w:hAnsi="Times New Roman"/>
          <w:sz w:val="24"/>
          <w:szCs w:val="24"/>
        </w:rPr>
        <w:t>limitation</w:t>
      </w:r>
      <w:r w:rsidR="00BF35BC">
        <w:rPr>
          <w:rFonts w:ascii="Times New Roman" w:hAnsi="Times New Roman"/>
          <w:sz w:val="24"/>
          <w:szCs w:val="24"/>
        </w:rPr>
        <w:t xml:space="preserve">, and </w:t>
      </w:r>
      <w:r w:rsidR="00644E2A">
        <w:rPr>
          <w:rFonts w:ascii="Times New Roman" w:hAnsi="Times New Roman"/>
          <w:sz w:val="24"/>
          <w:szCs w:val="24"/>
        </w:rPr>
        <w:t xml:space="preserve">other </w:t>
      </w:r>
      <w:r w:rsidR="003C2A01">
        <w:rPr>
          <w:rFonts w:ascii="Times New Roman" w:hAnsi="Times New Roman"/>
          <w:sz w:val="24"/>
          <w:szCs w:val="24"/>
        </w:rPr>
        <w:t xml:space="preserve">relevant </w:t>
      </w:r>
      <w:r w:rsidR="00BF35BC">
        <w:rPr>
          <w:rFonts w:ascii="Times New Roman" w:hAnsi="Times New Roman"/>
          <w:sz w:val="24"/>
          <w:szCs w:val="24"/>
        </w:rPr>
        <w:t>safety principles</w:t>
      </w:r>
      <w:r w:rsidR="00445B36">
        <w:rPr>
          <w:rFonts w:ascii="Times New Roman" w:hAnsi="Times New Roman"/>
          <w:sz w:val="24"/>
          <w:szCs w:val="24"/>
        </w:rPr>
        <w:t>.</w:t>
      </w:r>
    </w:p>
    <w:p w:rsidR="00AC29BC" w:rsidRPr="00C10D10" w:rsidRDefault="00BA166F" w:rsidP="002704B6">
      <w:pPr>
        <w:numPr>
          <w:ilvl w:val="0"/>
          <w:numId w:val="2"/>
        </w:numPr>
        <w:autoSpaceDE w:val="0"/>
        <w:autoSpaceDN w:val="0"/>
        <w:adjustRightInd w:val="0"/>
        <w:spacing w:before="120" w:line="360" w:lineRule="auto"/>
        <w:jc w:val="both"/>
        <w:rPr>
          <w:rFonts w:ascii="Times New Roman" w:hAnsi="Times New Roman"/>
          <w:sz w:val="24"/>
          <w:szCs w:val="24"/>
        </w:rPr>
      </w:pPr>
      <w:r>
        <w:rPr>
          <w:rFonts w:ascii="Times New Roman" w:hAnsi="Times New Roman"/>
          <w:sz w:val="24"/>
          <w:szCs w:val="24"/>
        </w:rPr>
        <w:t>D</w:t>
      </w:r>
      <w:r w:rsidRPr="00C10D10">
        <w:rPr>
          <w:rFonts w:ascii="Times New Roman" w:hAnsi="Times New Roman"/>
          <w:sz w:val="24"/>
          <w:szCs w:val="24"/>
        </w:rPr>
        <w:t>ose limits and dose constraint</w:t>
      </w:r>
      <w:r>
        <w:rPr>
          <w:rFonts w:ascii="Times New Roman" w:hAnsi="Times New Roman"/>
          <w:sz w:val="24"/>
          <w:szCs w:val="24"/>
        </w:rPr>
        <w:t>s are established for t</w:t>
      </w:r>
      <w:r w:rsidR="00167528">
        <w:rPr>
          <w:rFonts w:ascii="Times New Roman" w:hAnsi="Times New Roman"/>
          <w:sz w:val="24"/>
          <w:szCs w:val="24"/>
        </w:rPr>
        <w:t>he</w:t>
      </w:r>
      <w:r w:rsidR="00594E5C" w:rsidRPr="00C10D10">
        <w:rPr>
          <w:rFonts w:ascii="Times New Roman" w:hAnsi="Times New Roman"/>
          <w:sz w:val="24"/>
          <w:szCs w:val="24"/>
        </w:rPr>
        <w:t xml:space="preserve"> doses </w:t>
      </w:r>
      <w:r w:rsidR="00CF44CD" w:rsidRPr="00C10D10">
        <w:rPr>
          <w:rFonts w:ascii="Times New Roman" w:hAnsi="Times New Roman"/>
          <w:sz w:val="24"/>
          <w:szCs w:val="24"/>
        </w:rPr>
        <w:t>received by</w:t>
      </w:r>
      <w:r w:rsidR="00594E5C" w:rsidRPr="00C10D10">
        <w:rPr>
          <w:rFonts w:ascii="Times New Roman" w:hAnsi="Times New Roman"/>
          <w:sz w:val="24"/>
          <w:szCs w:val="24"/>
        </w:rPr>
        <w:t xml:space="preserve"> the public due to the </w:t>
      </w:r>
      <w:r w:rsidR="001E209C" w:rsidRPr="00C10D10">
        <w:rPr>
          <w:rFonts w:ascii="Times New Roman" w:hAnsi="Times New Roman"/>
          <w:sz w:val="24"/>
          <w:szCs w:val="24"/>
        </w:rPr>
        <w:t xml:space="preserve">authorized </w:t>
      </w:r>
      <w:r w:rsidR="00594E5C" w:rsidRPr="00C10D10">
        <w:rPr>
          <w:rFonts w:ascii="Times New Roman" w:hAnsi="Times New Roman"/>
          <w:sz w:val="24"/>
          <w:szCs w:val="24"/>
        </w:rPr>
        <w:t>release</w:t>
      </w:r>
      <w:r w:rsidR="001E209C" w:rsidRPr="00C10D10">
        <w:rPr>
          <w:rFonts w:ascii="Times New Roman" w:hAnsi="Times New Roman"/>
          <w:sz w:val="24"/>
          <w:szCs w:val="24"/>
        </w:rPr>
        <w:t>s</w:t>
      </w:r>
      <w:r w:rsidR="00594E5C" w:rsidRPr="00C10D10">
        <w:rPr>
          <w:rFonts w:ascii="Times New Roman" w:hAnsi="Times New Roman"/>
          <w:sz w:val="24"/>
          <w:szCs w:val="24"/>
        </w:rPr>
        <w:t xml:space="preserve"> of effluents </w:t>
      </w:r>
      <w:r w:rsidR="00417BFF">
        <w:rPr>
          <w:rFonts w:ascii="Times New Roman" w:hAnsi="Times New Roman"/>
          <w:sz w:val="24"/>
          <w:szCs w:val="24"/>
        </w:rPr>
        <w:t>[3]</w:t>
      </w:r>
      <w:r w:rsidR="00C94C88" w:rsidRPr="00C10D10">
        <w:rPr>
          <w:rFonts w:ascii="Times New Roman" w:hAnsi="Times New Roman"/>
          <w:sz w:val="24"/>
          <w:szCs w:val="24"/>
        </w:rPr>
        <w:t>. I</w:t>
      </w:r>
      <w:r w:rsidR="00C4619C" w:rsidRPr="00C10D10">
        <w:rPr>
          <w:rFonts w:ascii="Times New Roman" w:hAnsi="Times New Roman"/>
          <w:sz w:val="24"/>
          <w:szCs w:val="24"/>
        </w:rPr>
        <w:t>n accordance with</w:t>
      </w:r>
      <w:r w:rsidR="00571FB3">
        <w:rPr>
          <w:rFonts w:ascii="Times New Roman" w:hAnsi="Times New Roman"/>
          <w:sz w:val="24"/>
          <w:szCs w:val="24"/>
        </w:rPr>
        <w:t xml:space="preserve"> </w:t>
      </w:r>
      <w:r w:rsidR="00BF3842">
        <w:rPr>
          <w:rFonts w:ascii="Times New Roman" w:hAnsi="Times New Roman"/>
          <w:sz w:val="24"/>
          <w:szCs w:val="24"/>
        </w:rPr>
        <w:t>SF-1</w:t>
      </w:r>
      <w:r w:rsidR="00211097">
        <w:rPr>
          <w:rFonts w:ascii="Times New Roman" w:hAnsi="Times New Roman"/>
          <w:sz w:val="24"/>
          <w:szCs w:val="24"/>
        </w:rPr>
        <w:t>[1]</w:t>
      </w:r>
      <w:r w:rsidR="00662385">
        <w:rPr>
          <w:rFonts w:ascii="Times New Roman" w:hAnsi="Times New Roman"/>
          <w:sz w:val="24"/>
          <w:szCs w:val="24"/>
        </w:rPr>
        <w:t xml:space="preserve"> </w:t>
      </w:r>
      <w:r w:rsidR="00C4619C" w:rsidRPr="00C10D10">
        <w:rPr>
          <w:rFonts w:ascii="Times New Roman" w:hAnsi="Times New Roman"/>
          <w:sz w:val="24"/>
          <w:szCs w:val="24"/>
        </w:rPr>
        <w:t xml:space="preserve">and the </w:t>
      </w:r>
      <w:r w:rsidR="004F2FD4">
        <w:rPr>
          <w:rFonts w:ascii="Times New Roman" w:hAnsi="Times New Roman"/>
          <w:sz w:val="24"/>
          <w:szCs w:val="24"/>
        </w:rPr>
        <w:t xml:space="preserve">requirements established in </w:t>
      </w:r>
      <w:r w:rsidR="00BF3842">
        <w:rPr>
          <w:rFonts w:ascii="Times New Roman" w:hAnsi="Times New Roman"/>
          <w:sz w:val="24"/>
          <w:szCs w:val="24"/>
        </w:rPr>
        <w:t xml:space="preserve">Radiation Protection and Safety of Radiation Sources: </w:t>
      </w:r>
      <w:r w:rsidR="00211097">
        <w:rPr>
          <w:rFonts w:ascii="Times New Roman" w:hAnsi="Times New Roman"/>
          <w:sz w:val="24"/>
          <w:szCs w:val="24"/>
        </w:rPr>
        <w:t>International Basic Safety Standards</w:t>
      </w:r>
      <w:r w:rsidR="00BF3842">
        <w:rPr>
          <w:rFonts w:ascii="Times New Roman" w:hAnsi="Times New Roman"/>
          <w:sz w:val="24"/>
          <w:szCs w:val="24"/>
        </w:rPr>
        <w:t>, IAEA Safety Standards Series No.</w:t>
      </w:r>
      <w:r w:rsidR="009A319F">
        <w:rPr>
          <w:rFonts w:ascii="Times New Roman" w:hAnsi="Times New Roman"/>
          <w:sz w:val="24"/>
          <w:szCs w:val="24"/>
        </w:rPr>
        <w:t xml:space="preserve"> GSR Part 3 </w:t>
      </w:r>
      <w:r w:rsidR="00417BFF">
        <w:rPr>
          <w:rFonts w:ascii="Times New Roman" w:hAnsi="Times New Roman"/>
          <w:sz w:val="24"/>
          <w:szCs w:val="24"/>
        </w:rPr>
        <w:t>[3]</w:t>
      </w:r>
      <w:r w:rsidR="00644E2A" w:rsidDel="00644E2A">
        <w:rPr>
          <w:rStyle w:val="FootnoteReference"/>
          <w:rFonts w:ascii="Times New Roman" w:hAnsi="Times New Roman"/>
          <w:sz w:val="24"/>
          <w:szCs w:val="24"/>
        </w:rPr>
        <w:t xml:space="preserve"> </w:t>
      </w:r>
      <w:r w:rsidR="00C4619C" w:rsidRPr="00C10D10">
        <w:rPr>
          <w:rFonts w:ascii="Times New Roman" w:hAnsi="Times New Roman"/>
          <w:sz w:val="24"/>
          <w:szCs w:val="24"/>
        </w:rPr>
        <w:t xml:space="preserve">, effluents </w:t>
      </w:r>
      <w:r w:rsidR="005A3563" w:rsidRPr="00C10D10">
        <w:rPr>
          <w:rFonts w:ascii="Times New Roman" w:hAnsi="Times New Roman"/>
          <w:sz w:val="24"/>
          <w:szCs w:val="24"/>
        </w:rPr>
        <w:t>are required</w:t>
      </w:r>
      <w:r w:rsidR="004564B7" w:rsidRPr="00C10D10">
        <w:rPr>
          <w:rFonts w:ascii="Times New Roman" w:hAnsi="Times New Roman"/>
          <w:sz w:val="24"/>
          <w:szCs w:val="24"/>
        </w:rPr>
        <w:t xml:space="preserve"> to be </w:t>
      </w:r>
      <w:r w:rsidR="00C94C88" w:rsidRPr="00C10D10">
        <w:rPr>
          <w:rFonts w:ascii="Times New Roman" w:hAnsi="Times New Roman"/>
          <w:sz w:val="24"/>
          <w:szCs w:val="24"/>
        </w:rPr>
        <w:t xml:space="preserve">properly </w:t>
      </w:r>
      <w:r w:rsidR="004564B7" w:rsidRPr="00C10D10">
        <w:rPr>
          <w:rFonts w:ascii="Times New Roman" w:hAnsi="Times New Roman"/>
          <w:sz w:val="24"/>
          <w:szCs w:val="24"/>
        </w:rPr>
        <w:t xml:space="preserve">managed </w:t>
      </w:r>
      <w:r w:rsidR="00C94C88" w:rsidRPr="00C10D10">
        <w:rPr>
          <w:rFonts w:ascii="Times New Roman" w:hAnsi="Times New Roman"/>
          <w:sz w:val="24"/>
          <w:szCs w:val="24"/>
        </w:rPr>
        <w:t xml:space="preserve">by the licensee, </w:t>
      </w:r>
      <w:r w:rsidR="004564B7" w:rsidRPr="00C10D10">
        <w:rPr>
          <w:rFonts w:ascii="Times New Roman" w:hAnsi="Times New Roman"/>
          <w:sz w:val="24"/>
          <w:szCs w:val="24"/>
        </w:rPr>
        <w:t xml:space="preserve">in </w:t>
      </w:r>
      <w:r w:rsidR="00C4619C" w:rsidRPr="00C10D10">
        <w:rPr>
          <w:rFonts w:ascii="Times New Roman" w:hAnsi="Times New Roman"/>
          <w:sz w:val="24"/>
          <w:szCs w:val="24"/>
        </w:rPr>
        <w:t xml:space="preserve">order to ensure the </w:t>
      </w:r>
      <w:r w:rsidR="00871FF4" w:rsidRPr="00C10D10">
        <w:rPr>
          <w:rFonts w:ascii="Times New Roman" w:hAnsi="Times New Roman"/>
          <w:sz w:val="24"/>
          <w:szCs w:val="24"/>
        </w:rPr>
        <w:t xml:space="preserve">optimized </w:t>
      </w:r>
      <w:r w:rsidR="00C4619C" w:rsidRPr="00C10D10">
        <w:rPr>
          <w:rFonts w:ascii="Times New Roman" w:hAnsi="Times New Roman"/>
          <w:sz w:val="24"/>
          <w:szCs w:val="24"/>
        </w:rPr>
        <w:t xml:space="preserve">protection </w:t>
      </w:r>
      <w:r w:rsidR="00585CCB" w:rsidRPr="00C10D10">
        <w:rPr>
          <w:rFonts w:ascii="Times New Roman" w:hAnsi="Times New Roman"/>
          <w:sz w:val="24"/>
          <w:szCs w:val="24"/>
        </w:rPr>
        <w:t xml:space="preserve">of </w:t>
      </w:r>
      <w:r w:rsidR="00871FF4" w:rsidRPr="00C10D10">
        <w:rPr>
          <w:rFonts w:ascii="Times New Roman" w:hAnsi="Times New Roman"/>
          <w:sz w:val="24"/>
          <w:szCs w:val="24"/>
        </w:rPr>
        <w:t>the</w:t>
      </w:r>
      <w:r w:rsidR="00C4619C" w:rsidRPr="00C10D10">
        <w:rPr>
          <w:rFonts w:ascii="Times New Roman" w:hAnsi="Times New Roman"/>
          <w:sz w:val="24"/>
          <w:szCs w:val="24"/>
        </w:rPr>
        <w:t xml:space="preserve"> public and </w:t>
      </w:r>
      <w:r w:rsidR="00004A31" w:rsidRPr="00C10D10">
        <w:rPr>
          <w:rFonts w:ascii="Times New Roman" w:hAnsi="Times New Roman"/>
          <w:sz w:val="24"/>
          <w:szCs w:val="24"/>
        </w:rPr>
        <w:t xml:space="preserve">protection of </w:t>
      </w:r>
      <w:r w:rsidR="00C4619C" w:rsidRPr="00C10D10">
        <w:rPr>
          <w:rFonts w:ascii="Times New Roman" w:hAnsi="Times New Roman"/>
          <w:sz w:val="24"/>
          <w:szCs w:val="24"/>
        </w:rPr>
        <w:t>the environment</w:t>
      </w:r>
      <w:r w:rsidR="00871FF4" w:rsidRPr="00C10D10">
        <w:rPr>
          <w:rFonts w:ascii="Times New Roman" w:hAnsi="Times New Roman"/>
          <w:sz w:val="24"/>
          <w:szCs w:val="24"/>
        </w:rPr>
        <w:t xml:space="preserve">. </w:t>
      </w:r>
    </w:p>
    <w:p w:rsidR="00E60EB4" w:rsidRPr="00C10D10" w:rsidRDefault="00A637B3" w:rsidP="009F0346">
      <w:pPr>
        <w:numPr>
          <w:ilvl w:val="0"/>
          <w:numId w:val="2"/>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 </w:t>
      </w:r>
      <w:r w:rsidR="00C4619C" w:rsidRPr="00C10D10">
        <w:rPr>
          <w:rFonts w:ascii="Times New Roman" w:hAnsi="Times New Roman"/>
          <w:sz w:val="24"/>
          <w:szCs w:val="24"/>
        </w:rPr>
        <w:t>‘</w:t>
      </w:r>
      <w:r w:rsidR="00AA0924">
        <w:rPr>
          <w:rFonts w:ascii="Times New Roman" w:hAnsi="Times New Roman"/>
          <w:sz w:val="24"/>
          <w:szCs w:val="24"/>
        </w:rPr>
        <w:t>D</w:t>
      </w:r>
      <w:r w:rsidR="004564B7" w:rsidRPr="00C10D10">
        <w:rPr>
          <w:rFonts w:ascii="Times New Roman" w:hAnsi="Times New Roman"/>
          <w:sz w:val="24"/>
          <w:szCs w:val="24"/>
        </w:rPr>
        <w:t>ischarge</w:t>
      </w:r>
      <w:r w:rsidR="00C4619C" w:rsidRPr="00C10D10">
        <w:rPr>
          <w:rFonts w:ascii="Times New Roman" w:hAnsi="Times New Roman"/>
          <w:sz w:val="24"/>
          <w:szCs w:val="24"/>
        </w:rPr>
        <w:t>’</w:t>
      </w:r>
      <w:r w:rsidR="00871FF4" w:rsidRPr="00C10D10">
        <w:rPr>
          <w:rFonts w:ascii="Times New Roman" w:hAnsi="Times New Roman"/>
          <w:sz w:val="24"/>
          <w:szCs w:val="24"/>
        </w:rPr>
        <w:t xml:space="preserve"> </w:t>
      </w:r>
      <w:r w:rsidR="00A35E9F" w:rsidRPr="00C10D10">
        <w:rPr>
          <w:rFonts w:ascii="Times New Roman" w:hAnsi="Times New Roman"/>
          <w:sz w:val="24"/>
          <w:szCs w:val="24"/>
        </w:rPr>
        <w:t xml:space="preserve">is </w:t>
      </w:r>
      <w:r w:rsidR="00AA0924">
        <w:rPr>
          <w:rFonts w:ascii="Times New Roman" w:hAnsi="Times New Roman"/>
          <w:sz w:val="24"/>
          <w:szCs w:val="24"/>
        </w:rPr>
        <w:t>the</w:t>
      </w:r>
      <w:r w:rsidR="00571FB3">
        <w:rPr>
          <w:rFonts w:ascii="Times New Roman" w:hAnsi="Times New Roman"/>
          <w:sz w:val="24"/>
          <w:szCs w:val="24"/>
        </w:rPr>
        <w:t xml:space="preserve"> planned and controlled </w:t>
      </w:r>
      <w:r w:rsidR="00DA2344" w:rsidRPr="00C10D10">
        <w:rPr>
          <w:rFonts w:ascii="Times New Roman" w:hAnsi="Times New Roman"/>
          <w:sz w:val="24"/>
          <w:szCs w:val="24"/>
        </w:rPr>
        <w:t>release of gaseous</w:t>
      </w:r>
      <w:r w:rsidR="00A35E9F" w:rsidRPr="00C10D10">
        <w:rPr>
          <w:rFonts w:ascii="Times New Roman" w:hAnsi="Times New Roman"/>
          <w:sz w:val="24"/>
          <w:szCs w:val="24"/>
        </w:rPr>
        <w:t>, aerosol</w:t>
      </w:r>
      <w:r w:rsidR="00DA2344" w:rsidRPr="00C10D10">
        <w:rPr>
          <w:rFonts w:ascii="Times New Roman" w:hAnsi="Times New Roman"/>
          <w:sz w:val="24"/>
          <w:szCs w:val="24"/>
        </w:rPr>
        <w:t xml:space="preserve"> or liquid radioactive </w:t>
      </w:r>
      <w:r w:rsidR="009F0346" w:rsidRPr="00C10D10">
        <w:rPr>
          <w:rFonts w:ascii="Times New Roman" w:hAnsi="Times New Roman"/>
          <w:sz w:val="24"/>
          <w:szCs w:val="24"/>
        </w:rPr>
        <w:t>substances</w:t>
      </w:r>
      <w:r w:rsidR="00DA2344" w:rsidRPr="00C10D10">
        <w:rPr>
          <w:rFonts w:ascii="Times New Roman" w:hAnsi="Times New Roman"/>
          <w:sz w:val="24"/>
          <w:szCs w:val="24"/>
        </w:rPr>
        <w:t xml:space="preserve"> to the environment</w:t>
      </w:r>
      <w:r w:rsidR="00871FF4" w:rsidRPr="00C10D10">
        <w:rPr>
          <w:rFonts w:ascii="Times New Roman" w:hAnsi="Times New Roman"/>
          <w:sz w:val="24"/>
          <w:szCs w:val="24"/>
        </w:rPr>
        <w:t xml:space="preserve"> </w:t>
      </w:r>
      <w:r w:rsidR="00E1338A" w:rsidRPr="00C10D10">
        <w:rPr>
          <w:rFonts w:ascii="Times New Roman" w:hAnsi="Times New Roman"/>
          <w:sz w:val="24"/>
          <w:szCs w:val="24"/>
        </w:rPr>
        <w:t>and</w:t>
      </w:r>
      <w:r w:rsidR="00871FF4" w:rsidRPr="00C10D10">
        <w:rPr>
          <w:rFonts w:ascii="Times New Roman" w:hAnsi="Times New Roman"/>
          <w:sz w:val="24"/>
          <w:szCs w:val="24"/>
        </w:rPr>
        <w:t>,</w:t>
      </w:r>
      <w:r w:rsidR="00E1338A" w:rsidRPr="00C10D10">
        <w:rPr>
          <w:rFonts w:ascii="Times New Roman" w:hAnsi="Times New Roman"/>
          <w:sz w:val="24"/>
          <w:szCs w:val="24"/>
        </w:rPr>
        <w:t xml:space="preserve"> as such</w:t>
      </w:r>
      <w:r w:rsidR="00871FF4" w:rsidRPr="00C10D10">
        <w:rPr>
          <w:rFonts w:ascii="Times New Roman" w:hAnsi="Times New Roman"/>
          <w:sz w:val="24"/>
          <w:szCs w:val="24"/>
        </w:rPr>
        <w:t>,</w:t>
      </w:r>
      <w:r w:rsidR="00E1338A" w:rsidRPr="00C10D10">
        <w:rPr>
          <w:rFonts w:ascii="Times New Roman" w:hAnsi="Times New Roman"/>
          <w:sz w:val="24"/>
          <w:szCs w:val="24"/>
        </w:rPr>
        <w:t xml:space="preserve"> </w:t>
      </w:r>
      <w:r w:rsidR="00571FB3">
        <w:rPr>
          <w:rFonts w:ascii="Times New Roman" w:hAnsi="Times New Roman"/>
          <w:sz w:val="24"/>
          <w:szCs w:val="24"/>
        </w:rPr>
        <w:t xml:space="preserve">the term </w:t>
      </w:r>
      <w:r w:rsidR="00E1338A" w:rsidRPr="00C10D10">
        <w:rPr>
          <w:rFonts w:ascii="Times New Roman" w:hAnsi="Times New Roman"/>
          <w:sz w:val="24"/>
          <w:szCs w:val="24"/>
        </w:rPr>
        <w:t>does not include releases</w:t>
      </w:r>
      <w:r w:rsidR="00A35E9F" w:rsidRPr="00C10D10">
        <w:rPr>
          <w:rFonts w:ascii="Times New Roman" w:hAnsi="Times New Roman"/>
          <w:sz w:val="24"/>
          <w:szCs w:val="24"/>
        </w:rPr>
        <w:t xml:space="preserve"> to the environment</w:t>
      </w:r>
      <w:r w:rsidR="00571FB3">
        <w:rPr>
          <w:rFonts w:ascii="Times New Roman" w:hAnsi="Times New Roman"/>
          <w:sz w:val="24"/>
          <w:szCs w:val="24"/>
        </w:rPr>
        <w:t xml:space="preserve"> in an accident</w:t>
      </w:r>
      <w:r w:rsidR="004564B7" w:rsidRPr="00C10D10">
        <w:rPr>
          <w:rFonts w:ascii="Times New Roman" w:hAnsi="Times New Roman"/>
          <w:sz w:val="24"/>
          <w:szCs w:val="24"/>
        </w:rPr>
        <w:t>.</w:t>
      </w:r>
      <w:r w:rsidR="0074437D" w:rsidRPr="00C10D10">
        <w:rPr>
          <w:rFonts w:ascii="Times New Roman" w:hAnsi="Times New Roman"/>
          <w:sz w:val="24"/>
          <w:szCs w:val="24"/>
        </w:rPr>
        <w:t xml:space="preserve"> </w:t>
      </w:r>
      <w:r w:rsidR="00571FB3">
        <w:rPr>
          <w:rFonts w:ascii="Times New Roman" w:hAnsi="Times New Roman"/>
          <w:sz w:val="24"/>
          <w:szCs w:val="24"/>
        </w:rPr>
        <w:t>Strictly, t</w:t>
      </w:r>
      <w:r w:rsidR="00882AD7" w:rsidRPr="00C10D10">
        <w:rPr>
          <w:rFonts w:ascii="Times New Roman" w:hAnsi="Times New Roman"/>
          <w:sz w:val="24"/>
          <w:szCs w:val="24"/>
        </w:rPr>
        <w:t xml:space="preserve">he </w:t>
      </w:r>
      <w:r w:rsidR="0074437D" w:rsidRPr="00C10D10">
        <w:rPr>
          <w:rFonts w:ascii="Times New Roman" w:hAnsi="Times New Roman"/>
          <w:sz w:val="24"/>
          <w:szCs w:val="24"/>
        </w:rPr>
        <w:t>term</w:t>
      </w:r>
      <w:r w:rsidR="00882AD7" w:rsidRPr="00C10D10">
        <w:rPr>
          <w:rFonts w:ascii="Times New Roman" w:hAnsi="Times New Roman"/>
          <w:sz w:val="24"/>
          <w:szCs w:val="24"/>
        </w:rPr>
        <w:t xml:space="preserve"> discharge</w:t>
      </w:r>
      <w:r w:rsidR="0074437D" w:rsidRPr="00C10D10">
        <w:rPr>
          <w:rFonts w:ascii="Times New Roman" w:hAnsi="Times New Roman"/>
          <w:sz w:val="24"/>
          <w:szCs w:val="24"/>
        </w:rPr>
        <w:t xml:space="preserve"> refers to the act or process of releasing material</w:t>
      </w:r>
      <w:r w:rsidR="00871FF4" w:rsidRPr="00C10D10">
        <w:rPr>
          <w:rFonts w:ascii="Times New Roman" w:hAnsi="Times New Roman"/>
          <w:sz w:val="24"/>
          <w:szCs w:val="24"/>
        </w:rPr>
        <w:t xml:space="preserve"> to the environment</w:t>
      </w:r>
      <w:r w:rsidR="0074437D" w:rsidRPr="00C10D10">
        <w:rPr>
          <w:rFonts w:ascii="Times New Roman" w:hAnsi="Times New Roman"/>
          <w:sz w:val="24"/>
          <w:szCs w:val="24"/>
        </w:rPr>
        <w:t xml:space="preserve">, but it is </w:t>
      </w:r>
      <w:r w:rsidR="00CF2E1F" w:rsidRPr="00C10D10">
        <w:rPr>
          <w:rFonts w:ascii="Times New Roman" w:hAnsi="Times New Roman"/>
          <w:sz w:val="24"/>
          <w:szCs w:val="24"/>
        </w:rPr>
        <w:t xml:space="preserve">also </w:t>
      </w:r>
      <w:r w:rsidR="0074437D" w:rsidRPr="00C10D10">
        <w:rPr>
          <w:rFonts w:ascii="Times New Roman" w:hAnsi="Times New Roman"/>
          <w:sz w:val="24"/>
          <w:szCs w:val="24"/>
        </w:rPr>
        <w:t xml:space="preserve">used in this Safety Guide to describe the material being </w:t>
      </w:r>
      <w:r w:rsidR="00AA0924">
        <w:rPr>
          <w:rFonts w:ascii="Times New Roman" w:hAnsi="Times New Roman"/>
          <w:sz w:val="24"/>
          <w:szCs w:val="24"/>
        </w:rPr>
        <w:t xml:space="preserve">released </w:t>
      </w:r>
      <w:r w:rsidR="0074437D" w:rsidRPr="00C10D10">
        <w:rPr>
          <w:rFonts w:ascii="Times New Roman" w:hAnsi="Times New Roman"/>
          <w:sz w:val="24"/>
          <w:szCs w:val="24"/>
        </w:rPr>
        <w:t>or to be released</w:t>
      </w:r>
      <w:r w:rsidR="009E6C34" w:rsidRPr="00C10D10">
        <w:rPr>
          <w:rFonts w:ascii="Times New Roman" w:hAnsi="Times New Roman"/>
          <w:sz w:val="24"/>
          <w:szCs w:val="24"/>
        </w:rPr>
        <w:t xml:space="preserve"> [</w:t>
      </w:r>
      <w:r w:rsidR="00307586">
        <w:rPr>
          <w:rFonts w:ascii="Times New Roman" w:hAnsi="Times New Roman"/>
          <w:sz w:val="24"/>
          <w:szCs w:val="24"/>
        </w:rPr>
        <w:t>2</w:t>
      </w:r>
      <w:r w:rsidR="009E6C34" w:rsidRPr="00C10D10">
        <w:rPr>
          <w:rFonts w:ascii="Times New Roman" w:hAnsi="Times New Roman"/>
          <w:sz w:val="24"/>
          <w:szCs w:val="24"/>
        </w:rPr>
        <w:t>]</w:t>
      </w:r>
      <w:r w:rsidR="0074437D" w:rsidRPr="00C10D10">
        <w:rPr>
          <w:rFonts w:ascii="Times New Roman" w:hAnsi="Times New Roman"/>
          <w:sz w:val="24"/>
          <w:szCs w:val="24"/>
        </w:rPr>
        <w:t>.</w:t>
      </w:r>
      <w:r w:rsidR="00E60EB4" w:rsidRPr="00C10D10">
        <w:rPr>
          <w:rFonts w:ascii="Times New Roman" w:hAnsi="Times New Roman"/>
          <w:sz w:val="24"/>
          <w:szCs w:val="24"/>
        </w:rPr>
        <w:t xml:space="preserve"> </w:t>
      </w:r>
    </w:p>
    <w:p w:rsidR="00D42BA9" w:rsidRPr="00C10D10" w:rsidRDefault="00AB77F4" w:rsidP="009B1B5D">
      <w:pPr>
        <w:numPr>
          <w:ilvl w:val="0"/>
          <w:numId w:val="2"/>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This </w:t>
      </w:r>
      <w:r w:rsidR="00544A46">
        <w:rPr>
          <w:rFonts w:ascii="Times New Roman" w:hAnsi="Times New Roman"/>
          <w:sz w:val="24"/>
          <w:szCs w:val="24"/>
        </w:rPr>
        <w:t>Safety Guide</w:t>
      </w:r>
      <w:r w:rsidR="00DB35C5">
        <w:rPr>
          <w:rFonts w:ascii="Times New Roman" w:hAnsi="Times New Roman"/>
          <w:sz w:val="24"/>
          <w:szCs w:val="24"/>
        </w:rPr>
        <w:t xml:space="preserve"> </w:t>
      </w:r>
      <w:r w:rsidR="009B1B5D">
        <w:rPr>
          <w:rFonts w:ascii="Times New Roman" w:hAnsi="Times New Roman"/>
          <w:sz w:val="24"/>
          <w:szCs w:val="24"/>
        </w:rPr>
        <w:t xml:space="preserve">provides recommendations on </w:t>
      </w:r>
      <w:r w:rsidR="00D446E8" w:rsidRPr="00C10D10">
        <w:rPr>
          <w:rFonts w:ascii="Times New Roman" w:hAnsi="Times New Roman"/>
          <w:sz w:val="24"/>
          <w:szCs w:val="24"/>
        </w:rPr>
        <w:t xml:space="preserve">the application of the </w:t>
      </w:r>
      <w:r w:rsidR="0050479A" w:rsidRPr="00C10D10">
        <w:rPr>
          <w:rFonts w:ascii="Times New Roman" w:hAnsi="Times New Roman"/>
          <w:sz w:val="24"/>
          <w:szCs w:val="24"/>
        </w:rPr>
        <w:t xml:space="preserve">safety requirements established in GSR Part 3 </w:t>
      </w:r>
      <w:r w:rsidR="00417BFF">
        <w:rPr>
          <w:rFonts w:ascii="Times New Roman" w:hAnsi="Times New Roman"/>
          <w:sz w:val="24"/>
          <w:szCs w:val="24"/>
        </w:rPr>
        <w:t>[3]</w:t>
      </w:r>
      <w:r w:rsidR="0050479A" w:rsidRPr="00C10D10">
        <w:rPr>
          <w:rFonts w:ascii="Times New Roman" w:hAnsi="Times New Roman"/>
          <w:sz w:val="24"/>
          <w:szCs w:val="24"/>
        </w:rPr>
        <w:t xml:space="preserve"> </w:t>
      </w:r>
      <w:r w:rsidR="00D446E8" w:rsidRPr="00C10D10">
        <w:rPr>
          <w:rFonts w:ascii="Times New Roman" w:hAnsi="Times New Roman"/>
          <w:sz w:val="24"/>
          <w:szCs w:val="24"/>
        </w:rPr>
        <w:t>to the regulatory control of discharges</w:t>
      </w:r>
      <w:r w:rsidR="00C31C86" w:rsidRPr="00C10D10">
        <w:rPr>
          <w:rFonts w:ascii="Times New Roman" w:hAnsi="Times New Roman"/>
          <w:sz w:val="24"/>
          <w:szCs w:val="24"/>
        </w:rPr>
        <w:t xml:space="preserve"> </w:t>
      </w:r>
      <w:r w:rsidR="00D446E8" w:rsidRPr="00C10D10">
        <w:rPr>
          <w:rFonts w:ascii="Times New Roman" w:hAnsi="Times New Roman"/>
          <w:sz w:val="24"/>
          <w:szCs w:val="24"/>
        </w:rPr>
        <w:t>and</w:t>
      </w:r>
      <w:r w:rsidR="000731D1" w:rsidRPr="00C10D10">
        <w:rPr>
          <w:rFonts w:ascii="Times New Roman" w:hAnsi="Times New Roman"/>
          <w:sz w:val="24"/>
          <w:szCs w:val="24"/>
        </w:rPr>
        <w:t xml:space="preserve"> takes account of the </w:t>
      </w:r>
      <w:r w:rsidR="00AA0924">
        <w:rPr>
          <w:rFonts w:ascii="Times New Roman" w:hAnsi="Times New Roman"/>
          <w:sz w:val="24"/>
          <w:szCs w:val="24"/>
        </w:rPr>
        <w:t>recommendations provided</w:t>
      </w:r>
      <w:r w:rsidR="000731D1" w:rsidRPr="00C10D10">
        <w:rPr>
          <w:rFonts w:ascii="Times New Roman" w:hAnsi="Times New Roman"/>
          <w:sz w:val="24"/>
          <w:szCs w:val="24"/>
        </w:rPr>
        <w:t xml:space="preserve"> in </w:t>
      </w:r>
      <w:r w:rsidRPr="00C10D10">
        <w:rPr>
          <w:rFonts w:ascii="Times New Roman" w:hAnsi="Times New Roman"/>
          <w:sz w:val="24"/>
          <w:szCs w:val="24"/>
        </w:rPr>
        <w:t xml:space="preserve">a number of </w:t>
      </w:r>
      <w:r w:rsidR="000B1569" w:rsidRPr="00C10D10">
        <w:rPr>
          <w:rFonts w:ascii="Times New Roman" w:hAnsi="Times New Roman"/>
          <w:sz w:val="24"/>
          <w:szCs w:val="24"/>
        </w:rPr>
        <w:t xml:space="preserve">relevant </w:t>
      </w:r>
      <w:r w:rsidR="000731D1" w:rsidRPr="00C10D10">
        <w:rPr>
          <w:rFonts w:ascii="Times New Roman" w:hAnsi="Times New Roman"/>
          <w:sz w:val="24"/>
          <w:szCs w:val="24"/>
        </w:rPr>
        <w:t>Safety Guides</w:t>
      </w:r>
      <w:r w:rsidR="000B1569" w:rsidRPr="00C10D10">
        <w:rPr>
          <w:rFonts w:ascii="Times New Roman" w:hAnsi="Times New Roman"/>
          <w:sz w:val="24"/>
          <w:szCs w:val="24"/>
        </w:rPr>
        <w:t xml:space="preserve"> [</w:t>
      </w:r>
      <w:r w:rsidR="00307586">
        <w:rPr>
          <w:rFonts w:ascii="Times New Roman" w:hAnsi="Times New Roman"/>
          <w:sz w:val="24"/>
          <w:szCs w:val="24"/>
        </w:rPr>
        <w:t>4</w:t>
      </w:r>
      <w:r w:rsidR="00E17A26" w:rsidRPr="00C10D10">
        <w:rPr>
          <w:rFonts w:ascii="Times New Roman" w:hAnsi="Times New Roman"/>
          <w:sz w:val="24"/>
          <w:szCs w:val="24"/>
        </w:rPr>
        <w:noBreakHyphen/>
      </w:r>
      <w:r w:rsidR="00B12374" w:rsidRPr="00C10D10">
        <w:rPr>
          <w:rFonts w:ascii="Times New Roman" w:hAnsi="Times New Roman"/>
          <w:sz w:val="24"/>
          <w:szCs w:val="24"/>
        </w:rPr>
        <w:t>1</w:t>
      </w:r>
      <w:r w:rsidR="00307586">
        <w:rPr>
          <w:rFonts w:ascii="Times New Roman" w:hAnsi="Times New Roman"/>
          <w:sz w:val="24"/>
          <w:szCs w:val="24"/>
        </w:rPr>
        <w:t>0</w:t>
      </w:r>
      <w:r w:rsidR="000B1569" w:rsidRPr="00C10D10">
        <w:rPr>
          <w:rFonts w:ascii="Times New Roman" w:hAnsi="Times New Roman"/>
          <w:sz w:val="24"/>
          <w:szCs w:val="24"/>
        </w:rPr>
        <w:t>]</w:t>
      </w:r>
      <w:r w:rsidR="000731D1" w:rsidRPr="00C10D10">
        <w:rPr>
          <w:rFonts w:ascii="Times New Roman" w:hAnsi="Times New Roman"/>
          <w:sz w:val="24"/>
          <w:szCs w:val="24"/>
        </w:rPr>
        <w:t xml:space="preserve"> and</w:t>
      </w:r>
      <w:r w:rsidR="00004415" w:rsidRPr="00C10D10">
        <w:rPr>
          <w:rFonts w:ascii="Times New Roman" w:hAnsi="Times New Roman"/>
          <w:sz w:val="24"/>
          <w:szCs w:val="24"/>
        </w:rPr>
        <w:t xml:space="preserve"> </w:t>
      </w:r>
      <w:r w:rsidR="00D42BA9" w:rsidRPr="00C10D10">
        <w:rPr>
          <w:rFonts w:ascii="Times New Roman" w:hAnsi="Times New Roman"/>
          <w:sz w:val="24"/>
          <w:szCs w:val="24"/>
        </w:rPr>
        <w:t xml:space="preserve">experience </w:t>
      </w:r>
      <w:r w:rsidR="00AA0924">
        <w:rPr>
          <w:rFonts w:ascii="Times New Roman" w:hAnsi="Times New Roman"/>
          <w:sz w:val="24"/>
          <w:szCs w:val="24"/>
        </w:rPr>
        <w:t>of</w:t>
      </w:r>
      <w:r w:rsidR="00AA0924" w:rsidRPr="00C10D10">
        <w:rPr>
          <w:rFonts w:ascii="Times New Roman" w:hAnsi="Times New Roman"/>
          <w:sz w:val="24"/>
          <w:szCs w:val="24"/>
        </w:rPr>
        <w:t xml:space="preserve"> </w:t>
      </w:r>
      <w:r w:rsidR="004564B7" w:rsidRPr="00C10D10">
        <w:rPr>
          <w:rFonts w:ascii="Times New Roman" w:hAnsi="Times New Roman"/>
          <w:sz w:val="24"/>
          <w:szCs w:val="24"/>
        </w:rPr>
        <w:t>Member States</w:t>
      </w:r>
      <w:r w:rsidR="00571FB3">
        <w:rPr>
          <w:rFonts w:ascii="Times New Roman" w:hAnsi="Times New Roman"/>
          <w:sz w:val="24"/>
          <w:szCs w:val="24"/>
        </w:rPr>
        <w:t xml:space="preserve">. </w:t>
      </w:r>
      <w:r w:rsidR="00571FB3" w:rsidRPr="00571FB3">
        <w:rPr>
          <w:rFonts w:ascii="Times New Roman" w:hAnsi="Times New Roman"/>
          <w:sz w:val="24"/>
          <w:szCs w:val="24"/>
        </w:rPr>
        <w:t xml:space="preserve">This Safety Guide supersedes </w:t>
      </w:r>
      <w:r w:rsidR="009B1B5D">
        <w:rPr>
          <w:rFonts w:ascii="Times New Roman" w:hAnsi="Times New Roman"/>
          <w:sz w:val="24"/>
          <w:szCs w:val="24"/>
        </w:rPr>
        <w:t>IAEA Safety Standards Series No. WS-G-2.3</w:t>
      </w:r>
      <w:r w:rsidR="00571FB3" w:rsidRPr="00571FB3">
        <w:rPr>
          <w:rFonts w:ascii="Times New Roman" w:hAnsi="Times New Roman"/>
          <w:sz w:val="24"/>
          <w:szCs w:val="24"/>
        </w:rPr>
        <w:t xml:space="preserve"> on </w:t>
      </w:r>
      <w:r w:rsidR="009B1B5D" w:rsidRPr="009B1B5D">
        <w:rPr>
          <w:rFonts w:ascii="Times New Roman" w:hAnsi="Times New Roman"/>
          <w:sz w:val="24"/>
          <w:szCs w:val="24"/>
        </w:rPr>
        <w:t>Regulatory Control of Radioactive Discharges to the Environment</w:t>
      </w:r>
      <w:r w:rsidR="00544A46">
        <w:rPr>
          <w:rStyle w:val="FootnoteReference"/>
          <w:rFonts w:ascii="Times New Roman" w:hAnsi="Times New Roman"/>
          <w:sz w:val="24"/>
          <w:szCs w:val="24"/>
        </w:rPr>
        <w:footnoteReference w:id="3"/>
      </w:r>
      <w:r w:rsidR="00D42BA9" w:rsidRPr="00C10D10">
        <w:rPr>
          <w:rFonts w:ascii="Times New Roman" w:hAnsi="Times New Roman"/>
          <w:sz w:val="24"/>
          <w:szCs w:val="24"/>
        </w:rPr>
        <w:t>.</w:t>
      </w:r>
      <w:r w:rsidR="00A60E63" w:rsidRPr="00C10D10">
        <w:rPr>
          <w:rFonts w:ascii="Times New Roman" w:hAnsi="Times New Roman"/>
          <w:sz w:val="24"/>
          <w:szCs w:val="24"/>
        </w:rPr>
        <w:t xml:space="preserve"> </w:t>
      </w:r>
    </w:p>
    <w:p w:rsidR="004564B7" w:rsidRPr="00C10D10" w:rsidRDefault="004564B7" w:rsidP="002704B6">
      <w:pPr>
        <w:pStyle w:val="Heading2"/>
        <w:spacing w:before="120" w:after="0" w:line="360" w:lineRule="auto"/>
        <w:jc w:val="both"/>
        <w:rPr>
          <w:caps w:val="0"/>
          <w:lang w:val="en-GB"/>
        </w:rPr>
      </w:pPr>
      <w:bookmarkStart w:id="8" w:name="_Toc396128251"/>
      <w:bookmarkStart w:id="9" w:name="_Toc396128863"/>
      <w:bookmarkStart w:id="10" w:name="_Toc452966930"/>
      <w:r w:rsidRPr="00C10D10">
        <w:rPr>
          <w:caps w:val="0"/>
          <w:lang w:val="en-GB"/>
        </w:rPr>
        <w:t>OBJECTIVE</w:t>
      </w:r>
      <w:bookmarkEnd w:id="8"/>
      <w:bookmarkEnd w:id="9"/>
      <w:bookmarkEnd w:id="10"/>
    </w:p>
    <w:p w:rsidR="0077114C" w:rsidRPr="00C10D10" w:rsidRDefault="004564B7" w:rsidP="00D1189E">
      <w:pPr>
        <w:numPr>
          <w:ilvl w:val="0"/>
          <w:numId w:val="2"/>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The </w:t>
      </w:r>
      <w:r w:rsidR="008733C1" w:rsidRPr="00C10D10">
        <w:rPr>
          <w:rFonts w:ascii="Times New Roman" w:hAnsi="Times New Roman"/>
          <w:sz w:val="24"/>
          <w:szCs w:val="24"/>
        </w:rPr>
        <w:t xml:space="preserve">objective </w:t>
      </w:r>
      <w:r w:rsidRPr="00C10D10">
        <w:rPr>
          <w:rFonts w:ascii="Times New Roman" w:hAnsi="Times New Roman"/>
          <w:sz w:val="24"/>
          <w:szCs w:val="24"/>
        </w:rPr>
        <w:t xml:space="preserve">of this Safety Guide is to </w:t>
      </w:r>
      <w:r w:rsidR="00222A13" w:rsidRPr="00C10D10">
        <w:rPr>
          <w:rFonts w:ascii="Times New Roman" w:hAnsi="Times New Roman"/>
          <w:sz w:val="24"/>
          <w:szCs w:val="24"/>
        </w:rPr>
        <w:t>provide</w:t>
      </w:r>
      <w:r w:rsidR="0077114C" w:rsidRPr="00C10D10">
        <w:rPr>
          <w:rFonts w:ascii="Times New Roman" w:hAnsi="Times New Roman"/>
          <w:sz w:val="24"/>
          <w:szCs w:val="24"/>
        </w:rPr>
        <w:t xml:space="preserve"> governments, regulatory bodies, applicants</w:t>
      </w:r>
      <w:r w:rsidR="00D1189E">
        <w:rPr>
          <w:rFonts w:ascii="Times New Roman" w:hAnsi="Times New Roman"/>
          <w:sz w:val="24"/>
          <w:szCs w:val="24"/>
        </w:rPr>
        <w:t xml:space="preserve"> and</w:t>
      </w:r>
      <w:r w:rsidR="0077114C" w:rsidRPr="00C10D10">
        <w:rPr>
          <w:rFonts w:ascii="Times New Roman" w:hAnsi="Times New Roman"/>
          <w:sz w:val="24"/>
          <w:szCs w:val="24"/>
        </w:rPr>
        <w:t xml:space="preserve"> </w:t>
      </w:r>
      <w:r w:rsidR="00D1189E" w:rsidRPr="00D1189E">
        <w:rPr>
          <w:rFonts w:ascii="Times New Roman" w:hAnsi="Times New Roman"/>
          <w:sz w:val="24"/>
          <w:szCs w:val="24"/>
        </w:rPr>
        <w:t>operating organization</w:t>
      </w:r>
      <w:r w:rsidR="00D1189E">
        <w:rPr>
          <w:rFonts w:ascii="Times New Roman" w:hAnsi="Times New Roman"/>
          <w:sz w:val="24"/>
          <w:szCs w:val="24"/>
        </w:rPr>
        <w:t>s</w:t>
      </w:r>
      <w:r w:rsidR="0077114C" w:rsidRPr="00C10D10">
        <w:rPr>
          <w:rFonts w:ascii="Times New Roman" w:hAnsi="Times New Roman"/>
          <w:sz w:val="24"/>
          <w:szCs w:val="24"/>
        </w:rPr>
        <w:t xml:space="preserve"> with</w:t>
      </w:r>
      <w:r w:rsidR="00222A13" w:rsidRPr="00C10D10">
        <w:rPr>
          <w:rFonts w:ascii="Times New Roman" w:hAnsi="Times New Roman"/>
          <w:sz w:val="24"/>
          <w:szCs w:val="24"/>
        </w:rPr>
        <w:t xml:space="preserve"> a structured approach to </w:t>
      </w:r>
      <w:r w:rsidR="00F14864" w:rsidRPr="00C10D10">
        <w:rPr>
          <w:rFonts w:ascii="Times New Roman" w:hAnsi="Times New Roman"/>
          <w:sz w:val="24"/>
          <w:szCs w:val="24"/>
        </w:rPr>
        <w:t>control</w:t>
      </w:r>
      <w:r w:rsidR="00CA00FC">
        <w:rPr>
          <w:rFonts w:ascii="Times New Roman" w:hAnsi="Times New Roman"/>
          <w:sz w:val="24"/>
          <w:szCs w:val="24"/>
        </w:rPr>
        <w:t>ling</w:t>
      </w:r>
      <w:r w:rsidR="00F14864" w:rsidRPr="00C10D10">
        <w:rPr>
          <w:rFonts w:ascii="Times New Roman" w:hAnsi="Times New Roman"/>
          <w:sz w:val="24"/>
          <w:szCs w:val="24"/>
        </w:rPr>
        <w:t xml:space="preserve"> </w:t>
      </w:r>
      <w:r w:rsidR="0077114C" w:rsidRPr="00C10D10">
        <w:rPr>
          <w:rFonts w:ascii="Times New Roman" w:hAnsi="Times New Roman"/>
          <w:sz w:val="24"/>
          <w:szCs w:val="24"/>
        </w:rPr>
        <w:t xml:space="preserve">radiation </w:t>
      </w:r>
      <w:r w:rsidR="00222A13" w:rsidRPr="00C10D10">
        <w:rPr>
          <w:rFonts w:ascii="Times New Roman" w:hAnsi="Times New Roman"/>
          <w:sz w:val="24"/>
          <w:szCs w:val="24"/>
        </w:rPr>
        <w:t>exposures</w:t>
      </w:r>
      <w:r w:rsidR="000C6036" w:rsidRPr="00C10D10">
        <w:rPr>
          <w:rFonts w:ascii="Times New Roman" w:hAnsi="Times New Roman"/>
          <w:sz w:val="24"/>
          <w:szCs w:val="24"/>
        </w:rPr>
        <w:t xml:space="preserve"> </w:t>
      </w:r>
      <w:r w:rsidR="004F2FD4">
        <w:rPr>
          <w:rFonts w:ascii="Times New Roman" w:hAnsi="Times New Roman"/>
          <w:sz w:val="24"/>
          <w:szCs w:val="24"/>
        </w:rPr>
        <w:t>of</w:t>
      </w:r>
      <w:r w:rsidR="004F2FD4" w:rsidRPr="00C10D10">
        <w:rPr>
          <w:rFonts w:ascii="Times New Roman" w:hAnsi="Times New Roman"/>
          <w:sz w:val="24"/>
          <w:szCs w:val="24"/>
        </w:rPr>
        <w:t xml:space="preserve"> </w:t>
      </w:r>
      <w:r w:rsidR="0077114C" w:rsidRPr="00C10D10">
        <w:rPr>
          <w:rFonts w:ascii="Times New Roman" w:hAnsi="Times New Roman"/>
          <w:sz w:val="24"/>
          <w:szCs w:val="24"/>
        </w:rPr>
        <w:t xml:space="preserve">the public </w:t>
      </w:r>
      <w:r w:rsidR="000C6036" w:rsidRPr="00C10D10">
        <w:rPr>
          <w:rFonts w:ascii="Times New Roman" w:hAnsi="Times New Roman"/>
          <w:sz w:val="24"/>
          <w:szCs w:val="24"/>
        </w:rPr>
        <w:t xml:space="preserve">resulting from </w:t>
      </w:r>
      <w:r w:rsidR="0077114C" w:rsidRPr="00C10D10">
        <w:rPr>
          <w:rFonts w:ascii="Times New Roman" w:hAnsi="Times New Roman"/>
          <w:sz w:val="24"/>
          <w:szCs w:val="24"/>
        </w:rPr>
        <w:t xml:space="preserve">discharges </w:t>
      </w:r>
      <w:r w:rsidR="00882AD7" w:rsidRPr="00C10D10">
        <w:rPr>
          <w:rFonts w:ascii="Times New Roman" w:hAnsi="Times New Roman"/>
          <w:sz w:val="24"/>
          <w:szCs w:val="24"/>
        </w:rPr>
        <w:t xml:space="preserve">from normal operations </w:t>
      </w:r>
      <w:r w:rsidR="0050479A" w:rsidRPr="00C10D10">
        <w:rPr>
          <w:rFonts w:ascii="Times New Roman" w:hAnsi="Times New Roman"/>
          <w:sz w:val="24"/>
          <w:szCs w:val="24"/>
        </w:rPr>
        <w:t>of facilities and activities</w:t>
      </w:r>
      <w:r w:rsidR="003C2A01">
        <w:rPr>
          <w:rFonts w:ascii="Times New Roman" w:hAnsi="Times New Roman"/>
          <w:sz w:val="24"/>
          <w:szCs w:val="24"/>
        </w:rPr>
        <w:t>,</w:t>
      </w:r>
      <w:r w:rsidR="0050479A" w:rsidRPr="00C10D10">
        <w:rPr>
          <w:rFonts w:ascii="Times New Roman" w:hAnsi="Times New Roman"/>
          <w:sz w:val="24"/>
          <w:szCs w:val="24"/>
        </w:rPr>
        <w:t xml:space="preserve"> </w:t>
      </w:r>
      <w:r w:rsidR="0077114C" w:rsidRPr="00C10D10">
        <w:rPr>
          <w:rFonts w:ascii="Times New Roman" w:hAnsi="Times New Roman"/>
          <w:sz w:val="24"/>
          <w:szCs w:val="24"/>
        </w:rPr>
        <w:t>and</w:t>
      </w:r>
      <w:r w:rsidR="00222A13" w:rsidRPr="00C10D10">
        <w:rPr>
          <w:rFonts w:ascii="Times New Roman" w:hAnsi="Times New Roman"/>
          <w:sz w:val="24"/>
          <w:szCs w:val="24"/>
        </w:rPr>
        <w:t xml:space="preserve"> </w:t>
      </w:r>
      <w:r w:rsidR="0077114C" w:rsidRPr="00C10D10">
        <w:rPr>
          <w:rFonts w:ascii="Times New Roman" w:hAnsi="Times New Roman"/>
          <w:sz w:val="24"/>
          <w:szCs w:val="24"/>
        </w:rPr>
        <w:t xml:space="preserve">for </w:t>
      </w:r>
      <w:r w:rsidR="00222A13" w:rsidRPr="00C10D10">
        <w:rPr>
          <w:rFonts w:ascii="Times New Roman" w:hAnsi="Times New Roman"/>
          <w:sz w:val="24"/>
          <w:szCs w:val="24"/>
        </w:rPr>
        <w:t>the optimization of protection</w:t>
      </w:r>
      <w:r w:rsidR="00004A31" w:rsidRPr="00C10D10">
        <w:rPr>
          <w:rFonts w:ascii="Times New Roman" w:hAnsi="Times New Roman"/>
          <w:sz w:val="24"/>
          <w:szCs w:val="24"/>
        </w:rPr>
        <w:t xml:space="preserve"> and safety</w:t>
      </w:r>
      <w:r w:rsidR="00222A13" w:rsidRPr="00C10D10">
        <w:rPr>
          <w:rFonts w:ascii="Times New Roman" w:hAnsi="Times New Roman"/>
          <w:sz w:val="24"/>
          <w:szCs w:val="24"/>
        </w:rPr>
        <w:t xml:space="preserve">. Guidance is </w:t>
      </w:r>
      <w:r w:rsidR="00D76564">
        <w:rPr>
          <w:rFonts w:ascii="Times New Roman" w:hAnsi="Times New Roman"/>
          <w:sz w:val="24"/>
          <w:szCs w:val="24"/>
        </w:rPr>
        <w:t>provided</w:t>
      </w:r>
      <w:r w:rsidR="00D76564" w:rsidRPr="00C10D10">
        <w:rPr>
          <w:rFonts w:ascii="Times New Roman" w:hAnsi="Times New Roman"/>
          <w:sz w:val="24"/>
          <w:szCs w:val="24"/>
        </w:rPr>
        <w:t xml:space="preserve"> </w:t>
      </w:r>
      <w:r w:rsidR="00222A13" w:rsidRPr="00C10D10">
        <w:rPr>
          <w:rFonts w:ascii="Times New Roman" w:hAnsi="Times New Roman"/>
          <w:sz w:val="24"/>
          <w:szCs w:val="24"/>
        </w:rPr>
        <w:t xml:space="preserve">on </w:t>
      </w:r>
      <w:r w:rsidR="004F2FD4">
        <w:rPr>
          <w:rFonts w:ascii="Times New Roman" w:hAnsi="Times New Roman"/>
          <w:sz w:val="24"/>
          <w:szCs w:val="24"/>
        </w:rPr>
        <w:t xml:space="preserve">the </w:t>
      </w:r>
      <w:r w:rsidR="00222A13" w:rsidRPr="00C10D10">
        <w:rPr>
          <w:rFonts w:ascii="Times New Roman" w:hAnsi="Times New Roman"/>
          <w:sz w:val="24"/>
          <w:szCs w:val="24"/>
        </w:rPr>
        <w:t>authorization</w:t>
      </w:r>
      <w:r w:rsidR="009B1B5D">
        <w:rPr>
          <w:rFonts w:ascii="Times New Roman" w:hAnsi="Times New Roman"/>
          <w:sz w:val="24"/>
          <w:szCs w:val="24"/>
        </w:rPr>
        <w:t xml:space="preserve"> </w:t>
      </w:r>
      <w:r w:rsidR="004F2FD4">
        <w:rPr>
          <w:rFonts w:ascii="Times New Roman" w:hAnsi="Times New Roman"/>
          <w:sz w:val="24"/>
          <w:szCs w:val="24"/>
        </w:rPr>
        <w:t>of</w:t>
      </w:r>
      <w:r w:rsidR="009B1B5D">
        <w:rPr>
          <w:rFonts w:ascii="Times New Roman" w:hAnsi="Times New Roman"/>
          <w:sz w:val="24"/>
          <w:szCs w:val="24"/>
        </w:rPr>
        <w:t xml:space="preserve"> discharges</w:t>
      </w:r>
      <w:r w:rsidR="00A77870" w:rsidRPr="00C10D10">
        <w:rPr>
          <w:rFonts w:ascii="Times New Roman" w:hAnsi="Times New Roman"/>
          <w:sz w:val="24"/>
          <w:szCs w:val="24"/>
        </w:rPr>
        <w:t>,</w:t>
      </w:r>
      <w:r w:rsidR="00222A13" w:rsidRPr="00C10D10">
        <w:rPr>
          <w:rFonts w:ascii="Times New Roman" w:hAnsi="Times New Roman"/>
          <w:sz w:val="24"/>
          <w:szCs w:val="24"/>
        </w:rPr>
        <w:t xml:space="preserve"> demonstrating compliance with </w:t>
      </w:r>
      <w:r w:rsidR="009B1B5D">
        <w:rPr>
          <w:rFonts w:ascii="Times New Roman" w:hAnsi="Times New Roman"/>
          <w:sz w:val="24"/>
          <w:szCs w:val="24"/>
        </w:rPr>
        <w:t>the authorization</w:t>
      </w:r>
      <w:r w:rsidR="009B1B5D" w:rsidRPr="00C10D10">
        <w:rPr>
          <w:rFonts w:ascii="Times New Roman" w:hAnsi="Times New Roman"/>
          <w:sz w:val="24"/>
          <w:szCs w:val="24"/>
        </w:rPr>
        <w:t xml:space="preserve"> </w:t>
      </w:r>
      <w:r w:rsidR="003D5F99" w:rsidRPr="00C10D10">
        <w:rPr>
          <w:rFonts w:ascii="Times New Roman" w:hAnsi="Times New Roman"/>
          <w:sz w:val="24"/>
          <w:szCs w:val="24"/>
        </w:rPr>
        <w:t xml:space="preserve">and enforcing </w:t>
      </w:r>
      <w:r w:rsidR="009B1B5D">
        <w:rPr>
          <w:rFonts w:ascii="Times New Roman" w:hAnsi="Times New Roman"/>
          <w:sz w:val="24"/>
          <w:szCs w:val="24"/>
        </w:rPr>
        <w:t>the authorization</w:t>
      </w:r>
      <w:r w:rsidR="00222A13" w:rsidRPr="00C10D10">
        <w:rPr>
          <w:rFonts w:ascii="Times New Roman" w:hAnsi="Times New Roman"/>
          <w:sz w:val="24"/>
          <w:szCs w:val="24"/>
        </w:rPr>
        <w:t xml:space="preserve">. </w:t>
      </w:r>
    </w:p>
    <w:p w:rsidR="00E55ED1" w:rsidRPr="00C10D10" w:rsidRDefault="00E55ED1" w:rsidP="002704B6">
      <w:pPr>
        <w:numPr>
          <w:ilvl w:val="0"/>
          <w:numId w:val="2"/>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This Safety Guide </w:t>
      </w:r>
      <w:r w:rsidR="0050479A" w:rsidRPr="00C10D10">
        <w:rPr>
          <w:rFonts w:ascii="Times New Roman" w:hAnsi="Times New Roman"/>
          <w:sz w:val="24"/>
          <w:szCs w:val="24"/>
        </w:rPr>
        <w:t>is for use</w:t>
      </w:r>
      <w:r w:rsidR="00882AD7" w:rsidRPr="00C10D10">
        <w:rPr>
          <w:rFonts w:ascii="Times New Roman" w:hAnsi="Times New Roman"/>
          <w:sz w:val="24"/>
          <w:szCs w:val="24"/>
        </w:rPr>
        <w:t xml:space="preserve"> by</w:t>
      </w:r>
      <w:r w:rsidRPr="00C10D10">
        <w:rPr>
          <w:rFonts w:ascii="Times New Roman" w:hAnsi="Times New Roman"/>
          <w:sz w:val="24"/>
          <w:szCs w:val="24"/>
        </w:rPr>
        <w:t xml:space="preserve"> those applying for an authorization for discharges to the environment and </w:t>
      </w:r>
      <w:r w:rsidR="009B1B5D">
        <w:rPr>
          <w:rFonts w:ascii="Times New Roman" w:hAnsi="Times New Roman"/>
          <w:sz w:val="24"/>
          <w:szCs w:val="24"/>
        </w:rPr>
        <w:t xml:space="preserve">by </w:t>
      </w:r>
      <w:r w:rsidRPr="00C10D10">
        <w:rPr>
          <w:rFonts w:ascii="Times New Roman" w:hAnsi="Times New Roman"/>
          <w:sz w:val="24"/>
          <w:szCs w:val="24"/>
        </w:rPr>
        <w:t>those reviewing</w:t>
      </w:r>
      <w:r w:rsidR="00882AD7" w:rsidRPr="00C10D10">
        <w:rPr>
          <w:rFonts w:ascii="Times New Roman" w:hAnsi="Times New Roman"/>
          <w:sz w:val="24"/>
          <w:szCs w:val="24"/>
        </w:rPr>
        <w:t xml:space="preserve"> </w:t>
      </w:r>
      <w:r w:rsidR="009B1B5D">
        <w:rPr>
          <w:rFonts w:ascii="Times New Roman" w:hAnsi="Times New Roman"/>
          <w:sz w:val="24"/>
          <w:szCs w:val="24"/>
        </w:rPr>
        <w:t xml:space="preserve">applications </w:t>
      </w:r>
      <w:r w:rsidR="00882AD7" w:rsidRPr="00C10D10">
        <w:rPr>
          <w:rFonts w:ascii="Times New Roman" w:hAnsi="Times New Roman"/>
          <w:sz w:val="24"/>
          <w:szCs w:val="24"/>
        </w:rPr>
        <w:t>and</w:t>
      </w:r>
      <w:r w:rsidRPr="00C10D10">
        <w:rPr>
          <w:rFonts w:ascii="Times New Roman" w:hAnsi="Times New Roman"/>
          <w:sz w:val="24"/>
          <w:szCs w:val="24"/>
        </w:rPr>
        <w:t xml:space="preserve"> </w:t>
      </w:r>
      <w:r w:rsidR="00882AD7" w:rsidRPr="00C10D10">
        <w:rPr>
          <w:rFonts w:ascii="Times New Roman" w:hAnsi="Times New Roman"/>
          <w:sz w:val="24"/>
          <w:szCs w:val="24"/>
        </w:rPr>
        <w:t xml:space="preserve">authorizing </w:t>
      </w:r>
      <w:r w:rsidR="009B1B5D">
        <w:rPr>
          <w:rFonts w:ascii="Times New Roman" w:hAnsi="Times New Roman"/>
          <w:sz w:val="24"/>
          <w:szCs w:val="24"/>
        </w:rPr>
        <w:t>discharges</w:t>
      </w:r>
      <w:r w:rsidRPr="00C10D10">
        <w:rPr>
          <w:rFonts w:ascii="Times New Roman" w:hAnsi="Times New Roman"/>
          <w:sz w:val="24"/>
          <w:szCs w:val="24"/>
        </w:rPr>
        <w:t>, as part of a</w:t>
      </w:r>
      <w:r w:rsidR="00D76564">
        <w:rPr>
          <w:rFonts w:ascii="Times New Roman" w:hAnsi="Times New Roman"/>
          <w:sz w:val="24"/>
          <w:szCs w:val="24"/>
        </w:rPr>
        <w:t>n</w:t>
      </w:r>
      <w:r w:rsidRPr="00C10D10">
        <w:rPr>
          <w:rFonts w:ascii="Times New Roman" w:hAnsi="Times New Roman"/>
          <w:sz w:val="24"/>
          <w:szCs w:val="24"/>
        </w:rPr>
        <w:t xml:space="preserve"> authorization process</w:t>
      </w:r>
      <w:r w:rsidR="00D76564">
        <w:rPr>
          <w:rFonts w:ascii="Times New Roman" w:hAnsi="Times New Roman"/>
          <w:sz w:val="24"/>
          <w:szCs w:val="24"/>
        </w:rPr>
        <w:t xml:space="preserve"> [3]</w:t>
      </w:r>
      <w:r w:rsidR="00D7735E" w:rsidRPr="00C10D10">
        <w:rPr>
          <w:rFonts w:ascii="Times New Roman" w:hAnsi="Times New Roman"/>
          <w:sz w:val="24"/>
          <w:szCs w:val="24"/>
        </w:rPr>
        <w:t xml:space="preserve">. </w:t>
      </w:r>
      <w:r w:rsidRPr="00C10D10">
        <w:rPr>
          <w:rFonts w:ascii="Times New Roman" w:hAnsi="Times New Roman"/>
          <w:sz w:val="24"/>
          <w:szCs w:val="24"/>
        </w:rPr>
        <w:t>It may also be relevan</w:t>
      </w:r>
      <w:r w:rsidR="004F2FD4">
        <w:rPr>
          <w:rFonts w:ascii="Times New Roman" w:hAnsi="Times New Roman"/>
          <w:sz w:val="24"/>
          <w:szCs w:val="24"/>
        </w:rPr>
        <w:t>t</w:t>
      </w:r>
      <w:r w:rsidRPr="00C10D10">
        <w:rPr>
          <w:rFonts w:ascii="Times New Roman" w:hAnsi="Times New Roman"/>
          <w:sz w:val="24"/>
          <w:szCs w:val="24"/>
        </w:rPr>
        <w:t xml:space="preserve"> </w:t>
      </w:r>
      <w:r w:rsidR="00D9246C">
        <w:rPr>
          <w:rFonts w:ascii="Times New Roman" w:hAnsi="Times New Roman"/>
          <w:sz w:val="24"/>
          <w:szCs w:val="24"/>
        </w:rPr>
        <w:t>for</w:t>
      </w:r>
      <w:r w:rsidR="00D9246C" w:rsidRPr="00C10D10">
        <w:rPr>
          <w:rFonts w:ascii="Times New Roman" w:hAnsi="Times New Roman"/>
          <w:sz w:val="24"/>
          <w:szCs w:val="24"/>
        </w:rPr>
        <w:t xml:space="preserve"> </w:t>
      </w:r>
      <w:r w:rsidR="00882AD7" w:rsidRPr="00C10D10">
        <w:rPr>
          <w:rFonts w:ascii="Times New Roman" w:hAnsi="Times New Roman"/>
          <w:sz w:val="24"/>
          <w:szCs w:val="24"/>
        </w:rPr>
        <w:t xml:space="preserve">other </w:t>
      </w:r>
      <w:r w:rsidRPr="00C10D10">
        <w:rPr>
          <w:rFonts w:ascii="Times New Roman" w:hAnsi="Times New Roman"/>
          <w:sz w:val="24"/>
          <w:szCs w:val="24"/>
        </w:rPr>
        <w:t>interested parties.</w:t>
      </w:r>
    </w:p>
    <w:p w:rsidR="004564B7" w:rsidRPr="00C10D10" w:rsidRDefault="004564B7" w:rsidP="002704B6">
      <w:pPr>
        <w:pStyle w:val="Heading2"/>
        <w:spacing w:before="120" w:after="0" w:line="360" w:lineRule="auto"/>
        <w:jc w:val="both"/>
        <w:rPr>
          <w:caps w:val="0"/>
          <w:lang w:val="en-GB"/>
        </w:rPr>
      </w:pPr>
      <w:bookmarkStart w:id="11" w:name="_Toc396128252"/>
      <w:bookmarkStart w:id="12" w:name="_Toc396128864"/>
      <w:bookmarkStart w:id="13" w:name="_Toc452966931"/>
      <w:r w:rsidRPr="00C10D10">
        <w:rPr>
          <w:caps w:val="0"/>
          <w:lang w:val="en-GB"/>
        </w:rPr>
        <w:lastRenderedPageBreak/>
        <w:t>SCOPE</w:t>
      </w:r>
      <w:bookmarkEnd w:id="11"/>
      <w:bookmarkEnd w:id="12"/>
      <w:bookmarkEnd w:id="13"/>
    </w:p>
    <w:p w:rsidR="00513300" w:rsidRPr="00C10D10" w:rsidRDefault="004564B7" w:rsidP="00A0325F">
      <w:pPr>
        <w:numPr>
          <w:ilvl w:val="0"/>
          <w:numId w:val="2"/>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T</w:t>
      </w:r>
      <w:r w:rsidR="00E33322" w:rsidRPr="00C10D10">
        <w:rPr>
          <w:rFonts w:ascii="Times New Roman" w:hAnsi="Times New Roman"/>
          <w:sz w:val="24"/>
          <w:szCs w:val="24"/>
        </w:rPr>
        <w:t xml:space="preserve">he scope of this </w:t>
      </w:r>
      <w:r w:rsidRPr="00C10D10">
        <w:rPr>
          <w:rFonts w:ascii="Times New Roman" w:hAnsi="Times New Roman"/>
          <w:sz w:val="24"/>
          <w:szCs w:val="24"/>
        </w:rPr>
        <w:t xml:space="preserve">Safety Guide </w:t>
      </w:r>
      <w:r w:rsidR="00E33322" w:rsidRPr="00C10D10">
        <w:rPr>
          <w:rFonts w:ascii="Times New Roman" w:hAnsi="Times New Roman"/>
          <w:sz w:val="24"/>
          <w:szCs w:val="24"/>
        </w:rPr>
        <w:t xml:space="preserve">is limited to </w:t>
      </w:r>
      <w:r w:rsidR="00E43DF7">
        <w:rPr>
          <w:rFonts w:ascii="Times New Roman" w:hAnsi="Times New Roman"/>
          <w:sz w:val="24"/>
          <w:szCs w:val="24"/>
        </w:rPr>
        <w:t>discharges</w:t>
      </w:r>
      <w:r w:rsidR="00AC615A" w:rsidRPr="00C10D10">
        <w:rPr>
          <w:rFonts w:ascii="Times New Roman" w:hAnsi="Times New Roman"/>
          <w:sz w:val="24"/>
          <w:szCs w:val="24"/>
        </w:rPr>
        <w:t xml:space="preserve"> </w:t>
      </w:r>
      <w:r w:rsidR="00E33322" w:rsidRPr="00C10D10">
        <w:rPr>
          <w:rFonts w:ascii="Times New Roman" w:hAnsi="Times New Roman"/>
          <w:sz w:val="24"/>
          <w:szCs w:val="24"/>
        </w:rPr>
        <w:t xml:space="preserve">to the </w:t>
      </w:r>
      <w:r w:rsidR="004E6596" w:rsidRPr="00C10D10">
        <w:rPr>
          <w:rFonts w:ascii="Times New Roman" w:hAnsi="Times New Roman"/>
          <w:sz w:val="24"/>
          <w:szCs w:val="24"/>
        </w:rPr>
        <w:t xml:space="preserve">atmosphere </w:t>
      </w:r>
      <w:r w:rsidR="00E33322" w:rsidRPr="00C10D10">
        <w:rPr>
          <w:rFonts w:ascii="Times New Roman" w:hAnsi="Times New Roman"/>
          <w:sz w:val="24"/>
          <w:szCs w:val="24"/>
        </w:rPr>
        <w:t xml:space="preserve">of </w:t>
      </w:r>
      <w:r w:rsidR="006B1B98" w:rsidRPr="00C10D10">
        <w:rPr>
          <w:rFonts w:ascii="Times New Roman" w:hAnsi="Times New Roman"/>
          <w:sz w:val="24"/>
          <w:szCs w:val="24"/>
        </w:rPr>
        <w:t xml:space="preserve">airborne </w:t>
      </w:r>
      <w:r w:rsidR="00CA00FC">
        <w:rPr>
          <w:rFonts w:ascii="Times New Roman" w:hAnsi="Times New Roman"/>
          <w:sz w:val="24"/>
          <w:szCs w:val="24"/>
        </w:rPr>
        <w:t xml:space="preserve">effluents </w:t>
      </w:r>
      <w:r w:rsidR="004F2FD4">
        <w:rPr>
          <w:rFonts w:ascii="Times New Roman" w:hAnsi="Times New Roman"/>
          <w:sz w:val="24"/>
          <w:szCs w:val="24"/>
        </w:rPr>
        <w:t>and</w:t>
      </w:r>
      <w:r w:rsidR="004F2FD4" w:rsidRPr="00C10D10">
        <w:rPr>
          <w:rFonts w:ascii="Times New Roman" w:hAnsi="Times New Roman"/>
          <w:sz w:val="24"/>
          <w:szCs w:val="24"/>
        </w:rPr>
        <w:t xml:space="preserve"> </w:t>
      </w:r>
      <w:r w:rsidR="004E6596" w:rsidRPr="00C10D10">
        <w:rPr>
          <w:rFonts w:ascii="Times New Roman" w:hAnsi="Times New Roman"/>
          <w:sz w:val="24"/>
          <w:szCs w:val="24"/>
        </w:rPr>
        <w:t xml:space="preserve">to surface </w:t>
      </w:r>
      <w:r w:rsidR="00585CCB" w:rsidRPr="00C10D10">
        <w:rPr>
          <w:rFonts w:ascii="Times New Roman" w:hAnsi="Times New Roman"/>
          <w:sz w:val="24"/>
          <w:szCs w:val="24"/>
        </w:rPr>
        <w:t>aquatic media</w:t>
      </w:r>
      <w:r w:rsidR="004E6596" w:rsidRPr="00C10D10">
        <w:rPr>
          <w:rFonts w:ascii="Times New Roman" w:hAnsi="Times New Roman"/>
          <w:sz w:val="24"/>
          <w:szCs w:val="24"/>
        </w:rPr>
        <w:t xml:space="preserve"> of </w:t>
      </w:r>
      <w:r w:rsidR="00E33322" w:rsidRPr="00C10D10">
        <w:rPr>
          <w:rFonts w:ascii="Times New Roman" w:hAnsi="Times New Roman"/>
          <w:sz w:val="24"/>
          <w:szCs w:val="24"/>
        </w:rPr>
        <w:t>liquid effluents from</w:t>
      </w:r>
      <w:r w:rsidR="006E7723" w:rsidRPr="00C10D10">
        <w:rPr>
          <w:rFonts w:ascii="Times New Roman" w:hAnsi="Times New Roman"/>
          <w:sz w:val="24"/>
          <w:szCs w:val="24"/>
        </w:rPr>
        <w:t xml:space="preserve"> facilities </w:t>
      </w:r>
      <w:r w:rsidR="00CA00FC">
        <w:rPr>
          <w:rFonts w:ascii="Times New Roman" w:hAnsi="Times New Roman"/>
          <w:sz w:val="24"/>
          <w:szCs w:val="24"/>
        </w:rPr>
        <w:t xml:space="preserve">and </w:t>
      </w:r>
      <w:r w:rsidR="00CA00FC" w:rsidRPr="00C10D10">
        <w:rPr>
          <w:rFonts w:ascii="Times New Roman" w:hAnsi="Times New Roman"/>
          <w:sz w:val="24"/>
          <w:szCs w:val="24"/>
        </w:rPr>
        <w:t xml:space="preserve">activities </w:t>
      </w:r>
      <w:r w:rsidR="00882AD7" w:rsidRPr="00C10D10">
        <w:rPr>
          <w:rFonts w:ascii="Times New Roman" w:hAnsi="Times New Roman"/>
          <w:sz w:val="24"/>
          <w:szCs w:val="24"/>
        </w:rPr>
        <w:t xml:space="preserve">during normal operation </w:t>
      </w:r>
      <w:r w:rsidR="004E6596" w:rsidRPr="00C10D10">
        <w:rPr>
          <w:rFonts w:ascii="Times New Roman" w:hAnsi="Times New Roman"/>
          <w:sz w:val="24"/>
          <w:szCs w:val="24"/>
        </w:rPr>
        <w:t>in planned</w:t>
      </w:r>
      <w:r w:rsidR="00E33322" w:rsidRPr="00C10D10">
        <w:rPr>
          <w:rFonts w:ascii="Times New Roman" w:hAnsi="Times New Roman"/>
          <w:sz w:val="24"/>
          <w:szCs w:val="24"/>
        </w:rPr>
        <w:t xml:space="preserve"> exposure </w:t>
      </w:r>
      <w:r w:rsidR="00DC764F" w:rsidRPr="00C10D10">
        <w:rPr>
          <w:rFonts w:ascii="Times New Roman" w:hAnsi="Times New Roman"/>
          <w:sz w:val="24"/>
          <w:szCs w:val="24"/>
        </w:rPr>
        <w:t>situations</w:t>
      </w:r>
      <w:r w:rsidR="006D17CA">
        <w:rPr>
          <w:rFonts w:ascii="Times New Roman" w:hAnsi="Times New Roman"/>
          <w:sz w:val="24"/>
          <w:szCs w:val="24"/>
        </w:rPr>
        <w:t xml:space="preserve"> </w:t>
      </w:r>
      <w:r w:rsidR="00417BFF">
        <w:rPr>
          <w:rFonts w:ascii="Times New Roman" w:hAnsi="Times New Roman"/>
          <w:sz w:val="24"/>
          <w:szCs w:val="24"/>
        </w:rPr>
        <w:t>[3]</w:t>
      </w:r>
      <w:r w:rsidRPr="00C10D10">
        <w:rPr>
          <w:rFonts w:ascii="Times New Roman" w:hAnsi="Times New Roman"/>
          <w:sz w:val="24"/>
          <w:szCs w:val="24"/>
        </w:rPr>
        <w:t xml:space="preserve">. </w:t>
      </w:r>
      <w:r w:rsidR="004F2FD4">
        <w:rPr>
          <w:rFonts w:ascii="Times New Roman" w:hAnsi="Times New Roman"/>
          <w:sz w:val="24"/>
          <w:szCs w:val="24"/>
        </w:rPr>
        <w:t>The d</w:t>
      </w:r>
      <w:r w:rsidR="00E43DF7">
        <w:rPr>
          <w:rFonts w:ascii="Times New Roman" w:hAnsi="Times New Roman"/>
          <w:sz w:val="24"/>
          <w:szCs w:val="24"/>
        </w:rPr>
        <w:t>isposal of s</w:t>
      </w:r>
      <w:r w:rsidR="004E6596" w:rsidRPr="00C10D10">
        <w:rPr>
          <w:rFonts w:ascii="Times New Roman" w:hAnsi="Times New Roman"/>
          <w:sz w:val="24"/>
          <w:szCs w:val="24"/>
        </w:rPr>
        <w:t>olid radioactive waste</w:t>
      </w:r>
      <w:r w:rsidR="009F0346" w:rsidRPr="00C10D10">
        <w:rPr>
          <w:rFonts w:ascii="Times New Roman" w:hAnsi="Times New Roman"/>
          <w:sz w:val="24"/>
          <w:szCs w:val="24"/>
        </w:rPr>
        <w:t>,</w:t>
      </w:r>
      <w:r w:rsidR="00AC615A" w:rsidRPr="00C10D10">
        <w:rPr>
          <w:rFonts w:ascii="Times New Roman" w:hAnsi="Times New Roman"/>
          <w:sz w:val="24"/>
          <w:szCs w:val="24"/>
        </w:rPr>
        <w:t xml:space="preserve"> releases</w:t>
      </w:r>
      <w:r w:rsidR="009B1B5D">
        <w:rPr>
          <w:rFonts w:ascii="Times New Roman" w:hAnsi="Times New Roman"/>
          <w:sz w:val="24"/>
          <w:szCs w:val="24"/>
        </w:rPr>
        <w:t xml:space="preserve"> of radioactive </w:t>
      </w:r>
      <w:r w:rsidR="004F2FD4">
        <w:rPr>
          <w:rFonts w:ascii="Times New Roman" w:hAnsi="Times New Roman"/>
          <w:sz w:val="24"/>
          <w:szCs w:val="24"/>
        </w:rPr>
        <w:t>substances in the post-closure period of a waste disposal facility</w:t>
      </w:r>
      <w:r w:rsidR="004E6596" w:rsidRPr="00C10D10">
        <w:rPr>
          <w:rFonts w:ascii="Times New Roman" w:hAnsi="Times New Roman"/>
          <w:sz w:val="24"/>
          <w:szCs w:val="24"/>
        </w:rPr>
        <w:t>,</w:t>
      </w:r>
      <w:r w:rsidR="00006251" w:rsidRPr="00BE2086">
        <w:rPr>
          <w:rFonts w:ascii="Times New Roman" w:hAnsi="Times New Roman"/>
          <w:sz w:val="24"/>
          <w:szCs w:val="24"/>
        </w:rPr>
        <w:t xml:space="preserve"> </w:t>
      </w:r>
      <w:r w:rsidR="009B1B5D">
        <w:rPr>
          <w:rFonts w:ascii="Times New Roman" w:hAnsi="Times New Roman"/>
          <w:sz w:val="24"/>
          <w:szCs w:val="24"/>
        </w:rPr>
        <w:t xml:space="preserve">the </w:t>
      </w:r>
      <w:r w:rsidR="00006251" w:rsidRPr="00BE2086">
        <w:rPr>
          <w:rFonts w:ascii="Times New Roman" w:hAnsi="Times New Roman"/>
          <w:sz w:val="24"/>
          <w:szCs w:val="24"/>
        </w:rPr>
        <w:t xml:space="preserve">migration </w:t>
      </w:r>
      <w:r w:rsidR="00513300" w:rsidRPr="00BE2086">
        <w:rPr>
          <w:rFonts w:ascii="Times New Roman" w:hAnsi="Times New Roman"/>
          <w:sz w:val="24"/>
          <w:szCs w:val="24"/>
        </w:rPr>
        <w:t xml:space="preserve">of </w:t>
      </w:r>
      <w:r w:rsidR="00882AD7" w:rsidRPr="00BE2086">
        <w:rPr>
          <w:rFonts w:ascii="Times New Roman" w:hAnsi="Times New Roman"/>
          <w:sz w:val="24"/>
          <w:szCs w:val="24"/>
        </w:rPr>
        <w:t>liquid</w:t>
      </w:r>
      <w:r w:rsidR="004E6596" w:rsidRPr="00BE2086">
        <w:rPr>
          <w:rFonts w:ascii="Times New Roman" w:hAnsi="Times New Roman"/>
          <w:sz w:val="24"/>
          <w:szCs w:val="24"/>
        </w:rPr>
        <w:t>s</w:t>
      </w:r>
      <w:r w:rsidR="00882AD7" w:rsidRPr="00C10D10">
        <w:rPr>
          <w:rFonts w:ascii="Times New Roman" w:hAnsi="Times New Roman"/>
          <w:sz w:val="24"/>
          <w:szCs w:val="24"/>
        </w:rPr>
        <w:t xml:space="preserve"> containing </w:t>
      </w:r>
      <w:r w:rsidR="00513300" w:rsidRPr="00C10D10">
        <w:rPr>
          <w:rFonts w:ascii="Times New Roman" w:hAnsi="Times New Roman"/>
          <w:sz w:val="24"/>
          <w:szCs w:val="24"/>
        </w:rPr>
        <w:t>radio</w:t>
      </w:r>
      <w:r w:rsidR="00615245">
        <w:rPr>
          <w:rFonts w:ascii="Times New Roman" w:hAnsi="Times New Roman"/>
          <w:sz w:val="24"/>
          <w:szCs w:val="24"/>
        </w:rPr>
        <w:t>nuclides</w:t>
      </w:r>
      <w:r w:rsidR="004F2FD4" w:rsidRPr="00C10D10">
        <w:rPr>
          <w:rFonts w:ascii="Times New Roman" w:hAnsi="Times New Roman"/>
          <w:sz w:val="24"/>
          <w:szCs w:val="24"/>
        </w:rPr>
        <w:t xml:space="preserve"> </w:t>
      </w:r>
      <w:r w:rsidR="004E6596" w:rsidRPr="00C10D10">
        <w:rPr>
          <w:rFonts w:ascii="Times New Roman" w:hAnsi="Times New Roman"/>
          <w:sz w:val="24"/>
          <w:szCs w:val="24"/>
        </w:rPr>
        <w:t>in</w:t>
      </w:r>
      <w:r w:rsidR="009F0346" w:rsidRPr="00C10D10">
        <w:rPr>
          <w:rFonts w:ascii="Times New Roman" w:hAnsi="Times New Roman"/>
          <w:sz w:val="24"/>
          <w:szCs w:val="24"/>
        </w:rPr>
        <w:t>to</w:t>
      </w:r>
      <w:r w:rsidR="004E6596" w:rsidRPr="00C10D10">
        <w:rPr>
          <w:rFonts w:ascii="Times New Roman" w:hAnsi="Times New Roman"/>
          <w:sz w:val="24"/>
          <w:szCs w:val="24"/>
        </w:rPr>
        <w:t xml:space="preserve"> </w:t>
      </w:r>
      <w:r w:rsidR="00513300" w:rsidRPr="00C10D10">
        <w:rPr>
          <w:rFonts w:ascii="Times New Roman" w:hAnsi="Times New Roman"/>
          <w:sz w:val="24"/>
          <w:szCs w:val="24"/>
        </w:rPr>
        <w:t>underground</w:t>
      </w:r>
      <w:r w:rsidR="004E6596" w:rsidRPr="00C10D10">
        <w:rPr>
          <w:rFonts w:ascii="Times New Roman" w:hAnsi="Times New Roman"/>
          <w:sz w:val="24"/>
          <w:szCs w:val="24"/>
        </w:rPr>
        <w:t xml:space="preserve"> water</w:t>
      </w:r>
      <w:r w:rsidR="001951CF" w:rsidRPr="00C10D10">
        <w:rPr>
          <w:rFonts w:ascii="Times New Roman" w:hAnsi="Times New Roman"/>
          <w:sz w:val="24"/>
          <w:szCs w:val="24"/>
        </w:rPr>
        <w:t>,</w:t>
      </w:r>
      <w:r w:rsidR="00513300" w:rsidRPr="00C10D10">
        <w:rPr>
          <w:rFonts w:ascii="Times New Roman" w:hAnsi="Times New Roman"/>
          <w:sz w:val="24"/>
          <w:szCs w:val="24"/>
        </w:rPr>
        <w:t xml:space="preserve"> </w:t>
      </w:r>
      <w:r w:rsidR="001951CF" w:rsidRPr="00C10D10">
        <w:rPr>
          <w:rFonts w:ascii="Times New Roman" w:hAnsi="Times New Roman"/>
          <w:sz w:val="24"/>
          <w:szCs w:val="24"/>
        </w:rPr>
        <w:t>and</w:t>
      </w:r>
      <w:r w:rsidR="00513300" w:rsidRPr="00C10D10">
        <w:rPr>
          <w:rFonts w:ascii="Times New Roman" w:hAnsi="Times New Roman"/>
          <w:sz w:val="24"/>
          <w:szCs w:val="24"/>
        </w:rPr>
        <w:t xml:space="preserve"> releases to the environment </w:t>
      </w:r>
      <w:r w:rsidR="009B1B5D">
        <w:rPr>
          <w:rFonts w:ascii="Times New Roman" w:hAnsi="Times New Roman"/>
          <w:sz w:val="24"/>
          <w:szCs w:val="24"/>
        </w:rPr>
        <w:t>due to</w:t>
      </w:r>
      <w:r w:rsidR="009B1B5D" w:rsidRPr="00C10D10">
        <w:rPr>
          <w:rFonts w:ascii="Times New Roman" w:hAnsi="Times New Roman"/>
          <w:sz w:val="24"/>
          <w:szCs w:val="24"/>
        </w:rPr>
        <w:t xml:space="preserve"> </w:t>
      </w:r>
      <w:r w:rsidR="00513300" w:rsidRPr="00C10D10">
        <w:rPr>
          <w:rFonts w:ascii="Times New Roman" w:hAnsi="Times New Roman"/>
          <w:sz w:val="24"/>
          <w:szCs w:val="24"/>
        </w:rPr>
        <w:t xml:space="preserve">accidents are not addressed in this </w:t>
      </w:r>
      <w:r w:rsidR="00513300" w:rsidRPr="00C604B7">
        <w:rPr>
          <w:rFonts w:ascii="Times New Roman" w:hAnsi="Times New Roman"/>
          <w:sz w:val="24"/>
          <w:szCs w:val="24"/>
        </w:rPr>
        <w:t>Safety Guide</w:t>
      </w:r>
      <w:r w:rsidR="00C604B7" w:rsidRPr="00C604B7">
        <w:rPr>
          <w:rFonts w:ascii="Times New Roman" w:hAnsi="Times New Roman"/>
          <w:sz w:val="24"/>
          <w:szCs w:val="24"/>
        </w:rPr>
        <w:t xml:space="preserve">; </w:t>
      </w:r>
      <w:r w:rsidR="00C604B7" w:rsidRPr="009A319F">
        <w:rPr>
          <w:rFonts w:ascii="Times New Roman" w:hAnsi="Times New Roman"/>
          <w:sz w:val="24"/>
          <w:szCs w:val="24"/>
        </w:rPr>
        <w:t xml:space="preserve">relevant guidance is </w:t>
      </w:r>
      <w:r w:rsidR="001354A8">
        <w:rPr>
          <w:rFonts w:ascii="Times New Roman" w:hAnsi="Times New Roman"/>
          <w:sz w:val="24"/>
          <w:szCs w:val="24"/>
        </w:rPr>
        <w:t>provided</w:t>
      </w:r>
      <w:r w:rsidR="001354A8" w:rsidRPr="009A319F">
        <w:rPr>
          <w:rFonts w:ascii="Times New Roman" w:hAnsi="Times New Roman"/>
          <w:sz w:val="24"/>
          <w:szCs w:val="24"/>
        </w:rPr>
        <w:t xml:space="preserve"> </w:t>
      </w:r>
      <w:r w:rsidR="00C604B7" w:rsidRPr="009A319F">
        <w:rPr>
          <w:rFonts w:ascii="Times New Roman" w:hAnsi="Times New Roman"/>
          <w:sz w:val="24"/>
          <w:szCs w:val="24"/>
        </w:rPr>
        <w:t xml:space="preserve">in </w:t>
      </w:r>
      <w:r w:rsidR="001354A8">
        <w:rPr>
          <w:rFonts w:ascii="Times New Roman" w:hAnsi="Times New Roman"/>
          <w:sz w:val="24"/>
          <w:szCs w:val="24"/>
        </w:rPr>
        <w:t xml:space="preserve">other </w:t>
      </w:r>
      <w:r w:rsidR="006D17CA">
        <w:rPr>
          <w:rFonts w:ascii="Times New Roman" w:hAnsi="Times New Roman"/>
          <w:sz w:val="24"/>
          <w:szCs w:val="24"/>
        </w:rPr>
        <w:t>Safety Guides</w:t>
      </w:r>
      <w:r w:rsidR="00C505DE">
        <w:rPr>
          <w:rFonts w:ascii="Times New Roman" w:hAnsi="Times New Roman"/>
          <w:sz w:val="24"/>
          <w:szCs w:val="24"/>
        </w:rPr>
        <w:t xml:space="preserve"> </w:t>
      </w:r>
      <w:r w:rsidR="00B04672">
        <w:rPr>
          <w:rFonts w:ascii="Times New Roman" w:hAnsi="Times New Roman"/>
          <w:sz w:val="24"/>
          <w:szCs w:val="24"/>
        </w:rPr>
        <w:t>[</w:t>
      </w:r>
      <w:r w:rsidR="004F2FD4">
        <w:rPr>
          <w:rFonts w:ascii="Times New Roman" w:hAnsi="Times New Roman"/>
          <w:sz w:val="24"/>
          <w:szCs w:val="24"/>
        </w:rPr>
        <w:t>1</w:t>
      </w:r>
      <w:r w:rsidR="00B04672">
        <w:rPr>
          <w:rFonts w:ascii="Times New Roman" w:hAnsi="Times New Roman"/>
          <w:sz w:val="24"/>
          <w:szCs w:val="24"/>
        </w:rPr>
        <w:t>1</w:t>
      </w:r>
      <w:r w:rsidR="006D17CA">
        <w:rPr>
          <w:rFonts w:ascii="Times New Roman" w:hAnsi="Times New Roman"/>
          <w:sz w:val="24"/>
          <w:szCs w:val="24"/>
        </w:rPr>
        <w:t xml:space="preserve"> –</w:t>
      </w:r>
      <w:r w:rsidR="00B04672">
        <w:rPr>
          <w:rFonts w:ascii="Times New Roman" w:hAnsi="Times New Roman"/>
          <w:sz w:val="24"/>
          <w:szCs w:val="24"/>
        </w:rPr>
        <w:t xml:space="preserve"> </w:t>
      </w:r>
      <w:r w:rsidR="004F2FD4">
        <w:rPr>
          <w:rFonts w:ascii="Times New Roman" w:hAnsi="Times New Roman"/>
          <w:sz w:val="24"/>
          <w:szCs w:val="24"/>
        </w:rPr>
        <w:t>1</w:t>
      </w:r>
      <w:r w:rsidR="00B04672">
        <w:rPr>
          <w:rFonts w:ascii="Times New Roman" w:hAnsi="Times New Roman"/>
          <w:sz w:val="24"/>
          <w:szCs w:val="24"/>
        </w:rPr>
        <w:t>4]</w:t>
      </w:r>
      <w:r w:rsidR="00C604B7" w:rsidRPr="009A319F">
        <w:rPr>
          <w:rFonts w:ascii="Times New Roman" w:hAnsi="Times New Roman"/>
          <w:sz w:val="24"/>
          <w:szCs w:val="24"/>
        </w:rPr>
        <w:t>.</w:t>
      </w:r>
    </w:p>
    <w:p w:rsidR="00C97A46" w:rsidRPr="00C10D10" w:rsidRDefault="00BD1E13" w:rsidP="002704B6">
      <w:pPr>
        <w:numPr>
          <w:ilvl w:val="0"/>
          <w:numId w:val="2"/>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This Safety </w:t>
      </w:r>
      <w:r w:rsidR="009362E2" w:rsidRPr="00C10D10">
        <w:rPr>
          <w:rFonts w:ascii="Times New Roman" w:hAnsi="Times New Roman"/>
          <w:sz w:val="24"/>
          <w:szCs w:val="24"/>
        </w:rPr>
        <w:t>Guide provides</w:t>
      </w:r>
      <w:r w:rsidR="004E6596" w:rsidRPr="00C10D10">
        <w:rPr>
          <w:rFonts w:ascii="Times New Roman" w:hAnsi="Times New Roman"/>
          <w:sz w:val="24"/>
          <w:szCs w:val="24"/>
        </w:rPr>
        <w:t xml:space="preserve"> guidance on </w:t>
      </w:r>
      <w:r w:rsidRPr="00C10D10">
        <w:rPr>
          <w:rFonts w:ascii="Times New Roman" w:hAnsi="Times New Roman"/>
          <w:sz w:val="24"/>
          <w:szCs w:val="24"/>
        </w:rPr>
        <w:t xml:space="preserve">the </w:t>
      </w:r>
      <w:r w:rsidR="004C25FB" w:rsidRPr="00C10D10">
        <w:rPr>
          <w:rFonts w:ascii="Times New Roman" w:hAnsi="Times New Roman"/>
          <w:sz w:val="24"/>
          <w:szCs w:val="24"/>
        </w:rPr>
        <w:t xml:space="preserve">regulatory </w:t>
      </w:r>
      <w:r w:rsidRPr="00C10D10">
        <w:rPr>
          <w:rFonts w:ascii="Times New Roman" w:hAnsi="Times New Roman"/>
          <w:sz w:val="24"/>
          <w:szCs w:val="24"/>
        </w:rPr>
        <w:t xml:space="preserve">control of discharges </w:t>
      </w:r>
      <w:r w:rsidR="004C25FB" w:rsidRPr="00C10D10">
        <w:rPr>
          <w:rFonts w:ascii="Times New Roman" w:hAnsi="Times New Roman"/>
          <w:sz w:val="24"/>
          <w:szCs w:val="24"/>
        </w:rPr>
        <w:t>in connection with an</w:t>
      </w:r>
      <w:r w:rsidRPr="00C10D10">
        <w:rPr>
          <w:rFonts w:ascii="Times New Roman" w:hAnsi="Times New Roman"/>
          <w:sz w:val="24"/>
          <w:szCs w:val="24"/>
        </w:rPr>
        <w:t xml:space="preserve"> authorization</w:t>
      </w:r>
      <w:r w:rsidR="004C25FB" w:rsidRPr="00C10D10">
        <w:rPr>
          <w:rFonts w:ascii="Times New Roman" w:hAnsi="Times New Roman"/>
          <w:sz w:val="24"/>
          <w:szCs w:val="24"/>
        </w:rPr>
        <w:t xml:space="preserve"> process</w:t>
      </w:r>
      <w:r w:rsidR="00585CCB" w:rsidRPr="00C10D10">
        <w:rPr>
          <w:rStyle w:val="FootnoteReference"/>
          <w:rFonts w:ascii="Times New Roman" w:hAnsi="Times New Roman"/>
          <w:sz w:val="24"/>
          <w:szCs w:val="24"/>
        </w:rPr>
        <w:footnoteReference w:id="4"/>
      </w:r>
      <w:r w:rsidR="00D0268E" w:rsidRPr="00C10D10">
        <w:rPr>
          <w:rFonts w:ascii="Times New Roman" w:hAnsi="Times New Roman"/>
          <w:sz w:val="24"/>
          <w:szCs w:val="24"/>
        </w:rPr>
        <w:t xml:space="preserve">. </w:t>
      </w:r>
      <w:r w:rsidR="004E75EF">
        <w:rPr>
          <w:rFonts w:ascii="Times New Roman" w:hAnsi="Times New Roman"/>
          <w:sz w:val="24"/>
          <w:szCs w:val="24"/>
        </w:rPr>
        <w:t>More specifically</w:t>
      </w:r>
      <w:r w:rsidR="00B86BD8">
        <w:rPr>
          <w:rFonts w:ascii="Times New Roman" w:hAnsi="Times New Roman"/>
          <w:sz w:val="24"/>
          <w:szCs w:val="24"/>
        </w:rPr>
        <w:t>,</w:t>
      </w:r>
      <w:r w:rsidR="004E75EF">
        <w:rPr>
          <w:rFonts w:ascii="Times New Roman" w:hAnsi="Times New Roman"/>
          <w:sz w:val="24"/>
          <w:szCs w:val="24"/>
        </w:rPr>
        <w:t xml:space="preserve"> this Safety Guide </w:t>
      </w:r>
      <w:r w:rsidR="001354A8">
        <w:rPr>
          <w:rFonts w:ascii="Times New Roman" w:hAnsi="Times New Roman"/>
          <w:sz w:val="24"/>
          <w:szCs w:val="24"/>
        </w:rPr>
        <w:t xml:space="preserve">addresses </w:t>
      </w:r>
      <w:r w:rsidR="004E75EF">
        <w:rPr>
          <w:rFonts w:ascii="Times New Roman" w:hAnsi="Times New Roman"/>
          <w:sz w:val="24"/>
          <w:szCs w:val="24"/>
        </w:rPr>
        <w:t>t</w:t>
      </w:r>
      <w:r w:rsidR="00C97A46" w:rsidRPr="00C10D10">
        <w:rPr>
          <w:rFonts w:ascii="Times New Roman" w:hAnsi="Times New Roman"/>
          <w:sz w:val="24"/>
          <w:szCs w:val="24"/>
        </w:rPr>
        <w:t xml:space="preserve">he authorization of </w:t>
      </w:r>
      <w:r w:rsidR="00D0268E" w:rsidRPr="00C10D10">
        <w:rPr>
          <w:rFonts w:ascii="Times New Roman" w:hAnsi="Times New Roman"/>
          <w:sz w:val="24"/>
          <w:szCs w:val="24"/>
        </w:rPr>
        <w:t xml:space="preserve">discharges from </w:t>
      </w:r>
      <w:r w:rsidR="00C97A46" w:rsidRPr="00C10D10">
        <w:rPr>
          <w:rFonts w:ascii="Times New Roman" w:hAnsi="Times New Roman"/>
          <w:sz w:val="24"/>
          <w:szCs w:val="24"/>
        </w:rPr>
        <w:t>new and modified facilities</w:t>
      </w:r>
      <w:r w:rsidR="005E69D7" w:rsidRPr="00C10D10">
        <w:rPr>
          <w:rFonts w:ascii="Times New Roman" w:hAnsi="Times New Roman"/>
          <w:sz w:val="24"/>
          <w:szCs w:val="24"/>
        </w:rPr>
        <w:t xml:space="preserve"> or activities,</w:t>
      </w:r>
      <w:r w:rsidR="00C97A46" w:rsidRPr="00C10D10">
        <w:rPr>
          <w:rFonts w:ascii="Times New Roman" w:hAnsi="Times New Roman"/>
          <w:sz w:val="24"/>
          <w:szCs w:val="24"/>
        </w:rPr>
        <w:t xml:space="preserve"> </w:t>
      </w:r>
      <w:r w:rsidR="004E75EF">
        <w:rPr>
          <w:rFonts w:ascii="Times New Roman" w:hAnsi="Times New Roman"/>
          <w:sz w:val="24"/>
          <w:szCs w:val="24"/>
        </w:rPr>
        <w:t>and</w:t>
      </w:r>
      <w:r w:rsidR="00D0268E" w:rsidRPr="00C10D10">
        <w:rPr>
          <w:rFonts w:ascii="Times New Roman" w:hAnsi="Times New Roman"/>
          <w:sz w:val="24"/>
          <w:szCs w:val="24"/>
        </w:rPr>
        <w:t xml:space="preserve"> </w:t>
      </w:r>
      <w:r w:rsidR="00C97A46" w:rsidRPr="00C10D10">
        <w:rPr>
          <w:rFonts w:ascii="Times New Roman" w:hAnsi="Times New Roman"/>
          <w:sz w:val="24"/>
          <w:szCs w:val="24"/>
        </w:rPr>
        <w:t>the review of established authorizations</w:t>
      </w:r>
      <w:r w:rsidR="009B1B5D">
        <w:rPr>
          <w:rFonts w:ascii="Times New Roman" w:hAnsi="Times New Roman"/>
          <w:sz w:val="24"/>
          <w:szCs w:val="24"/>
        </w:rPr>
        <w:t xml:space="preserve"> for discharges</w:t>
      </w:r>
      <w:r w:rsidR="00605D31" w:rsidRPr="00C10D10">
        <w:rPr>
          <w:rFonts w:ascii="Times New Roman" w:hAnsi="Times New Roman"/>
          <w:sz w:val="24"/>
          <w:szCs w:val="24"/>
        </w:rPr>
        <w:t>.</w:t>
      </w:r>
    </w:p>
    <w:p w:rsidR="00EB290F" w:rsidRPr="00C10D10" w:rsidRDefault="00EB290F" w:rsidP="002704B6">
      <w:pPr>
        <w:numPr>
          <w:ilvl w:val="0"/>
          <w:numId w:val="2"/>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This Safety Guide addresses the derivation of </w:t>
      </w:r>
      <w:r w:rsidR="009362E2" w:rsidRPr="00C10D10">
        <w:rPr>
          <w:rFonts w:ascii="Times New Roman" w:hAnsi="Times New Roman"/>
          <w:sz w:val="24"/>
          <w:szCs w:val="24"/>
        </w:rPr>
        <w:t xml:space="preserve">operational </w:t>
      </w:r>
      <w:r w:rsidRPr="00C10D10">
        <w:rPr>
          <w:rFonts w:ascii="Times New Roman" w:hAnsi="Times New Roman"/>
          <w:sz w:val="24"/>
          <w:szCs w:val="24"/>
        </w:rPr>
        <w:t>limits</w:t>
      </w:r>
      <w:r w:rsidR="009B0DC9">
        <w:rPr>
          <w:rFonts w:ascii="Times New Roman" w:hAnsi="Times New Roman"/>
          <w:sz w:val="24"/>
          <w:szCs w:val="24"/>
        </w:rPr>
        <w:t xml:space="preserve"> and conditions </w:t>
      </w:r>
      <w:r w:rsidRPr="00C10D10">
        <w:rPr>
          <w:rFonts w:ascii="Times New Roman" w:hAnsi="Times New Roman"/>
          <w:sz w:val="24"/>
          <w:szCs w:val="24"/>
        </w:rPr>
        <w:t>for discharge</w:t>
      </w:r>
      <w:r w:rsidR="00790224" w:rsidRPr="00C10D10">
        <w:rPr>
          <w:rFonts w:ascii="Times New Roman" w:hAnsi="Times New Roman"/>
          <w:sz w:val="24"/>
          <w:szCs w:val="24"/>
        </w:rPr>
        <w:t>s</w:t>
      </w:r>
      <w:r w:rsidRPr="00C10D10">
        <w:rPr>
          <w:rFonts w:ascii="Times New Roman" w:hAnsi="Times New Roman"/>
          <w:sz w:val="24"/>
          <w:szCs w:val="24"/>
        </w:rPr>
        <w:t xml:space="preserve">, the demonstration of compliance with the authorization </w:t>
      </w:r>
      <w:r w:rsidR="00B9542F" w:rsidRPr="00C10D10">
        <w:rPr>
          <w:rFonts w:ascii="Times New Roman" w:hAnsi="Times New Roman"/>
          <w:sz w:val="24"/>
          <w:szCs w:val="24"/>
        </w:rPr>
        <w:t xml:space="preserve">and </w:t>
      </w:r>
      <w:r w:rsidR="0011746E" w:rsidRPr="00C10D10">
        <w:rPr>
          <w:rFonts w:ascii="Times New Roman" w:hAnsi="Times New Roman"/>
          <w:sz w:val="24"/>
          <w:szCs w:val="24"/>
        </w:rPr>
        <w:t xml:space="preserve">the need for </w:t>
      </w:r>
      <w:r w:rsidR="009B1B5D">
        <w:rPr>
          <w:rFonts w:ascii="Times New Roman" w:hAnsi="Times New Roman"/>
          <w:sz w:val="24"/>
          <w:szCs w:val="24"/>
        </w:rPr>
        <w:t xml:space="preserve">a </w:t>
      </w:r>
      <w:r w:rsidR="00B86BD8">
        <w:rPr>
          <w:rFonts w:ascii="Times New Roman" w:hAnsi="Times New Roman"/>
          <w:sz w:val="24"/>
          <w:szCs w:val="24"/>
        </w:rPr>
        <w:t>radiation</w:t>
      </w:r>
      <w:r w:rsidR="00B86BD8" w:rsidRPr="00C10D10">
        <w:rPr>
          <w:rFonts w:ascii="Times New Roman" w:hAnsi="Times New Roman"/>
          <w:sz w:val="24"/>
          <w:szCs w:val="24"/>
        </w:rPr>
        <w:t xml:space="preserve"> </w:t>
      </w:r>
      <w:r w:rsidRPr="00C10D10">
        <w:rPr>
          <w:rFonts w:ascii="Times New Roman" w:hAnsi="Times New Roman"/>
          <w:sz w:val="24"/>
          <w:szCs w:val="24"/>
        </w:rPr>
        <w:t>monitoring programme.</w:t>
      </w:r>
      <w:r w:rsidR="00A35D88" w:rsidRPr="00C10D10">
        <w:rPr>
          <w:rFonts w:ascii="Times New Roman" w:hAnsi="Times New Roman"/>
          <w:sz w:val="24"/>
          <w:szCs w:val="24"/>
        </w:rPr>
        <w:t xml:space="preserve"> </w:t>
      </w:r>
      <w:r w:rsidR="0011746E" w:rsidRPr="00C10D10">
        <w:rPr>
          <w:rFonts w:ascii="Times New Roman" w:hAnsi="Times New Roman"/>
          <w:sz w:val="24"/>
          <w:szCs w:val="24"/>
        </w:rPr>
        <w:t xml:space="preserve">An important </w:t>
      </w:r>
      <w:r w:rsidR="005E69D7" w:rsidRPr="00C10D10">
        <w:rPr>
          <w:rFonts w:ascii="Times New Roman" w:hAnsi="Times New Roman"/>
          <w:sz w:val="24"/>
          <w:szCs w:val="24"/>
        </w:rPr>
        <w:t xml:space="preserve">initial </w:t>
      </w:r>
      <w:r w:rsidR="0011746E" w:rsidRPr="00C10D10">
        <w:rPr>
          <w:rFonts w:ascii="Times New Roman" w:hAnsi="Times New Roman"/>
          <w:sz w:val="24"/>
          <w:szCs w:val="24"/>
        </w:rPr>
        <w:t xml:space="preserve">input into the process of controlling discharges </w:t>
      </w:r>
      <w:r w:rsidR="0050479A" w:rsidRPr="00C10D10">
        <w:rPr>
          <w:rFonts w:ascii="Times New Roman" w:hAnsi="Times New Roman"/>
          <w:sz w:val="24"/>
          <w:szCs w:val="24"/>
        </w:rPr>
        <w:t>is</w:t>
      </w:r>
      <w:r w:rsidR="0011746E" w:rsidRPr="00C10D10">
        <w:rPr>
          <w:rFonts w:ascii="Times New Roman" w:hAnsi="Times New Roman"/>
          <w:sz w:val="24"/>
          <w:szCs w:val="24"/>
        </w:rPr>
        <w:t xml:space="preserve"> the</w:t>
      </w:r>
      <w:r w:rsidR="009362E2" w:rsidRPr="00C10D10">
        <w:rPr>
          <w:rFonts w:ascii="Times New Roman" w:hAnsi="Times New Roman"/>
          <w:sz w:val="24"/>
          <w:szCs w:val="24"/>
        </w:rPr>
        <w:t xml:space="preserve"> prospective </w:t>
      </w:r>
      <w:r w:rsidR="0011746E" w:rsidRPr="00C10D10">
        <w:rPr>
          <w:rFonts w:ascii="Times New Roman" w:hAnsi="Times New Roman"/>
          <w:sz w:val="24"/>
          <w:szCs w:val="24"/>
        </w:rPr>
        <w:t xml:space="preserve">assessment of </w:t>
      </w:r>
      <w:r w:rsidR="00B9542F" w:rsidRPr="00C10D10">
        <w:rPr>
          <w:rFonts w:ascii="Times New Roman" w:hAnsi="Times New Roman"/>
          <w:sz w:val="24"/>
          <w:szCs w:val="24"/>
        </w:rPr>
        <w:t xml:space="preserve">the protection of </w:t>
      </w:r>
      <w:r w:rsidR="009B1B5D">
        <w:rPr>
          <w:rFonts w:ascii="Times New Roman" w:hAnsi="Times New Roman"/>
          <w:sz w:val="24"/>
          <w:szCs w:val="24"/>
        </w:rPr>
        <w:t xml:space="preserve">the </w:t>
      </w:r>
      <w:r w:rsidR="00B9542F" w:rsidRPr="00C10D10">
        <w:rPr>
          <w:rFonts w:ascii="Times New Roman" w:hAnsi="Times New Roman"/>
          <w:sz w:val="24"/>
          <w:szCs w:val="24"/>
        </w:rPr>
        <w:t xml:space="preserve">public and the environment </w:t>
      </w:r>
      <w:r w:rsidR="001354A8">
        <w:rPr>
          <w:rFonts w:ascii="Times New Roman" w:hAnsi="Times New Roman"/>
          <w:sz w:val="24"/>
          <w:szCs w:val="24"/>
        </w:rPr>
        <w:t>from</w:t>
      </w:r>
      <w:r w:rsidR="001354A8" w:rsidRPr="00C10D10">
        <w:rPr>
          <w:rFonts w:ascii="Times New Roman" w:hAnsi="Times New Roman"/>
          <w:sz w:val="24"/>
          <w:szCs w:val="24"/>
        </w:rPr>
        <w:t xml:space="preserve"> </w:t>
      </w:r>
      <w:r w:rsidR="00790224" w:rsidRPr="00C10D10">
        <w:rPr>
          <w:rFonts w:ascii="Times New Roman" w:hAnsi="Times New Roman"/>
          <w:sz w:val="24"/>
          <w:szCs w:val="24"/>
        </w:rPr>
        <w:t xml:space="preserve">harmful </w:t>
      </w:r>
      <w:r w:rsidR="00B9542F" w:rsidRPr="00C10D10">
        <w:rPr>
          <w:rFonts w:ascii="Times New Roman" w:hAnsi="Times New Roman"/>
          <w:sz w:val="24"/>
          <w:szCs w:val="24"/>
        </w:rPr>
        <w:t xml:space="preserve">effects of </w:t>
      </w:r>
      <w:r w:rsidR="00790224" w:rsidRPr="00C10D10">
        <w:rPr>
          <w:rFonts w:ascii="Times New Roman" w:hAnsi="Times New Roman"/>
          <w:sz w:val="24"/>
          <w:szCs w:val="24"/>
        </w:rPr>
        <w:t xml:space="preserve">ionizing </w:t>
      </w:r>
      <w:r w:rsidR="00B9542F" w:rsidRPr="00C10D10">
        <w:rPr>
          <w:rFonts w:ascii="Times New Roman" w:hAnsi="Times New Roman"/>
          <w:sz w:val="24"/>
          <w:szCs w:val="24"/>
        </w:rPr>
        <w:t>radiation</w:t>
      </w:r>
      <w:r w:rsidR="0011746E" w:rsidRPr="00C10D10">
        <w:rPr>
          <w:rFonts w:ascii="Times New Roman" w:hAnsi="Times New Roman"/>
          <w:sz w:val="24"/>
          <w:szCs w:val="24"/>
        </w:rPr>
        <w:t xml:space="preserve">. A separate Safety Guide </w:t>
      </w:r>
      <w:r w:rsidR="00BB68EE">
        <w:rPr>
          <w:rFonts w:ascii="Times New Roman" w:hAnsi="Times New Roman"/>
          <w:sz w:val="24"/>
          <w:szCs w:val="24"/>
        </w:rPr>
        <w:t>provides recommendations on</w:t>
      </w:r>
      <w:r w:rsidR="0011746E" w:rsidRPr="00C10D10">
        <w:rPr>
          <w:rFonts w:ascii="Times New Roman" w:hAnsi="Times New Roman"/>
          <w:sz w:val="24"/>
          <w:szCs w:val="24"/>
        </w:rPr>
        <w:t xml:space="preserve"> such </w:t>
      </w:r>
      <w:r w:rsidR="00E17A26" w:rsidRPr="00C10D10">
        <w:rPr>
          <w:rFonts w:ascii="Times New Roman" w:hAnsi="Times New Roman"/>
          <w:sz w:val="24"/>
          <w:szCs w:val="24"/>
        </w:rPr>
        <w:t xml:space="preserve">prospective radiological </w:t>
      </w:r>
      <w:r w:rsidR="0011746E" w:rsidRPr="00C10D10">
        <w:rPr>
          <w:rFonts w:ascii="Times New Roman" w:hAnsi="Times New Roman"/>
          <w:sz w:val="24"/>
          <w:szCs w:val="24"/>
        </w:rPr>
        <w:t xml:space="preserve">impact assessments for both </w:t>
      </w:r>
      <w:proofErr w:type="gramStart"/>
      <w:r w:rsidR="009B1B5D">
        <w:rPr>
          <w:rFonts w:ascii="Times New Roman" w:hAnsi="Times New Roman"/>
          <w:sz w:val="24"/>
          <w:szCs w:val="24"/>
        </w:rPr>
        <w:t>protection</w:t>
      </w:r>
      <w:proofErr w:type="gramEnd"/>
      <w:r w:rsidR="009B1B5D">
        <w:rPr>
          <w:rFonts w:ascii="Times New Roman" w:hAnsi="Times New Roman"/>
          <w:sz w:val="24"/>
          <w:szCs w:val="24"/>
        </w:rPr>
        <w:t xml:space="preserve"> of </w:t>
      </w:r>
      <w:r w:rsidR="00FD2A2A" w:rsidRPr="00C10D10">
        <w:rPr>
          <w:rFonts w:ascii="Times New Roman" w:hAnsi="Times New Roman"/>
          <w:sz w:val="24"/>
          <w:szCs w:val="24"/>
        </w:rPr>
        <w:t xml:space="preserve">the public and </w:t>
      </w:r>
      <w:r w:rsidR="001354A8">
        <w:rPr>
          <w:rFonts w:ascii="Times New Roman" w:hAnsi="Times New Roman"/>
          <w:sz w:val="24"/>
          <w:szCs w:val="24"/>
        </w:rPr>
        <w:t xml:space="preserve">protection of </w:t>
      </w:r>
      <w:r w:rsidR="00FD2A2A" w:rsidRPr="00C10D10">
        <w:rPr>
          <w:rFonts w:ascii="Times New Roman" w:hAnsi="Times New Roman"/>
          <w:sz w:val="24"/>
          <w:szCs w:val="24"/>
        </w:rPr>
        <w:t>the environment [</w:t>
      </w:r>
      <w:r w:rsidR="009B0DC9">
        <w:rPr>
          <w:rFonts w:ascii="Times New Roman" w:hAnsi="Times New Roman"/>
          <w:sz w:val="24"/>
          <w:szCs w:val="24"/>
        </w:rPr>
        <w:t>7</w:t>
      </w:r>
      <w:r w:rsidR="00FD2A2A" w:rsidRPr="00C10D10">
        <w:rPr>
          <w:rFonts w:ascii="Times New Roman" w:hAnsi="Times New Roman"/>
          <w:sz w:val="24"/>
          <w:szCs w:val="24"/>
        </w:rPr>
        <w:t>]</w:t>
      </w:r>
      <w:r w:rsidR="0011746E" w:rsidRPr="00C10D10">
        <w:rPr>
          <w:rFonts w:ascii="Times New Roman" w:hAnsi="Times New Roman"/>
          <w:sz w:val="24"/>
          <w:szCs w:val="24"/>
        </w:rPr>
        <w:t>.</w:t>
      </w:r>
      <w:r w:rsidR="009362E2" w:rsidRPr="00C10D10">
        <w:rPr>
          <w:rFonts w:ascii="Times New Roman" w:hAnsi="Times New Roman"/>
          <w:sz w:val="24"/>
          <w:szCs w:val="24"/>
        </w:rPr>
        <w:t xml:space="preserve"> </w:t>
      </w:r>
      <w:r w:rsidR="0011746E" w:rsidRPr="00C10D10">
        <w:rPr>
          <w:rFonts w:ascii="Times New Roman" w:hAnsi="Times New Roman"/>
          <w:sz w:val="24"/>
          <w:szCs w:val="24"/>
        </w:rPr>
        <w:t xml:space="preserve">Only limited reference is made </w:t>
      </w:r>
      <w:r w:rsidR="009362E2" w:rsidRPr="00C10D10">
        <w:rPr>
          <w:rFonts w:ascii="Times New Roman" w:hAnsi="Times New Roman"/>
          <w:sz w:val="24"/>
          <w:szCs w:val="24"/>
        </w:rPr>
        <w:t>in this Safety Guide</w:t>
      </w:r>
      <w:r w:rsidR="0011746E" w:rsidRPr="00C10D10">
        <w:rPr>
          <w:rFonts w:ascii="Times New Roman" w:hAnsi="Times New Roman"/>
          <w:sz w:val="24"/>
          <w:szCs w:val="24"/>
        </w:rPr>
        <w:t xml:space="preserve"> to the </w:t>
      </w:r>
      <w:r w:rsidR="004E75EF">
        <w:rPr>
          <w:rFonts w:ascii="Times New Roman" w:hAnsi="Times New Roman"/>
          <w:sz w:val="24"/>
          <w:szCs w:val="24"/>
        </w:rPr>
        <w:t xml:space="preserve">methodology used in </w:t>
      </w:r>
      <w:r w:rsidR="005E69D7" w:rsidRPr="00C10D10">
        <w:rPr>
          <w:rFonts w:ascii="Times New Roman" w:hAnsi="Times New Roman"/>
          <w:sz w:val="24"/>
          <w:szCs w:val="24"/>
        </w:rPr>
        <w:t>dose</w:t>
      </w:r>
      <w:r w:rsidR="0011746E" w:rsidRPr="00C10D10">
        <w:rPr>
          <w:rFonts w:ascii="Times New Roman" w:hAnsi="Times New Roman"/>
          <w:sz w:val="24"/>
          <w:szCs w:val="24"/>
        </w:rPr>
        <w:t xml:space="preserve"> assessments and </w:t>
      </w:r>
      <w:r w:rsidR="00D005E5" w:rsidRPr="00C10D10">
        <w:rPr>
          <w:rFonts w:ascii="Times New Roman" w:hAnsi="Times New Roman"/>
          <w:sz w:val="24"/>
          <w:szCs w:val="24"/>
        </w:rPr>
        <w:t>the models</w:t>
      </w:r>
      <w:r w:rsidR="00A35D88" w:rsidRPr="00C10D10">
        <w:rPr>
          <w:rFonts w:ascii="Times New Roman" w:hAnsi="Times New Roman"/>
          <w:sz w:val="24"/>
          <w:szCs w:val="24"/>
        </w:rPr>
        <w:t xml:space="preserve"> and data that may be used in the derivation of </w:t>
      </w:r>
      <w:r w:rsidR="00C21DD5" w:rsidRPr="00C10D10">
        <w:rPr>
          <w:rFonts w:ascii="Times New Roman" w:hAnsi="Times New Roman"/>
          <w:sz w:val="24"/>
          <w:szCs w:val="24"/>
        </w:rPr>
        <w:t>authorized</w:t>
      </w:r>
      <w:r w:rsidR="00A35D88" w:rsidRPr="00C10D10">
        <w:rPr>
          <w:rFonts w:ascii="Times New Roman" w:hAnsi="Times New Roman"/>
          <w:sz w:val="24"/>
          <w:szCs w:val="24"/>
        </w:rPr>
        <w:t xml:space="preserve"> limits, such as those described in </w:t>
      </w:r>
      <w:r w:rsidR="001354A8">
        <w:rPr>
          <w:rFonts w:ascii="Times New Roman" w:hAnsi="Times New Roman"/>
          <w:sz w:val="24"/>
          <w:szCs w:val="24"/>
        </w:rPr>
        <w:t>Ref.</w:t>
      </w:r>
      <w:r w:rsidR="004E75EF">
        <w:rPr>
          <w:rFonts w:ascii="Times New Roman" w:hAnsi="Times New Roman"/>
          <w:sz w:val="24"/>
          <w:szCs w:val="24"/>
        </w:rPr>
        <w:t xml:space="preserve"> </w:t>
      </w:r>
      <w:r w:rsidR="00FD2A2A" w:rsidRPr="00C10D10">
        <w:rPr>
          <w:rFonts w:ascii="Times New Roman" w:hAnsi="Times New Roman"/>
          <w:sz w:val="24"/>
          <w:szCs w:val="24"/>
        </w:rPr>
        <w:t>[1</w:t>
      </w:r>
      <w:r w:rsidR="009B0DC9">
        <w:rPr>
          <w:rFonts w:ascii="Times New Roman" w:hAnsi="Times New Roman"/>
          <w:sz w:val="24"/>
          <w:szCs w:val="24"/>
        </w:rPr>
        <w:t>5</w:t>
      </w:r>
      <w:r w:rsidR="004E75EF">
        <w:rPr>
          <w:rFonts w:ascii="Times New Roman" w:hAnsi="Times New Roman"/>
          <w:sz w:val="24"/>
          <w:szCs w:val="24"/>
        </w:rPr>
        <w:t>]</w:t>
      </w:r>
      <w:r w:rsidR="00C43988">
        <w:rPr>
          <w:rStyle w:val="FootnoteReference"/>
          <w:rFonts w:ascii="Times New Roman" w:hAnsi="Times New Roman"/>
          <w:sz w:val="24"/>
          <w:szCs w:val="24"/>
        </w:rPr>
        <w:footnoteReference w:id="5"/>
      </w:r>
      <w:r w:rsidR="00A35D88" w:rsidRPr="00C10D10">
        <w:rPr>
          <w:rFonts w:ascii="Times New Roman" w:hAnsi="Times New Roman"/>
          <w:sz w:val="24"/>
          <w:szCs w:val="24"/>
        </w:rPr>
        <w:t>.</w:t>
      </w:r>
    </w:p>
    <w:p w:rsidR="004564B7" w:rsidRPr="001354A8" w:rsidRDefault="00645147" w:rsidP="001354A8">
      <w:pPr>
        <w:numPr>
          <w:ilvl w:val="0"/>
          <w:numId w:val="2"/>
        </w:numPr>
        <w:autoSpaceDE w:val="0"/>
        <w:autoSpaceDN w:val="0"/>
        <w:adjustRightInd w:val="0"/>
        <w:spacing w:before="120" w:line="360" w:lineRule="auto"/>
        <w:jc w:val="both"/>
        <w:rPr>
          <w:rFonts w:ascii="Times New Roman" w:hAnsi="Times New Roman"/>
          <w:sz w:val="24"/>
          <w:szCs w:val="24"/>
        </w:rPr>
      </w:pPr>
      <w:r>
        <w:rPr>
          <w:rFonts w:ascii="Times New Roman" w:hAnsi="Times New Roman"/>
          <w:sz w:val="24"/>
          <w:szCs w:val="24"/>
        </w:rPr>
        <w:t xml:space="preserve">This Safety Guide </w:t>
      </w:r>
      <w:r w:rsidR="001354A8">
        <w:rPr>
          <w:rFonts w:ascii="Times New Roman" w:hAnsi="Times New Roman"/>
          <w:sz w:val="24"/>
          <w:szCs w:val="24"/>
        </w:rPr>
        <w:t>applies to</w:t>
      </w:r>
      <w:r w:rsidR="004564B7" w:rsidRPr="00C10D10">
        <w:rPr>
          <w:rFonts w:ascii="Times New Roman" w:hAnsi="Times New Roman"/>
          <w:sz w:val="24"/>
          <w:szCs w:val="24"/>
        </w:rPr>
        <w:t xml:space="preserve"> </w:t>
      </w:r>
      <w:r w:rsidR="00A1681B">
        <w:rPr>
          <w:rFonts w:ascii="Times New Roman" w:hAnsi="Times New Roman"/>
          <w:sz w:val="24"/>
          <w:szCs w:val="24"/>
        </w:rPr>
        <w:t>different types of</w:t>
      </w:r>
      <w:r w:rsidR="006F1FED">
        <w:rPr>
          <w:rFonts w:ascii="Times New Roman" w:hAnsi="Times New Roman"/>
          <w:sz w:val="24"/>
          <w:szCs w:val="24"/>
        </w:rPr>
        <w:t xml:space="preserve"> </w:t>
      </w:r>
      <w:r w:rsidR="0016705B" w:rsidRPr="00C10D10">
        <w:rPr>
          <w:rFonts w:ascii="Times New Roman" w:hAnsi="Times New Roman"/>
          <w:sz w:val="24"/>
          <w:szCs w:val="24"/>
        </w:rPr>
        <w:t xml:space="preserve">facilities </w:t>
      </w:r>
      <w:r w:rsidR="00FD2A2A" w:rsidRPr="00C10D10">
        <w:rPr>
          <w:rFonts w:ascii="Times New Roman" w:hAnsi="Times New Roman"/>
          <w:sz w:val="24"/>
          <w:szCs w:val="24"/>
        </w:rPr>
        <w:t xml:space="preserve">and activities </w:t>
      </w:r>
      <w:r w:rsidR="003B6A85">
        <w:rPr>
          <w:rFonts w:ascii="Times New Roman" w:hAnsi="Times New Roman"/>
          <w:sz w:val="24"/>
          <w:szCs w:val="24"/>
        </w:rPr>
        <w:t xml:space="preserve">that </w:t>
      </w:r>
      <w:r w:rsidR="00983612">
        <w:rPr>
          <w:rFonts w:ascii="Times New Roman" w:hAnsi="Times New Roman"/>
          <w:sz w:val="24"/>
          <w:szCs w:val="24"/>
        </w:rPr>
        <w:t>discharge liquid</w:t>
      </w:r>
      <w:r w:rsidR="004E5A7D">
        <w:rPr>
          <w:rFonts w:ascii="Times New Roman" w:hAnsi="Times New Roman"/>
          <w:sz w:val="24"/>
          <w:szCs w:val="24"/>
        </w:rPr>
        <w:t xml:space="preserve"> and</w:t>
      </w:r>
      <w:r w:rsidR="00983612">
        <w:rPr>
          <w:rFonts w:ascii="Times New Roman" w:hAnsi="Times New Roman"/>
          <w:sz w:val="24"/>
          <w:szCs w:val="24"/>
        </w:rPr>
        <w:t xml:space="preserve"> gaseous</w:t>
      </w:r>
      <w:r w:rsidR="00D3040A">
        <w:rPr>
          <w:rFonts w:ascii="Times New Roman" w:hAnsi="Times New Roman"/>
          <w:sz w:val="24"/>
          <w:szCs w:val="24"/>
        </w:rPr>
        <w:t xml:space="preserve"> </w:t>
      </w:r>
      <w:r w:rsidR="003B6A85">
        <w:rPr>
          <w:rFonts w:ascii="Times New Roman" w:hAnsi="Times New Roman"/>
          <w:sz w:val="24"/>
          <w:szCs w:val="24"/>
        </w:rPr>
        <w:t xml:space="preserve">effluents </w:t>
      </w:r>
      <w:r w:rsidR="00983612">
        <w:rPr>
          <w:rFonts w:ascii="Times New Roman" w:hAnsi="Times New Roman"/>
          <w:sz w:val="24"/>
          <w:szCs w:val="24"/>
        </w:rPr>
        <w:t>contain</w:t>
      </w:r>
      <w:r w:rsidR="009B0DC9">
        <w:rPr>
          <w:rFonts w:ascii="Times New Roman" w:hAnsi="Times New Roman"/>
          <w:sz w:val="24"/>
          <w:szCs w:val="24"/>
        </w:rPr>
        <w:t xml:space="preserve">ing </w:t>
      </w:r>
      <w:r w:rsidR="00615245">
        <w:rPr>
          <w:rFonts w:ascii="Times New Roman" w:hAnsi="Times New Roman"/>
          <w:sz w:val="24"/>
          <w:szCs w:val="24"/>
        </w:rPr>
        <w:t>radionuclides</w:t>
      </w:r>
      <w:r>
        <w:rPr>
          <w:rFonts w:ascii="Times New Roman" w:hAnsi="Times New Roman"/>
          <w:sz w:val="24"/>
          <w:szCs w:val="24"/>
        </w:rPr>
        <w:t xml:space="preserve"> </w:t>
      </w:r>
      <w:r w:rsidR="00983612">
        <w:rPr>
          <w:rFonts w:ascii="Times New Roman" w:hAnsi="Times New Roman"/>
          <w:sz w:val="24"/>
          <w:szCs w:val="24"/>
        </w:rPr>
        <w:t xml:space="preserve">that </w:t>
      </w:r>
      <w:r w:rsidR="003B6A85">
        <w:rPr>
          <w:rFonts w:ascii="Times New Roman" w:hAnsi="Times New Roman"/>
          <w:sz w:val="24"/>
          <w:szCs w:val="24"/>
        </w:rPr>
        <w:t xml:space="preserve">may </w:t>
      </w:r>
      <w:r>
        <w:rPr>
          <w:rFonts w:ascii="Times New Roman" w:hAnsi="Times New Roman"/>
          <w:sz w:val="24"/>
          <w:szCs w:val="24"/>
        </w:rPr>
        <w:t>give rise to radiation risk</w:t>
      </w:r>
      <w:r w:rsidR="001354A8">
        <w:rPr>
          <w:rFonts w:ascii="Times New Roman" w:hAnsi="Times New Roman"/>
          <w:sz w:val="24"/>
          <w:szCs w:val="24"/>
        </w:rPr>
        <w:t>s</w:t>
      </w:r>
      <w:r w:rsidR="005E69D7" w:rsidRPr="00C10D10">
        <w:rPr>
          <w:rFonts w:ascii="Times New Roman" w:hAnsi="Times New Roman"/>
          <w:sz w:val="24"/>
          <w:szCs w:val="24"/>
        </w:rPr>
        <w:t xml:space="preserve"> </w:t>
      </w:r>
      <w:r w:rsidR="003B6A85">
        <w:rPr>
          <w:rFonts w:ascii="Times New Roman" w:hAnsi="Times New Roman"/>
          <w:sz w:val="24"/>
          <w:szCs w:val="24"/>
        </w:rPr>
        <w:t>to the public</w:t>
      </w:r>
      <w:r w:rsidR="001354A8">
        <w:rPr>
          <w:rFonts w:ascii="Times New Roman" w:hAnsi="Times New Roman"/>
          <w:sz w:val="24"/>
          <w:szCs w:val="24"/>
        </w:rPr>
        <w:t>.</w:t>
      </w:r>
      <w:r w:rsidR="003B6A85" w:rsidRPr="001354A8">
        <w:rPr>
          <w:rFonts w:ascii="Times New Roman" w:hAnsi="Times New Roman"/>
          <w:sz w:val="24"/>
          <w:szCs w:val="24"/>
        </w:rPr>
        <w:t xml:space="preserve"> </w:t>
      </w:r>
      <w:r w:rsidR="001354A8">
        <w:rPr>
          <w:rFonts w:ascii="Times New Roman" w:hAnsi="Times New Roman"/>
          <w:sz w:val="24"/>
          <w:szCs w:val="24"/>
        </w:rPr>
        <w:t xml:space="preserve">Such facilities and activities </w:t>
      </w:r>
      <w:r w:rsidR="00983612" w:rsidRPr="001354A8">
        <w:rPr>
          <w:rFonts w:ascii="Times New Roman" w:hAnsi="Times New Roman"/>
          <w:sz w:val="24"/>
          <w:szCs w:val="24"/>
        </w:rPr>
        <w:t>rang</w:t>
      </w:r>
      <w:r w:rsidR="001354A8">
        <w:rPr>
          <w:rFonts w:ascii="Times New Roman" w:hAnsi="Times New Roman"/>
          <w:sz w:val="24"/>
          <w:szCs w:val="24"/>
        </w:rPr>
        <w:t>e</w:t>
      </w:r>
      <w:r w:rsidR="00983612" w:rsidRPr="001354A8">
        <w:rPr>
          <w:rFonts w:ascii="Times New Roman" w:hAnsi="Times New Roman"/>
          <w:sz w:val="24"/>
          <w:szCs w:val="24"/>
        </w:rPr>
        <w:t xml:space="preserve"> </w:t>
      </w:r>
      <w:r w:rsidR="003B6A85" w:rsidRPr="001354A8">
        <w:rPr>
          <w:rFonts w:ascii="Times New Roman" w:hAnsi="Times New Roman"/>
          <w:sz w:val="24"/>
          <w:szCs w:val="24"/>
        </w:rPr>
        <w:t>from nuclear installations</w:t>
      </w:r>
      <w:r w:rsidR="003B6A85">
        <w:rPr>
          <w:rStyle w:val="FootnoteReference"/>
          <w:rFonts w:ascii="Times New Roman" w:hAnsi="Times New Roman"/>
          <w:sz w:val="24"/>
          <w:szCs w:val="24"/>
        </w:rPr>
        <w:footnoteReference w:id="6"/>
      </w:r>
      <w:r w:rsidR="003B6A85" w:rsidRPr="001354A8">
        <w:rPr>
          <w:rFonts w:ascii="Times New Roman" w:hAnsi="Times New Roman"/>
          <w:sz w:val="24"/>
          <w:szCs w:val="24"/>
        </w:rPr>
        <w:t xml:space="preserve"> to applications</w:t>
      </w:r>
      <w:r w:rsidR="00983612" w:rsidRPr="001354A8">
        <w:rPr>
          <w:rFonts w:ascii="Times New Roman" w:hAnsi="Times New Roman"/>
          <w:sz w:val="24"/>
          <w:szCs w:val="24"/>
        </w:rPr>
        <w:t xml:space="preserve"> of radioisotopes</w:t>
      </w:r>
      <w:r w:rsidR="003B6A85" w:rsidRPr="001354A8">
        <w:rPr>
          <w:rFonts w:ascii="Times New Roman" w:hAnsi="Times New Roman"/>
          <w:sz w:val="24"/>
          <w:szCs w:val="24"/>
        </w:rPr>
        <w:t xml:space="preserve"> in </w:t>
      </w:r>
      <w:r w:rsidR="003674E4" w:rsidRPr="001354A8">
        <w:rPr>
          <w:rFonts w:ascii="Times New Roman" w:hAnsi="Times New Roman"/>
          <w:sz w:val="24"/>
          <w:szCs w:val="24"/>
        </w:rPr>
        <w:t>industry,</w:t>
      </w:r>
      <w:r w:rsidR="003A5609" w:rsidRPr="001354A8">
        <w:rPr>
          <w:rFonts w:ascii="Times New Roman" w:hAnsi="Times New Roman"/>
          <w:sz w:val="24"/>
          <w:szCs w:val="24"/>
        </w:rPr>
        <w:t xml:space="preserve"> </w:t>
      </w:r>
      <w:r w:rsidR="004564B7" w:rsidRPr="001354A8">
        <w:rPr>
          <w:rFonts w:ascii="Times New Roman" w:hAnsi="Times New Roman"/>
          <w:sz w:val="24"/>
          <w:szCs w:val="24"/>
        </w:rPr>
        <w:t>medic</w:t>
      </w:r>
      <w:r w:rsidR="009362E2" w:rsidRPr="001354A8">
        <w:rPr>
          <w:rFonts w:ascii="Times New Roman" w:hAnsi="Times New Roman"/>
          <w:sz w:val="24"/>
          <w:szCs w:val="24"/>
        </w:rPr>
        <w:t>ine and research</w:t>
      </w:r>
      <w:r w:rsidR="00626B3C" w:rsidRPr="001354A8">
        <w:rPr>
          <w:rFonts w:ascii="Times New Roman" w:hAnsi="Times New Roman"/>
          <w:sz w:val="24"/>
          <w:szCs w:val="24"/>
        </w:rPr>
        <w:t xml:space="preserve">. </w:t>
      </w:r>
      <w:r w:rsidR="00790224" w:rsidRPr="001354A8">
        <w:rPr>
          <w:rFonts w:ascii="Times New Roman" w:hAnsi="Times New Roman"/>
          <w:sz w:val="24"/>
          <w:szCs w:val="24"/>
        </w:rPr>
        <w:t xml:space="preserve">This Safety Guide </w:t>
      </w:r>
      <w:r w:rsidR="00626B3C" w:rsidRPr="001354A8">
        <w:rPr>
          <w:rFonts w:ascii="Times New Roman" w:hAnsi="Times New Roman"/>
          <w:sz w:val="24"/>
          <w:szCs w:val="24"/>
        </w:rPr>
        <w:t xml:space="preserve">also covers the </w:t>
      </w:r>
      <w:r w:rsidR="00006251" w:rsidRPr="001354A8">
        <w:rPr>
          <w:rFonts w:ascii="Times New Roman" w:hAnsi="Times New Roman"/>
          <w:sz w:val="24"/>
          <w:szCs w:val="24"/>
        </w:rPr>
        <w:lastRenderedPageBreak/>
        <w:t xml:space="preserve">controllable </w:t>
      </w:r>
      <w:r w:rsidR="00BD6197" w:rsidRPr="001354A8">
        <w:rPr>
          <w:rFonts w:ascii="Times New Roman" w:hAnsi="Times New Roman"/>
          <w:sz w:val="24"/>
          <w:szCs w:val="24"/>
        </w:rPr>
        <w:t>releases</w:t>
      </w:r>
      <w:r w:rsidR="00626B3C" w:rsidRPr="001354A8">
        <w:rPr>
          <w:rFonts w:ascii="Times New Roman" w:hAnsi="Times New Roman"/>
          <w:sz w:val="24"/>
          <w:szCs w:val="24"/>
        </w:rPr>
        <w:t xml:space="preserve"> </w:t>
      </w:r>
      <w:r w:rsidR="005905B0">
        <w:rPr>
          <w:rFonts w:ascii="Times New Roman" w:hAnsi="Times New Roman"/>
          <w:sz w:val="24"/>
          <w:szCs w:val="24"/>
        </w:rPr>
        <w:t xml:space="preserve">in normal operation </w:t>
      </w:r>
      <w:r w:rsidR="00006251" w:rsidRPr="001354A8">
        <w:rPr>
          <w:rFonts w:ascii="Times New Roman" w:hAnsi="Times New Roman"/>
          <w:sz w:val="24"/>
          <w:szCs w:val="24"/>
        </w:rPr>
        <w:t xml:space="preserve">to the atmosphere and </w:t>
      </w:r>
      <w:r w:rsidR="005905B0">
        <w:rPr>
          <w:rFonts w:ascii="Times New Roman" w:hAnsi="Times New Roman"/>
          <w:sz w:val="24"/>
          <w:szCs w:val="24"/>
        </w:rPr>
        <w:t xml:space="preserve">to </w:t>
      </w:r>
      <w:r w:rsidR="00006251" w:rsidRPr="001354A8">
        <w:rPr>
          <w:rFonts w:ascii="Times New Roman" w:hAnsi="Times New Roman"/>
          <w:sz w:val="24"/>
          <w:szCs w:val="24"/>
        </w:rPr>
        <w:t xml:space="preserve">surface waters </w:t>
      </w:r>
      <w:r w:rsidR="001354A8">
        <w:rPr>
          <w:rFonts w:ascii="Times New Roman" w:hAnsi="Times New Roman"/>
          <w:sz w:val="24"/>
          <w:szCs w:val="24"/>
        </w:rPr>
        <w:t>that</w:t>
      </w:r>
      <w:r w:rsidR="001354A8" w:rsidRPr="001354A8">
        <w:rPr>
          <w:rFonts w:ascii="Times New Roman" w:hAnsi="Times New Roman"/>
          <w:sz w:val="24"/>
          <w:szCs w:val="24"/>
        </w:rPr>
        <w:t xml:space="preserve"> </w:t>
      </w:r>
      <w:r w:rsidR="00626B3C" w:rsidRPr="001354A8">
        <w:rPr>
          <w:rFonts w:ascii="Times New Roman" w:hAnsi="Times New Roman"/>
          <w:sz w:val="24"/>
          <w:szCs w:val="24"/>
        </w:rPr>
        <w:t xml:space="preserve">may result </w:t>
      </w:r>
      <w:r w:rsidR="00790224" w:rsidRPr="001354A8">
        <w:rPr>
          <w:rFonts w:ascii="Times New Roman" w:hAnsi="Times New Roman"/>
          <w:sz w:val="24"/>
          <w:szCs w:val="24"/>
        </w:rPr>
        <w:t>from</w:t>
      </w:r>
      <w:r w:rsidR="002E23C9">
        <w:rPr>
          <w:rFonts w:ascii="Times New Roman" w:hAnsi="Times New Roman"/>
          <w:sz w:val="24"/>
          <w:szCs w:val="24"/>
        </w:rPr>
        <w:t xml:space="preserve"> the</w:t>
      </w:r>
      <w:r w:rsidR="00790224" w:rsidRPr="001354A8">
        <w:rPr>
          <w:rFonts w:ascii="Times New Roman" w:hAnsi="Times New Roman"/>
          <w:sz w:val="24"/>
          <w:szCs w:val="24"/>
        </w:rPr>
        <w:t xml:space="preserve"> </w:t>
      </w:r>
      <w:r w:rsidR="001859FC" w:rsidRPr="001354A8">
        <w:rPr>
          <w:rFonts w:ascii="Times New Roman" w:hAnsi="Times New Roman"/>
          <w:sz w:val="24"/>
          <w:szCs w:val="24"/>
        </w:rPr>
        <w:t>min</w:t>
      </w:r>
      <w:r w:rsidR="009362E2" w:rsidRPr="001354A8">
        <w:rPr>
          <w:rFonts w:ascii="Times New Roman" w:hAnsi="Times New Roman"/>
          <w:sz w:val="24"/>
          <w:szCs w:val="24"/>
        </w:rPr>
        <w:t>ing</w:t>
      </w:r>
      <w:r w:rsidR="001859FC" w:rsidRPr="001354A8">
        <w:rPr>
          <w:rFonts w:ascii="Times New Roman" w:hAnsi="Times New Roman"/>
          <w:sz w:val="24"/>
          <w:szCs w:val="24"/>
        </w:rPr>
        <w:t xml:space="preserve"> and </w:t>
      </w:r>
      <w:r w:rsidR="002E23C9">
        <w:rPr>
          <w:rFonts w:ascii="Times New Roman" w:hAnsi="Times New Roman"/>
          <w:sz w:val="24"/>
          <w:szCs w:val="24"/>
        </w:rPr>
        <w:t>processing</w:t>
      </w:r>
      <w:r w:rsidR="002E23C9" w:rsidRPr="001354A8">
        <w:rPr>
          <w:rFonts w:ascii="Times New Roman" w:hAnsi="Times New Roman"/>
          <w:sz w:val="24"/>
          <w:szCs w:val="24"/>
        </w:rPr>
        <w:t xml:space="preserve"> </w:t>
      </w:r>
      <w:r w:rsidR="00790224" w:rsidRPr="001354A8">
        <w:rPr>
          <w:rFonts w:ascii="Times New Roman" w:hAnsi="Times New Roman"/>
          <w:sz w:val="24"/>
          <w:szCs w:val="24"/>
        </w:rPr>
        <w:t>of ores for the extraction of uranium or thorium</w:t>
      </w:r>
      <w:r w:rsidR="005E69D7" w:rsidRPr="005905B0">
        <w:rPr>
          <w:rFonts w:ascii="Times New Roman" w:hAnsi="Times New Roman"/>
          <w:sz w:val="24"/>
          <w:szCs w:val="24"/>
        </w:rPr>
        <w:t xml:space="preserve"> as part of the nuclear fuel cycle</w:t>
      </w:r>
      <w:r w:rsidR="00626B3C" w:rsidRPr="005905B0">
        <w:rPr>
          <w:rFonts w:ascii="Times New Roman" w:hAnsi="Times New Roman"/>
          <w:sz w:val="24"/>
          <w:szCs w:val="24"/>
        </w:rPr>
        <w:t>.</w:t>
      </w:r>
      <w:r w:rsidR="001859FC" w:rsidRPr="005905B0">
        <w:rPr>
          <w:rFonts w:ascii="Times New Roman" w:hAnsi="Times New Roman"/>
          <w:sz w:val="24"/>
          <w:szCs w:val="24"/>
        </w:rPr>
        <w:t xml:space="preserve"> Consideration is also given to </w:t>
      </w:r>
      <w:r w:rsidR="00BA4745" w:rsidRPr="005905B0">
        <w:rPr>
          <w:rFonts w:ascii="Times New Roman" w:hAnsi="Times New Roman"/>
          <w:sz w:val="24"/>
          <w:szCs w:val="24"/>
        </w:rPr>
        <w:t>discharges</w:t>
      </w:r>
      <w:r w:rsidR="001859FC" w:rsidRPr="005905B0">
        <w:rPr>
          <w:rFonts w:ascii="Times New Roman" w:hAnsi="Times New Roman"/>
          <w:sz w:val="24"/>
          <w:szCs w:val="24"/>
        </w:rPr>
        <w:t xml:space="preserve"> of naturally occurring radioactive </w:t>
      </w:r>
      <w:r w:rsidR="006F3C93" w:rsidRPr="005905B0">
        <w:rPr>
          <w:rFonts w:ascii="Times New Roman" w:hAnsi="Times New Roman"/>
          <w:sz w:val="24"/>
          <w:szCs w:val="24"/>
        </w:rPr>
        <w:t>material</w:t>
      </w:r>
      <w:r w:rsidR="006F3C93">
        <w:rPr>
          <w:rStyle w:val="FootnoteReference"/>
          <w:rFonts w:ascii="Times New Roman" w:hAnsi="Times New Roman"/>
          <w:sz w:val="24"/>
          <w:szCs w:val="24"/>
        </w:rPr>
        <w:footnoteReference w:id="7"/>
      </w:r>
      <w:r w:rsidR="00790224" w:rsidRPr="001354A8">
        <w:rPr>
          <w:rFonts w:ascii="Times New Roman" w:hAnsi="Times New Roman"/>
          <w:sz w:val="24"/>
          <w:szCs w:val="24"/>
        </w:rPr>
        <w:t xml:space="preserve"> in non-nuclear industries</w:t>
      </w:r>
      <w:r w:rsidR="001859FC" w:rsidRPr="001354A8">
        <w:rPr>
          <w:rFonts w:ascii="Times New Roman" w:hAnsi="Times New Roman"/>
          <w:sz w:val="24"/>
          <w:szCs w:val="24"/>
        </w:rPr>
        <w:t xml:space="preserve">. </w:t>
      </w:r>
    </w:p>
    <w:p w:rsidR="005A09DE" w:rsidRPr="00C10D10" w:rsidRDefault="00BA4745" w:rsidP="002704B6">
      <w:pPr>
        <w:numPr>
          <w:ilvl w:val="0"/>
          <w:numId w:val="2"/>
        </w:numPr>
        <w:autoSpaceDE w:val="0"/>
        <w:autoSpaceDN w:val="0"/>
        <w:adjustRightInd w:val="0"/>
        <w:spacing w:before="120" w:line="360" w:lineRule="auto"/>
        <w:jc w:val="both"/>
        <w:rPr>
          <w:rFonts w:ascii="Times New Roman" w:hAnsi="Times New Roman"/>
          <w:sz w:val="24"/>
          <w:szCs w:val="24"/>
        </w:rPr>
      </w:pPr>
      <w:r>
        <w:rPr>
          <w:rFonts w:ascii="Times New Roman" w:hAnsi="Times New Roman"/>
          <w:sz w:val="24"/>
          <w:szCs w:val="24"/>
        </w:rPr>
        <w:t>T</w:t>
      </w:r>
      <w:r w:rsidR="005A09DE">
        <w:rPr>
          <w:rFonts w:ascii="Times New Roman" w:hAnsi="Times New Roman"/>
          <w:sz w:val="24"/>
          <w:szCs w:val="24"/>
        </w:rPr>
        <w:t xml:space="preserve">his Safety Guide </w:t>
      </w:r>
      <w:r w:rsidR="00F15A1C">
        <w:rPr>
          <w:rFonts w:ascii="Times New Roman" w:hAnsi="Times New Roman"/>
          <w:sz w:val="24"/>
          <w:szCs w:val="24"/>
        </w:rPr>
        <w:t xml:space="preserve">focuses on </w:t>
      </w:r>
      <w:r>
        <w:rPr>
          <w:rFonts w:ascii="Times New Roman" w:hAnsi="Times New Roman"/>
          <w:sz w:val="24"/>
          <w:szCs w:val="24"/>
        </w:rPr>
        <w:t xml:space="preserve">setting discharge limits </w:t>
      </w:r>
      <w:r w:rsidR="003E3C54">
        <w:rPr>
          <w:rFonts w:ascii="Times New Roman" w:hAnsi="Times New Roman"/>
          <w:sz w:val="24"/>
          <w:szCs w:val="24"/>
        </w:rPr>
        <w:t>for protection</w:t>
      </w:r>
      <w:r w:rsidR="00F15A1C">
        <w:rPr>
          <w:rFonts w:ascii="Times New Roman" w:hAnsi="Times New Roman"/>
          <w:sz w:val="24"/>
          <w:szCs w:val="24"/>
        </w:rPr>
        <w:t xml:space="preserve"> of the public</w:t>
      </w:r>
      <w:r w:rsidR="002A5663">
        <w:rPr>
          <w:rFonts w:ascii="Times New Roman" w:hAnsi="Times New Roman"/>
          <w:sz w:val="24"/>
          <w:szCs w:val="24"/>
        </w:rPr>
        <w:t>;</w:t>
      </w:r>
      <w:r w:rsidR="00F15A1C">
        <w:rPr>
          <w:rFonts w:ascii="Times New Roman" w:hAnsi="Times New Roman"/>
          <w:sz w:val="24"/>
          <w:szCs w:val="24"/>
        </w:rPr>
        <w:t xml:space="preserve"> </w:t>
      </w:r>
      <w:r w:rsidR="005B13AF">
        <w:rPr>
          <w:rFonts w:ascii="Times New Roman" w:hAnsi="Times New Roman"/>
          <w:sz w:val="24"/>
          <w:szCs w:val="24"/>
        </w:rPr>
        <w:t xml:space="preserve">radiation protection of workers </w:t>
      </w:r>
      <w:r w:rsidR="002A5663">
        <w:rPr>
          <w:rFonts w:ascii="Times New Roman" w:hAnsi="Times New Roman"/>
          <w:sz w:val="24"/>
          <w:szCs w:val="24"/>
        </w:rPr>
        <w:t xml:space="preserve">is considered </w:t>
      </w:r>
      <w:r w:rsidR="005905B0">
        <w:rPr>
          <w:rFonts w:ascii="Times New Roman" w:hAnsi="Times New Roman"/>
          <w:sz w:val="24"/>
          <w:szCs w:val="24"/>
        </w:rPr>
        <w:t xml:space="preserve">only </w:t>
      </w:r>
      <w:r w:rsidR="003849E5">
        <w:rPr>
          <w:rFonts w:ascii="Times New Roman" w:hAnsi="Times New Roman"/>
          <w:sz w:val="24"/>
          <w:szCs w:val="24"/>
        </w:rPr>
        <w:t xml:space="preserve">as part of the optimization of the protection and safety, especially </w:t>
      </w:r>
      <w:r w:rsidR="005B13AF">
        <w:rPr>
          <w:rFonts w:ascii="Times New Roman" w:hAnsi="Times New Roman"/>
          <w:sz w:val="24"/>
          <w:szCs w:val="24"/>
        </w:rPr>
        <w:t xml:space="preserve">in connection with the </w:t>
      </w:r>
      <w:r w:rsidR="0036463C">
        <w:rPr>
          <w:rFonts w:ascii="Times New Roman" w:hAnsi="Times New Roman"/>
          <w:sz w:val="24"/>
          <w:szCs w:val="24"/>
        </w:rPr>
        <w:t xml:space="preserve">on-site </w:t>
      </w:r>
      <w:r w:rsidR="005B13AF">
        <w:rPr>
          <w:rFonts w:ascii="Times New Roman" w:hAnsi="Times New Roman"/>
          <w:sz w:val="24"/>
          <w:szCs w:val="24"/>
        </w:rPr>
        <w:t xml:space="preserve">management of radioactive waste and effluents. </w:t>
      </w:r>
      <w:r w:rsidR="005905B0">
        <w:rPr>
          <w:rFonts w:ascii="Times New Roman" w:hAnsi="Times New Roman"/>
          <w:sz w:val="24"/>
          <w:szCs w:val="24"/>
        </w:rPr>
        <w:t xml:space="preserve">Recommendations </w:t>
      </w:r>
      <w:r w:rsidR="005B13AF">
        <w:rPr>
          <w:rFonts w:ascii="Times New Roman" w:hAnsi="Times New Roman"/>
          <w:sz w:val="24"/>
          <w:szCs w:val="24"/>
        </w:rPr>
        <w:t xml:space="preserve">on the assessment and control of occupational exposures are provided in </w:t>
      </w:r>
      <w:r w:rsidR="009B0DC9">
        <w:rPr>
          <w:rFonts w:ascii="Times New Roman" w:hAnsi="Times New Roman"/>
          <w:sz w:val="24"/>
          <w:szCs w:val="24"/>
        </w:rPr>
        <w:t xml:space="preserve">Occupational Radiation Protection, IAEA Safety Standards Series No. </w:t>
      </w:r>
      <w:r>
        <w:rPr>
          <w:rFonts w:ascii="Times New Roman" w:hAnsi="Times New Roman"/>
          <w:sz w:val="24"/>
          <w:szCs w:val="24"/>
        </w:rPr>
        <w:t>DS453</w:t>
      </w:r>
      <w:r w:rsidR="005B13AF">
        <w:rPr>
          <w:rFonts w:ascii="Times New Roman" w:hAnsi="Times New Roman"/>
          <w:sz w:val="24"/>
          <w:szCs w:val="24"/>
        </w:rPr>
        <w:t xml:space="preserve"> [</w:t>
      </w:r>
      <w:r w:rsidR="009B0DC9">
        <w:rPr>
          <w:rFonts w:ascii="Times New Roman" w:hAnsi="Times New Roman"/>
          <w:sz w:val="24"/>
          <w:szCs w:val="24"/>
        </w:rPr>
        <w:t>16</w:t>
      </w:r>
      <w:r w:rsidR="005B13AF">
        <w:rPr>
          <w:rFonts w:ascii="Times New Roman" w:hAnsi="Times New Roman"/>
          <w:sz w:val="24"/>
          <w:szCs w:val="24"/>
        </w:rPr>
        <w:t>]</w:t>
      </w:r>
    </w:p>
    <w:p w:rsidR="004564B7" w:rsidRPr="00C10D10" w:rsidRDefault="004564B7" w:rsidP="00B60E90">
      <w:pPr>
        <w:pStyle w:val="Heading2"/>
        <w:spacing w:before="120" w:after="0" w:line="360" w:lineRule="auto"/>
        <w:jc w:val="both"/>
        <w:rPr>
          <w:caps w:val="0"/>
          <w:lang w:val="en-GB"/>
        </w:rPr>
      </w:pPr>
      <w:bookmarkStart w:id="14" w:name="_Toc396128253"/>
      <w:bookmarkStart w:id="15" w:name="_Toc396128865"/>
      <w:bookmarkStart w:id="16" w:name="_Toc452966932"/>
      <w:r w:rsidRPr="00C10D10">
        <w:rPr>
          <w:caps w:val="0"/>
          <w:lang w:val="en-GB"/>
        </w:rPr>
        <w:t>STRUCTURE</w:t>
      </w:r>
      <w:bookmarkEnd w:id="14"/>
      <w:bookmarkEnd w:id="15"/>
      <w:bookmarkEnd w:id="16"/>
    </w:p>
    <w:p w:rsidR="00A60E63" w:rsidRPr="00C10D10" w:rsidRDefault="00CE7455" w:rsidP="00D1189E">
      <w:pPr>
        <w:numPr>
          <w:ilvl w:val="0"/>
          <w:numId w:val="2"/>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Section 2</w:t>
      </w:r>
      <w:r w:rsidR="005C685A" w:rsidRPr="00C10D10">
        <w:rPr>
          <w:rFonts w:ascii="Times New Roman" w:hAnsi="Times New Roman"/>
          <w:sz w:val="24"/>
          <w:szCs w:val="24"/>
        </w:rPr>
        <w:t xml:space="preserve"> </w:t>
      </w:r>
      <w:r w:rsidR="001354A8">
        <w:rPr>
          <w:rFonts w:ascii="Times New Roman" w:hAnsi="Times New Roman"/>
          <w:sz w:val="24"/>
          <w:szCs w:val="24"/>
        </w:rPr>
        <w:t>sets out</w:t>
      </w:r>
      <w:r w:rsidR="001354A8" w:rsidRPr="00C10D10">
        <w:rPr>
          <w:rFonts w:ascii="Times New Roman" w:hAnsi="Times New Roman"/>
          <w:sz w:val="24"/>
          <w:szCs w:val="24"/>
        </w:rPr>
        <w:t xml:space="preserve"> </w:t>
      </w:r>
      <w:r w:rsidR="006061CA" w:rsidRPr="00C10D10">
        <w:rPr>
          <w:rFonts w:ascii="Times New Roman" w:hAnsi="Times New Roman"/>
          <w:sz w:val="24"/>
          <w:szCs w:val="24"/>
        </w:rPr>
        <w:t>the principles of radiation protection applicable to the control of discharges</w:t>
      </w:r>
      <w:r w:rsidR="00D04BCB" w:rsidRPr="00C10D10">
        <w:rPr>
          <w:rFonts w:ascii="Times New Roman" w:hAnsi="Times New Roman"/>
          <w:sz w:val="24"/>
          <w:szCs w:val="24"/>
        </w:rPr>
        <w:t>.</w:t>
      </w:r>
      <w:r w:rsidR="004564B7" w:rsidRPr="00C10D10">
        <w:rPr>
          <w:rFonts w:ascii="Times New Roman" w:hAnsi="Times New Roman"/>
          <w:sz w:val="24"/>
          <w:szCs w:val="24"/>
        </w:rPr>
        <w:t xml:space="preserve"> </w:t>
      </w:r>
      <w:r w:rsidR="005C685A" w:rsidRPr="00C10D10">
        <w:rPr>
          <w:rFonts w:ascii="Times New Roman" w:hAnsi="Times New Roman"/>
          <w:sz w:val="24"/>
          <w:szCs w:val="24"/>
        </w:rPr>
        <w:t>Section 3</w:t>
      </w:r>
      <w:r w:rsidR="006061CA" w:rsidRPr="00C10D10">
        <w:rPr>
          <w:rFonts w:ascii="Times New Roman" w:hAnsi="Times New Roman"/>
          <w:sz w:val="24"/>
          <w:szCs w:val="24"/>
        </w:rPr>
        <w:t xml:space="preserve"> presents the </w:t>
      </w:r>
      <w:r w:rsidR="00E93E44" w:rsidRPr="00C10D10">
        <w:rPr>
          <w:rFonts w:ascii="Times New Roman" w:hAnsi="Times New Roman"/>
          <w:sz w:val="24"/>
          <w:szCs w:val="24"/>
        </w:rPr>
        <w:t xml:space="preserve">safety objectives, </w:t>
      </w:r>
      <w:r w:rsidR="006061CA" w:rsidRPr="00C10D10">
        <w:rPr>
          <w:rFonts w:ascii="Times New Roman" w:hAnsi="Times New Roman"/>
          <w:sz w:val="24"/>
          <w:szCs w:val="24"/>
        </w:rPr>
        <w:t>requirements and concepts relevant to the control of discharges</w:t>
      </w:r>
      <w:r w:rsidR="009B1B5D">
        <w:rPr>
          <w:rFonts w:ascii="Times New Roman" w:hAnsi="Times New Roman"/>
          <w:sz w:val="24"/>
          <w:szCs w:val="24"/>
        </w:rPr>
        <w:t>,</w:t>
      </w:r>
      <w:r w:rsidR="006061CA" w:rsidRPr="00C10D10">
        <w:rPr>
          <w:rFonts w:ascii="Times New Roman" w:hAnsi="Times New Roman"/>
          <w:sz w:val="24"/>
          <w:szCs w:val="24"/>
        </w:rPr>
        <w:t xml:space="preserve"> including the general responsibilities of </w:t>
      </w:r>
      <w:r w:rsidR="001354A8">
        <w:rPr>
          <w:rFonts w:ascii="Times New Roman" w:hAnsi="Times New Roman"/>
          <w:sz w:val="24"/>
          <w:szCs w:val="24"/>
        </w:rPr>
        <w:t xml:space="preserve">the </w:t>
      </w:r>
      <w:r w:rsidR="006061CA" w:rsidRPr="00C10D10">
        <w:rPr>
          <w:rFonts w:ascii="Times New Roman" w:hAnsi="Times New Roman"/>
          <w:sz w:val="24"/>
          <w:szCs w:val="24"/>
        </w:rPr>
        <w:t>government, the regulatory bod</w:t>
      </w:r>
      <w:r w:rsidR="001354A8">
        <w:rPr>
          <w:rFonts w:ascii="Times New Roman" w:hAnsi="Times New Roman"/>
          <w:sz w:val="24"/>
          <w:szCs w:val="24"/>
        </w:rPr>
        <w:t>y</w:t>
      </w:r>
      <w:r w:rsidR="006061CA" w:rsidRPr="00C10D10">
        <w:rPr>
          <w:rFonts w:ascii="Times New Roman" w:hAnsi="Times New Roman"/>
          <w:sz w:val="24"/>
          <w:szCs w:val="24"/>
        </w:rPr>
        <w:t xml:space="preserve">, </w:t>
      </w:r>
      <w:r w:rsidR="001354A8">
        <w:rPr>
          <w:rFonts w:ascii="Times New Roman" w:hAnsi="Times New Roman"/>
          <w:sz w:val="24"/>
          <w:szCs w:val="24"/>
        </w:rPr>
        <w:t xml:space="preserve">the </w:t>
      </w:r>
      <w:r w:rsidR="00D1189E" w:rsidRPr="00D1189E">
        <w:rPr>
          <w:rFonts w:ascii="Times New Roman" w:hAnsi="Times New Roman"/>
          <w:sz w:val="24"/>
          <w:szCs w:val="24"/>
        </w:rPr>
        <w:t xml:space="preserve">operating organization </w:t>
      </w:r>
      <w:r w:rsidR="006061CA" w:rsidRPr="00C10D10">
        <w:rPr>
          <w:rFonts w:ascii="Times New Roman" w:hAnsi="Times New Roman"/>
          <w:sz w:val="24"/>
          <w:szCs w:val="24"/>
        </w:rPr>
        <w:t>and other relevant parties</w:t>
      </w:r>
      <w:r w:rsidR="005C685A" w:rsidRPr="00C10D10">
        <w:rPr>
          <w:rFonts w:ascii="Times New Roman" w:hAnsi="Times New Roman"/>
          <w:sz w:val="24"/>
          <w:szCs w:val="24"/>
        </w:rPr>
        <w:t xml:space="preserve">. Section 4 provides guidance </w:t>
      </w:r>
      <w:r w:rsidR="00E93E44" w:rsidRPr="00C10D10">
        <w:rPr>
          <w:rFonts w:ascii="Times New Roman" w:hAnsi="Times New Roman"/>
          <w:sz w:val="24"/>
          <w:szCs w:val="24"/>
        </w:rPr>
        <w:t>on</w:t>
      </w:r>
      <w:r w:rsidR="005C685A" w:rsidRPr="00C10D10">
        <w:rPr>
          <w:rFonts w:ascii="Times New Roman" w:hAnsi="Times New Roman"/>
          <w:sz w:val="24"/>
          <w:szCs w:val="24"/>
        </w:rPr>
        <w:t xml:space="preserve"> </w:t>
      </w:r>
      <w:r w:rsidR="009B1B5D">
        <w:rPr>
          <w:rFonts w:ascii="Times New Roman" w:hAnsi="Times New Roman"/>
          <w:sz w:val="24"/>
          <w:szCs w:val="24"/>
        </w:rPr>
        <w:t>the</w:t>
      </w:r>
      <w:r w:rsidR="009B1B5D" w:rsidRPr="00C10D10">
        <w:rPr>
          <w:rFonts w:ascii="Times New Roman" w:hAnsi="Times New Roman"/>
          <w:sz w:val="24"/>
          <w:szCs w:val="24"/>
        </w:rPr>
        <w:t xml:space="preserve"> </w:t>
      </w:r>
      <w:r w:rsidR="005C685A" w:rsidRPr="00C10D10">
        <w:rPr>
          <w:rFonts w:ascii="Times New Roman" w:hAnsi="Times New Roman"/>
          <w:sz w:val="24"/>
          <w:szCs w:val="24"/>
        </w:rPr>
        <w:t xml:space="preserve">decision process </w:t>
      </w:r>
      <w:r w:rsidR="001354A8">
        <w:rPr>
          <w:rFonts w:ascii="Times New Roman" w:hAnsi="Times New Roman"/>
          <w:sz w:val="24"/>
          <w:szCs w:val="24"/>
        </w:rPr>
        <w:t>for</w:t>
      </w:r>
      <w:r w:rsidR="001354A8" w:rsidRPr="00C10D10">
        <w:rPr>
          <w:rFonts w:ascii="Times New Roman" w:hAnsi="Times New Roman"/>
          <w:sz w:val="24"/>
          <w:szCs w:val="24"/>
        </w:rPr>
        <w:t xml:space="preserve"> </w:t>
      </w:r>
      <w:r w:rsidR="005C685A" w:rsidRPr="00C10D10">
        <w:rPr>
          <w:rFonts w:ascii="Times New Roman" w:hAnsi="Times New Roman"/>
          <w:sz w:val="24"/>
          <w:szCs w:val="24"/>
        </w:rPr>
        <w:t>establish</w:t>
      </w:r>
      <w:r w:rsidR="001354A8">
        <w:rPr>
          <w:rFonts w:ascii="Times New Roman" w:hAnsi="Times New Roman"/>
          <w:sz w:val="24"/>
          <w:szCs w:val="24"/>
        </w:rPr>
        <w:t>ing</w:t>
      </w:r>
      <w:r w:rsidR="005C685A" w:rsidRPr="00C10D10">
        <w:rPr>
          <w:rFonts w:ascii="Times New Roman" w:hAnsi="Times New Roman"/>
          <w:sz w:val="24"/>
          <w:szCs w:val="24"/>
        </w:rPr>
        <w:t xml:space="preserve"> the need for a</w:t>
      </w:r>
      <w:r w:rsidR="00F73CB8">
        <w:rPr>
          <w:rFonts w:ascii="Times New Roman" w:hAnsi="Times New Roman"/>
          <w:sz w:val="24"/>
          <w:szCs w:val="24"/>
        </w:rPr>
        <w:t>n</w:t>
      </w:r>
      <w:r w:rsidR="005C685A" w:rsidRPr="00C10D10">
        <w:rPr>
          <w:rFonts w:ascii="Times New Roman" w:hAnsi="Times New Roman"/>
          <w:sz w:val="24"/>
          <w:szCs w:val="24"/>
        </w:rPr>
        <w:t xml:space="preserve"> </w:t>
      </w:r>
      <w:r w:rsidR="00F73CB8">
        <w:rPr>
          <w:rFonts w:ascii="Times New Roman" w:hAnsi="Times New Roman"/>
          <w:sz w:val="24"/>
          <w:szCs w:val="24"/>
        </w:rPr>
        <w:t>authorization for discharges</w:t>
      </w:r>
      <w:r w:rsidR="005C685A" w:rsidRPr="00C10D10">
        <w:rPr>
          <w:rFonts w:ascii="Times New Roman" w:hAnsi="Times New Roman"/>
          <w:sz w:val="24"/>
          <w:szCs w:val="24"/>
        </w:rPr>
        <w:t>.</w:t>
      </w:r>
      <w:r w:rsidR="00E7351C" w:rsidRPr="00C10D10">
        <w:rPr>
          <w:rFonts w:ascii="Times New Roman" w:hAnsi="Times New Roman"/>
          <w:sz w:val="24"/>
          <w:szCs w:val="24"/>
        </w:rPr>
        <w:t xml:space="preserve"> </w:t>
      </w:r>
      <w:r w:rsidR="005C685A" w:rsidRPr="00C10D10">
        <w:rPr>
          <w:rFonts w:ascii="Times New Roman" w:hAnsi="Times New Roman"/>
          <w:sz w:val="24"/>
          <w:szCs w:val="24"/>
        </w:rPr>
        <w:t xml:space="preserve">Section 5 </w:t>
      </w:r>
      <w:r w:rsidR="001354A8">
        <w:rPr>
          <w:rFonts w:ascii="Times New Roman" w:hAnsi="Times New Roman"/>
          <w:sz w:val="24"/>
          <w:szCs w:val="24"/>
        </w:rPr>
        <w:t>provides recommendations on</w:t>
      </w:r>
      <w:r w:rsidR="001354A8" w:rsidRPr="00C10D10">
        <w:rPr>
          <w:rFonts w:ascii="Times New Roman" w:hAnsi="Times New Roman"/>
          <w:sz w:val="24"/>
          <w:szCs w:val="24"/>
        </w:rPr>
        <w:t xml:space="preserve"> </w:t>
      </w:r>
      <w:r w:rsidR="005C685A" w:rsidRPr="00C10D10">
        <w:rPr>
          <w:rFonts w:ascii="Times New Roman" w:hAnsi="Times New Roman"/>
          <w:sz w:val="24"/>
          <w:szCs w:val="24"/>
        </w:rPr>
        <w:t xml:space="preserve">the </w:t>
      </w:r>
      <w:r w:rsidR="007D22E5" w:rsidRPr="00C10D10">
        <w:rPr>
          <w:rFonts w:ascii="Times New Roman" w:hAnsi="Times New Roman"/>
          <w:sz w:val="24"/>
          <w:szCs w:val="24"/>
        </w:rPr>
        <w:t xml:space="preserve">process </w:t>
      </w:r>
      <w:r w:rsidR="007D22E5">
        <w:rPr>
          <w:rFonts w:ascii="Times New Roman" w:hAnsi="Times New Roman"/>
          <w:sz w:val="24"/>
          <w:szCs w:val="24"/>
        </w:rPr>
        <w:t xml:space="preserve">for </w:t>
      </w:r>
      <w:r w:rsidR="005C685A" w:rsidRPr="00C10D10">
        <w:rPr>
          <w:rFonts w:ascii="Times New Roman" w:hAnsi="Times New Roman"/>
          <w:sz w:val="24"/>
          <w:szCs w:val="24"/>
        </w:rPr>
        <w:t>authorization</w:t>
      </w:r>
      <w:r w:rsidR="009B0DC9">
        <w:rPr>
          <w:rFonts w:ascii="Times New Roman" w:hAnsi="Times New Roman"/>
          <w:sz w:val="24"/>
          <w:szCs w:val="24"/>
        </w:rPr>
        <w:t xml:space="preserve"> of discharges</w:t>
      </w:r>
      <w:r w:rsidR="005C685A" w:rsidRPr="00C10D10">
        <w:rPr>
          <w:rFonts w:ascii="Times New Roman" w:hAnsi="Times New Roman"/>
          <w:sz w:val="24"/>
          <w:szCs w:val="24"/>
        </w:rPr>
        <w:t>, including the development of a</w:t>
      </w:r>
      <w:r w:rsidR="009B1B5D">
        <w:rPr>
          <w:rFonts w:ascii="Times New Roman" w:hAnsi="Times New Roman"/>
          <w:sz w:val="24"/>
          <w:szCs w:val="24"/>
        </w:rPr>
        <w:t>n authorization for</w:t>
      </w:r>
      <w:r w:rsidR="005C685A" w:rsidRPr="00C10D10">
        <w:rPr>
          <w:rFonts w:ascii="Times New Roman" w:hAnsi="Times New Roman"/>
          <w:sz w:val="24"/>
          <w:szCs w:val="24"/>
        </w:rPr>
        <w:t xml:space="preserve"> discharge</w:t>
      </w:r>
      <w:r w:rsidR="009B1B5D">
        <w:rPr>
          <w:rFonts w:ascii="Times New Roman" w:hAnsi="Times New Roman"/>
          <w:sz w:val="24"/>
          <w:szCs w:val="24"/>
        </w:rPr>
        <w:t>s</w:t>
      </w:r>
      <w:r w:rsidR="005C685A" w:rsidRPr="00C10D10">
        <w:rPr>
          <w:rFonts w:ascii="Times New Roman" w:hAnsi="Times New Roman"/>
          <w:sz w:val="24"/>
          <w:szCs w:val="24"/>
        </w:rPr>
        <w:t xml:space="preserve"> </w:t>
      </w:r>
      <w:r w:rsidR="00BA4745">
        <w:rPr>
          <w:rFonts w:ascii="Times New Roman" w:hAnsi="Times New Roman"/>
          <w:sz w:val="24"/>
          <w:szCs w:val="24"/>
        </w:rPr>
        <w:t xml:space="preserve">and the setting of </w:t>
      </w:r>
      <w:r w:rsidR="00C50AED" w:rsidRPr="00C10D10">
        <w:rPr>
          <w:rFonts w:ascii="Times New Roman" w:hAnsi="Times New Roman"/>
          <w:sz w:val="24"/>
          <w:szCs w:val="24"/>
        </w:rPr>
        <w:t>discharge limits</w:t>
      </w:r>
      <w:r w:rsidR="005C685A" w:rsidRPr="00C10D10">
        <w:rPr>
          <w:rFonts w:ascii="Times New Roman" w:hAnsi="Times New Roman"/>
          <w:sz w:val="24"/>
          <w:szCs w:val="24"/>
        </w:rPr>
        <w:t>, the establishment and use of dose constraints, the characteri</w:t>
      </w:r>
      <w:r w:rsidR="00C43480" w:rsidRPr="00C10D10">
        <w:rPr>
          <w:rFonts w:ascii="Times New Roman" w:hAnsi="Times New Roman"/>
          <w:sz w:val="24"/>
          <w:szCs w:val="24"/>
        </w:rPr>
        <w:t>zation</w:t>
      </w:r>
      <w:r w:rsidR="005C685A" w:rsidRPr="00C10D10">
        <w:rPr>
          <w:rFonts w:ascii="Times New Roman" w:hAnsi="Times New Roman"/>
          <w:sz w:val="24"/>
          <w:szCs w:val="24"/>
        </w:rPr>
        <w:t xml:space="preserve"> of discharges and the exposure scenarios used </w:t>
      </w:r>
      <w:r w:rsidR="00251E74">
        <w:rPr>
          <w:rFonts w:ascii="Times New Roman" w:hAnsi="Times New Roman"/>
          <w:sz w:val="24"/>
          <w:szCs w:val="24"/>
        </w:rPr>
        <w:t>for</w:t>
      </w:r>
      <w:r w:rsidR="00251E74" w:rsidRPr="00C10D10">
        <w:rPr>
          <w:rFonts w:ascii="Times New Roman" w:hAnsi="Times New Roman"/>
          <w:sz w:val="24"/>
          <w:szCs w:val="24"/>
        </w:rPr>
        <w:t xml:space="preserve"> </w:t>
      </w:r>
      <w:r w:rsidR="00E7351C" w:rsidRPr="00C10D10">
        <w:rPr>
          <w:rFonts w:ascii="Times New Roman" w:hAnsi="Times New Roman"/>
          <w:sz w:val="24"/>
          <w:szCs w:val="24"/>
        </w:rPr>
        <w:t>specify</w:t>
      </w:r>
      <w:r w:rsidR="00251E74">
        <w:rPr>
          <w:rFonts w:ascii="Times New Roman" w:hAnsi="Times New Roman"/>
          <w:sz w:val="24"/>
          <w:szCs w:val="24"/>
        </w:rPr>
        <w:t>ing</w:t>
      </w:r>
      <w:r w:rsidR="005C685A" w:rsidRPr="00C10D10">
        <w:rPr>
          <w:rFonts w:ascii="Times New Roman" w:hAnsi="Times New Roman"/>
          <w:sz w:val="24"/>
          <w:szCs w:val="24"/>
        </w:rPr>
        <w:t xml:space="preserve"> discharge limits, the consideration of optimization</w:t>
      </w:r>
      <w:r w:rsidR="00251E74">
        <w:rPr>
          <w:rFonts w:ascii="Times New Roman" w:hAnsi="Times New Roman"/>
          <w:sz w:val="24"/>
          <w:szCs w:val="24"/>
        </w:rPr>
        <w:t xml:space="preserve"> of protection and safety</w:t>
      </w:r>
      <w:r w:rsidR="005C685A" w:rsidRPr="00C10D10">
        <w:rPr>
          <w:rFonts w:ascii="Times New Roman" w:hAnsi="Times New Roman"/>
          <w:sz w:val="24"/>
          <w:szCs w:val="24"/>
        </w:rPr>
        <w:t xml:space="preserve">, </w:t>
      </w:r>
      <w:r w:rsidR="00C43480" w:rsidRPr="00C10D10">
        <w:rPr>
          <w:rFonts w:ascii="Times New Roman" w:hAnsi="Times New Roman"/>
          <w:sz w:val="24"/>
          <w:szCs w:val="24"/>
        </w:rPr>
        <w:t xml:space="preserve">the assessment of doses to the public, </w:t>
      </w:r>
      <w:r w:rsidR="005C685A" w:rsidRPr="00C10D10">
        <w:rPr>
          <w:rFonts w:ascii="Times New Roman" w:hAnsi="Times New Roman"/>
          <w:sz w:val="24"/>
          <w:szCs w:val="24"/>
        </w:rPr>
        <w:t xml:space="preserve">the </w:t>
      </w:r>
      <w:r w:rsidR="00E51591">
        <w:rPr>
          <w:rFonts w:ascii="Times New Roman" w:hAnsi="Times New Roman"/>
          <w:sz w:val="24"/>
          <w:szCs w:val="24"/>
        </w:rPr>
        <w:t xml:space="preserve">operational </w:t>
      </w:r>
      <w:r w:rsidR="00161040" w:rsidRPr="00161040">
        <w:rPr>
          <w:rFonts w:ascii="Times New Roman" w:hAnsi="Times New Roman"/>
          <w:sz w:val="24"/>
          <w:szCs w:val="24"/>
        </w:rPr>
        <w:t xml:space="preserve">limits and </w:t>
      </w:r>
      <w:r w:rsidR="005C685A" w:rsidRPr="00C10D10">
        <w:rPr>
          <w:rFonts w:ascii="Times New Roman" w:hAnsi="Times New Roman"/>
          <w:sz w:val="24"/>
          <w:szCs w:val="24"/>
        </w:rPr>
        <w:t xml:space="preserve">conditions </w:t>
      </w:r>
      <w:r w:rsidR="00E51591">
        <w:rPr>
          <w:rFonts w:ascii="Times New Roman" w:hAnsi="Times New Roman"/>
          <w:sz w:val="24"/>
          <w:szCs w:val="24"/>
        </w:rPr>
        <w:t xml:space="preserve">associated with </w:t>
      </w:r>
      <w:r w:rsidR="005C685A" w:rsidRPr="00C10D10">
        <w:rPr>
          <w:rFonts w:ascii="Times New Roman" w:hAnsi="Times New Roman"/>
          <w:sz w:val="24"/>
          <w:szCs w:val="24"/>
        </w:rPr>
        <w:t xml:space="preserve"> the authorization</w:t>
      </w:r>
      <w:r w:rsidR="00C43480" w:rsidRPr="00C10D10">
        <w:rPr>
          <w:rFonts w:ascii="Times New Roman" w:hAnsi="Times New Roman"/>
          <w:sz w:val="24"/>
          <w:szCs w:val="24"/>
        </w:rPr>
        <w:t>,</w:t>
      </w:r>
      <w:r w:rsidR="005C685A" w:rsidRPr="00C10D10">
        <w:rPr>
          <w:rFonts w:ascii="Times New Roman" w:hAnsi="Times New Roman"/>
          <w:sz w:val="24"/>
          <w:szCs w:val="24"/>
        </w:rPr>
        <w:t xml:space="preserve"> </w:t>
      </w:r>
      <w:r w:rsidR="009B1B5D">
        <w:rPr>
          <w:rFonts w:ascii="Times New Roman" w:hAnsi="Times New Roman"/>
          <w:sz w:val="24"/>
          <w:szCs w:val="24"/>
        </w:rPr>
        <w:t xml:space="preserve">the </w:t>
      </w:r>
      <w:r w:rsidR="00044F45">
        <w:rPr>
          <w:rFonts w:ascii="Times New Roman" w:hAnsi="Times New Roman"/>
          <w:sz w:val="24"/>
          <w:szCs w:val="24"/>
        </w:rPr>
        <w:t xml:space="preserve">demonstration of </w:t>
      </w:r>
      <w:r w:rsidR="005C685A" w:rsidRPr="00C10D10">
        <w:rPr>
          <w:rFonts w:ascii="Times New Roman" w:hAnsi="Times New Roman"/>
          <w:sz w:val="24"/>
          <w:szCs w:val="24"/>
        </w:rPr>
        <w:t>compliance</w:t>
      </w:r>
      <w:r w:rsidR="00044F45">
        <w:rPr>
          <w:rFonts w:ascii="Times New Roman" w:hAnsi="Times New Roman"/>
          <w:sz w:val="24"/>
          <w:szCs w:val="24"/>
        </w:rPr>
        <w:t>,</w:t>
      </w:r>
      <w:r w:rsidR="00C43480" w:rsidRPr="00C10D10">
        <w:rPr>
          <w:rFonts w:ascii="Times New Roman" w:hAnsi="Times New Roman"/>
          <w:sz w:val="24"/>
          <w:szCs w:val="24"/>
        </w:rPr>
        <w:t xml:space="preserve"> and the involvement of interested parties</w:t>
      </w:r>
      <w:r w:rsidR="005C685A" w:rsidRPr="00C10D10">
        <w:rPr>
          <w:rFonts w:ascii="Times New Roman" w:hAnsi="Times New Roman"/>
          <w:sz w:val="24"/>
          <w:szCs w:val="24"/>
        </w:rPr>
        <w:t xml:space="preserve">. Section 6 covers </w:t>
      </w:r>
      <w:r w:rsidR="00251E74">
        <w:rPr>
          <w:rFonts w:ascii="Times New Roman" w:hAnsi="Times New Roman"/>
          <w:sz w:val="24"/>
          <w:szCs w:val="24"/>
        </w:rPr>
        <w:t>discharges of</w:t>
      </w:r>
      <w:r w:rsidR="00BD2822" w:rsidRPr="00C10D10">
        <w:rPr>
          <w:rFonts w:ascii="Times New Roman" w:hAnsi="Times New Roman"/>
          <w:sz w:val="24"/>
          <w:szCs w:val="24"/>
        </w:rPr>
        <w:t xml:space="preserve"> </w:t>
      </w:r>
      <w:r w:rsidR="005C685A" w:rsidRPr="00C10D10">
        <w:rPr>
          <w:rFonts w:ascii="Times New Roman" w:hAnsi="Times New Roman"/>
          <w:sz w:val="24"/>
          <w:szCs w:val="24"/>
        </w:rPr>
        <w:t xml:space="preserve">naturally occurring </w:t>
      </w:r>
      <w:r w:rsidR="00E93E44" w:rsidRPr="00C10D10">
        <w:rPr>
          <w:rFonts w:ascii="Times New Roman" w:hAnsi="Times New Roman"/>
          <w:sz w:val="24"/>
          <w:szCs w:val="24"/>
        </w:rPr>
        <w:t>radionuclides</w:t>
      </w:r>
      <w:r w:rsidR="005C685A" w:rsidRPr="00C10D10">
        <w:rPr>
          <w:rFonts w:ascii="Times New Roman" w:hAnsi="Times New Roman"/>
          <w:sz w:val="24"/>
          <w:szCs w:val="24"/>
        </w:rPr>
        <w:t>. In Section 7</w:t>
      </w:r>
      <w:r w:rsidR="00BD2822">
        <w:rPr>
          <w:rFonts w:ascii="Times New Roman" w:hAnsi="Times New Roman"/>
          <w:sz w:val="24"/>
          <w:szCs w:val="24"/>
        </w:rPr>
        <w:t>,</w:t>
      </w:r>
      <w:r w:rsidR="005C685A" w:rsidRPr="00C10D10">
        <w:rPr>
          <w:rFonts w:ascii="Times New Roman" w:hAnsi="Times New Roman"/>
          <w:sz w:val="24"/>
          <w:szCs w:val="24"/>
        </w:rPr>
        <w:t xml:space="preserve"> the aspects relat</w:t>
      </w:r>
      <w:r w:rsidR="00BD2822">
        <w:rPr>
          <w:rFonts w:ascii="Times New Roman" w:hAnsi="Times New Roman"/>
          <w:sz w:val="24"/>
          <w:szCs w:val="24"/>
        </w:rPr>
        <w:t>ing</w:t>
      </w:r>
      <w:r w:rsidR="005C685A" w:rsidRPr="00C10D10">
        <w:rPr>
          <w:rFonts w:ascii="Times New Roman" w:hAnsi="Times New Roman"/>
          <w:sz w:val="24"/>
          <w:szCs w:val="24"/>
        </w:rPr>
        <w:t xml:space="preserve"> to </w:t>
      </w:r>
      <w:r w:rsidR="00BD2822">
        <w:rPr>
          <w:rFonts w:ascii="Times New Roman" w:hAnsi="Times New Roman"/>
          <w:sz w:val="24"/>
          <w:szCs w:val="24"/>
        </w:rPr>
        <w:t xml:space="preserve">the </w:t>
      </w:r>
      <w:r w:rsidR="005C685A" w:rsidRPr="00C10D10">
        <w:rPr>
          <w:rFonts w:ascii="Times New Roman" w:hAnsi="Times New Roman"/>
          <w:sz w:val="24"/>
          <w:szCs w:val="24"/>
        </w:rPr>
        <w:t xml:space="preserve">control of discharges during decommissioning are presented. Finally, Section 8 </w:t>
      </w:r>
      <w:r w:rsidR="009B0DC9">
        <w:rPr>
          <w:rFonts w:ascii="Times New Roman" w:hAnsi="Times New Roman"/>
          <w:sz w:val="24"/>
          <w:szCs w:val="24"/>
        </w:rPr>
        <w:t>provides recommendations</w:t>
      </w:r>
      <w:r w:rsidR="005C685A" w:rsidRPr="00C10D10">
        <w:rPr>
          <w:rFonts w:ascii="Times New Roman" w:hAnsi="Times New Roman"/>
          <w:sz w:val="24"/>
          <w:szCs w:val="24"/>
        </w:rPr>
        <w:t xml:space="preserve"> </w:t>
      </w:r>
      <w:r w:rsidR="0036463C">
        <w:rPr>
          <w:rFonts w:ascii="Times New Roman" w:hAnsi="Times New Roman"/>
          <w:sz w:val="24"/>
          <w:szCs w:val="24"/>
        </w:rPr>
        <w:t xml:space="preserve">on </w:t>
      </w:r>
      <w:r w:rsidR="00BD2822">
        <w:rPr>
          <w:rFonts w:ascii="Times New Roman" w:hAnsi="Times New Roman"/>
          <w:sz w:val="24"/>
          <w:szCs w:val="24"/>
        </w:rPr>
        <w:t xml:space="preserve">the </w:t>
      </w:r>
      <w:r w:rsidR="003052C3">
        <w:rPr>
          <w:rFonts w:ascii="Times New Roman" w:hAnsi="Times New Roman"/>
          <w:sz w:val="24"/>
          <w:szCs w:val="24"/>
        </w:rPr>
        <w:t xml:space="preserve">regulation of discharges from </w:t>
      </w:r>
      <w:r w:rsidR="005C685A" w:rsidRPr="00C10D10">
        <w:rPr>
          <w:rFonts w:ascii="Times New Roman" w:hAnsi="Times New Roman"/>
          <w:sz w:val="24"/>
          <w:szCs w:val="24"/>
        </w:rPr>
        <w:t>previous</w:t>
      </w:r>
      <w:r w:rsidR="00131B24">
        <w:rPr>
          <w:rFonts w:ascii="Times New Roman" w:hAnsi="Times New Roman"/>
          <w:sz w:val="24"/>
          <w:szCs w:val="24"/>
        </w:rPr>
        <w:t>ly</w:t>
      </w:r>
      <w:r w:rsidR="005C685A" w:rsidRPr="00C10D10">
        <w:rPr>
          <w:rFonts w:ascii="Times New Roman" w:hAnsi="Times New Roman"/>
          <w:sz w:val="24"/>
          <w:szCs w:val="24"/>
        </w:rPr>
        <w:t xml:space="preserve"> unregulated practices. </w:t>
      </w:r>
      <w:r w:rsidR="00C50AED" w:rsidRPr="00C10D10">
        <w:rPr>
          <w:rFonts w:ascii="Times New Roman" w:hAnsi="Times New Roman"/>
          <w:sz w:val="24"/>
          <w:szCs w:val="24"/>
        </w:rPr>
        <w:t>Annex</w:t>
      </w:r>
      <w:r w:rsidR="004E5A7D">
        <w:rPr>
          <w:rFonts w:ascii="Times New Roman" w:hAnsi="Times New Roman"/>
          <w:sz w:val="24"/>
          <w:szCs w:val="24"/>
        </w:rPr>
        <w:t xml:space="preserve"> </w:t>
      </w:r>
      <w:r w:rsidR="00BA4745">
        <w:rPr>
          <w:rFonts w:ascii="Times New Roman" w:hAnsi="Times New Roman"/>
          <w:sz w:val="24"/>
          <w:szCs w:val="24"/>
        </w:rPr>
        <w:t>I</w:t>
      </w:r>
      <w:r w:rsidR="0016630F" w:rsidRPr="00C10D10">
        <w:rPr>
          <w:rFonts w:ascii="Times New Roman" w:hAnsi="Times New Roman"/>
          <w:sz w:val="24"/>
          <w:szCs w:val="24"/>
        </w:rPr>
        <w:t xml:space="preserve"> </w:t>
      </w:r>
      <w:r w:rsidR="00C50AED" w:rsidRPr="00C10D10">
        <w:rPr>
          <w:rFonts w:ascii="Times New Roman" w:hAnsi="Times New Roman"/>
          <w:sz w:val="24"/>
          <w:szCs w:val="24"/>
        </w:rPr>
        <w:t>provides</w:t>
      </w:r>
      <w:r w:rsidR="005C685A" w:rsidRPr="00C10D10">
        <w:rPr>
          <w:rFonts w:ascii="Times New Roman" w:hAnsi="Times New Roman"/>
          <w:sz w:val="24"/>
          <w:szCs w:val="24"/>
        </w:rPr>
        <w:t xml:space="preserve"> </w:t>
      </w:r>
      <w:r w:rsidR="00C50AED" w:rsidRPr="00C10D10">
        <w:rPr>
          <w:rFonts w:ascii="Times New Roman" w:hAnsi="Times New Roman"/>
          <w:sz w:val="24"/>
          <w:szCs w:val="24"/>
        </w:rPr>
        <w:t xml:space="preserve">practical considerations </w:t>
      </w:r>
      <w:r w:rsidR="001354A8">
        <w:rPr>
          <w:rFonts w:ascii="Times New Roman" w:hAnsi="Times New Roman"/>
          <w:sz w:val="24"/>
          <w:szCs w:val="24"/>
        </w:rPr>
        <w:t>that can</w:t>
      </w:r>
      <w:r w:rsidR="001354A8" w:rsidRPr="00C10D10">
        <w:rPr>
          <w:rFonts w:ascii="Times New Roman" w:hAnsi="Times New Roman"/>
          <w:sz w:val="24"/>
          <w:szCs w:val="24"/>
        </w:rPr>
        <w:t xml:space="preserve"> </w:t>
      </w:r>
      <w:r w:rsidR="00C50AED" w:rsidRPr="00C10D10">
        <w:rPr>
          <w:rFonts w:ascii="Times New Roman" w:hAnsi="Times New Roman"/>
          <w:sz w:val="24"/>
          <w:szCs w:val="24"/>
        </w:rPr>
        <w:t xml:space="preserve">be taken into account when setting </w:t>
      </w:r>
      <w:r w:rsidR="00BD2822" w:rsidRPr="00C10D10">
        <w:rPr>
          <w:rFonts w:ascii="Times New Roman" w:hAnsi="Times New Roman"/>
          <w:sz w:val="24"/>
          <w:szCs w:val="24"/>
        </w:rPr>
        <w:t xml:space="preserve">authorizations </w:t>
      </w:r>
      <w:r w:rsidR="00BD2822">
        <w:rPr>
          <w:rFonts w:ascii="Times New Roman" w:hAnsi="Times New Roman"/>
          <w:sz w:val="24"/>
          <w:szCs w:val="24"/>
        </w:rPr>
        <w:t xml:space="preserve">for </w:t>
      </w:r>
      <w:r w:rsidR="00C50AED" w:rsidRPr="00C10D10">
        <w:rPr>
          <w:rFonts w:ascii="Times New Roman" w:hAnsi="Times New Roman"/>
          <w:sz w:val="24"/>
          <w:szCs w:val="24"/>
        </w:rPr>
        <w:t>discharge</w:t>
      </w:r>
      <w:r w:rsidR="00BD2822">
        <w:rPr>
          <w:rFonts w:ascii="Times New Roman" w:hAnsi="Times New Roman"/>
          <w:sz w:val="24"/>
          <w:szCs w:val="24"/>
        </w:rPr>
        <w:t>s</w:t>
      </w:r>
      <w:r w:rsidR="00B12374" w:rsidRPr="00C10D10">
        <w:rPr>
          <w:rFonts w:ascii="Times New Roman" w:hAnsi="Times New Roman"/>
          <w:sz w:val="24"/>
          <w:szCs w:val="24"/>
        </w:rPr>
        <w:t>.</w:t>
      </w:r>
    </w:p>
    <w:p w:rsidR="00B12374" w:rsidRPr="00C10D10" w:rsidRDefault="00B12374" w:rsidP="00B12374">
      <w:pPr>
        <w:autoSpaceDE w:val="0"/>
        <w:autoSpaceDN w:val="0"/>
        <w:adjustRightInd w:val="0"/>
        <w:spacing w:before="120" w:line="360" w:lineRule="auto"/>
        <w:jc w:val="both"/>
        <w:rPr>
          <w:rFonts w:ascii="Times New Roman" w:hAnsi="Times New Roman"/>
          <w:sz w:val="24"/>
          <w:szCs w:val="24"/>
        </w:rPr>
      </w:pPr>
    </w:p>
    <w:p w:rsidR="00EA0344" w:rsidRPr="00C10D10" w:rsidRDefault="00BF4182" w:rsidP="00EA0344">
      <w:pPr>
        <w:pStyle w:val="Heading1"/>
        <w:spacing w:before="120" w:after="0" w:line="360" w:lineRule="auto"/>
        <w:ind w:left="0" w:firstLine="0"/>
        <w:rPr>
          <w:kern w:val="0"/>
          <w:lang w:val="en-GB"/>
        </w:rPr>
      </w:pPr>
      <w:bookmarkStart w:id="17" w:name="_Toc452966933"/>
      <w:bookmarkStart w:id="18" w:name="_Toc396128254"/>
      <w:bookmarkStart w:id="19" w:name="_Toc396128866"/>
      <w:r w:rsidRPr="00C10D10">
        <w:rPr>
          <w:kern w:val="0"/>
          <w:lang w:val="en-GB"/>
        </w:rPr>
        <w:lastRenderedPageBreak/>
        <w:t xml:space="preserve">THE </w:t>
      </w:r>
      <w:r w:rsidR="00EA0344" w:rsidRPr="00C10D10">
        <w:rPr>
          <w:kern w:val="0"/>
          <w:lang w:val="en-GB"/>
        </w:rPr>
        <w:t xml:space="preserve">PRINCIPLES </w:t>
      </w:r>
      <w:r w:rsidR="00EE4DD4">
        <w:rPr>
          <w:kern w:val="0"/>
          <w:lang w:val="en-GB"/>
        </w:rPr>
        <w:t xml:space="preserve">OF RADIATION PROTECTION </w:t>
      </w:r>
      <w:r w:rsidR="00EA0344" w:rsidRPr="00C10D10">
        <w:rPr>
          <w:kern w:val="0"/>
          <w:lang w:val="en-GB"/>
        </w:rPr>
        <w:t>FOR CONTROL OF DISCHARGES</w:t>
      </w:r>
      <w:bookmarkEnd w:id="17"/>
    </w:p>
    <w:p w:rsidR="00EA0344" w:rsidRPr="00C10D10" w:rsidRDefault="00EA0344" w:rsidP="0091132F">
      <w:pPr>
        <w:numPr>
          <w:ilvl w:val="0"/>
          <w:numId w:val="18"/>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The radiation protection </w:t>
      </w:r>
      <w:r w:rsidR="00EE4DD4">
        <w:rPr>
          <w:rFonts w:ascii="Times New Roman" w:hAnsi="Times New Roman"/>
          <w:sz w:val="24"/>
          <w:szCs w:val="24"/>
        </w:rPr>
        <w:t xml:space="preserve">and safety </w:t>
      </w:r>
      <w:r w:rsidRPr="00C10D10">
        <w:rPr>
          <w:rFonts w:ascii="Times New Roman" w:hAnsi="Times New Roman"/>
          <w:sz w:val="24"/>
          <w:szCs w:val="24"/>
        </w:rPr>
        <w:t xml:space="preserve">principles </w:t>
      </w:r>
      <w:r w:rsidR="00BD2822">
        <w:rPr>
          <w:rFonts w:ascii="Times New Roman" w:hAnsi="Times New Roman"/>
          <w:sz w:val="24"/>
          <w:szCs w:val="24"/>
        </w:rPr>
        <w:t>established</w:t>
      </w:r>
      <w:r w:rsidR="00BD2822" w:rsidRPr="00C10D10">
        <w:rPr>
          <w:rFonts w:ascii="Times New Roman" w:hAnsi="Times New Roman"/>
          <w:sz w:val="24"/>
          <w:szCs w:val="24"/>
        </w:rPr>
        <w:t xml:space="preserve"> </w:t>
      </w:r>
      <w:r w:rsidR="00BF4182" w:rsidRPr="00C10D10">
        <w:rPr>
          <w:rFonts w:ascii="Times New Roman" w:hAnsi="Times New Roman"/>
          <w:sz w:val="24"/>
          <w:szCs w:val="24"/>
        </w:rPr>
        <w:t xml:space="preserve">in the IAEA Safety Standards [1, </w:t>
      </w:r>
      <w:r w:rsidR="009B0DC9">
        <w:rPr>
          <w:rFonts w:ascii="Times New Roman" w:hAnsi="Times New Roman"/>
          <w:sz w:val="24"/>
          <w:szCs w:val="24"/>
        </w:rPr>
        <w:t>3</w:t>
      </w:r>
      <w:r w:rsidR="00BF4182" w:rsidRPr="00C10D10">
        <w:rPr>
          <w:rFonts w:ascii="Times New Roman" w:hAnsi="Times New Roman"/>
          <w:sz w:val="24"/>
          <w:szCs w:val="24"/>
        </w:rPr>
        <w:t xml:space="preserve">], on the basis of the </w:t>
      </w:r>
      <w:r w:rsidR="00CB239E">
        <w:rPr>
          <w:rFonts w:ascii="Times New Roman" w:hAnsi="Times New Roman"/>
          <w:sz w:val="24"/>
          <w:szCs w:val="24"/>
        </w:rPr>
        <w:t>recommendations</w:t>
      </w:r>
      <w:r w:rsidR="00CB239E" w:rsidRPr="00C10D10">
        <w:rPr>
          <w:rFonts w:ascii="Times New Roman" w:hAnsi="Times New Roman"/>
          <w:sz w:val="24"/>
          <w:szCs w:val="24"/>
        </w:rPr>
        <w:t xml:space="preserve"> </w:t>
      </w:r>
      <w:r w:rsidR="00BD2822">
        <w:rPr>
          <w:rFonts w:ascii="Times New Roman" w:hAnsi="Times New Roman"/>
          <w:sz w:val="24"/>
          <w:szCs w:val="24"/>
        </w:rPr>
        <w:t>of the</w:t>
      </w:r>
      <w:r w:rsidR="00BD2822" w:rsidRPr="00C10D10">
        <w:rPr>
          <w:rFonts w:ascii="Times New Roman" w:hAnsi="Times New Roman"/>
          <w:sz w:val="24"/>
          <w:szCs w:val="24"/>
        </w:rPr>
        <w:t xml:space="preserve"> </w:t>
      </w:r>
      <w:r w:rsidRPr="00C10D10">
        <w:rPr>
          <w:rFonts w:ascii="Times New Roman" w:hAnsi="Times New Roman"/>
          <w:sz w:val="24"/>
          <w:szCs w:val="24"/>
        </w:rPr>
        <w:t>ICRP [</w:t>
      </w:r>
      <w:r w:rsidR="00B12374" w:rsidRPr="00C10D10">
        <w:rPr>
          <w:rFonts w:ascii="Times New Roman" w:hAnsi="Times New Roman"/>
          <w:sz w:val="24"/>
          <w:szCs w:val="24"/>
        </w:rPr>
        <w:t>1</w:t>
      </w:r>
      <w:r w:rsidR="009B0DC9">
        <w:rPr>
          <w:rFonts w:ascii="Times New Roman" w:hAnsi="Times New Roman"/>
          <w:sz w:val="24"/>
          <w:szCs w:val="24"/>
        </w:rPr>
        <w:t>7</w:t>
      </w:r>
      <w:r w:rsidRPr="00C10D10">
        <w:rPr>
          <w:rFonts w:ascii="Times New Roman" w:hAnsi="Times New Roman"/>
          <w:sz w:val="24"/>
          <w:szCs w:val="24"/>
        </w:rPr>
        <w:t>]</w:t>
      </w:r>
      <w:r w:rsidR="00BF4182" w:rsidRPr="00C10D10">
        <w:rPr>
          <w:rFonts w:ascii="Times New Roman" w:hAnsi="Times New Roman"/>
          <w:sz w:val="24"/>
          <w:szCs w:val="24"/>
        </w:rPr>
        <w:t>,</w:t>
      </w:r>
      <w:r w:rsidRPr="00C10D10">
        <w:rPr>
          <w:rFonts w:ascii="Times New Roman" w:hAnsi="Times New Roman"/>
          <w:sz w:val="24"/>
          <w:szCs w:val="24"/>
        </w:rPr>
        <w:t xml:space="preserve"> </w:t>
      </w:r>
      <w:r w:rsidR="00BD2822">
        <w:rPr>
          <w:rFonts w:ascii="Times New Roman" w:hAnsi="Times New Roman"/>
          <w:sz w:val="24"/>
          <w:szCs w:val="24"/>
        </w:rPr>
        <w:t>relevant for the</w:t>
      </w:r>
      <w:r w:rsidRPr="00C10D10">
        <w:rPr>
          <w:rFonts w:ascii="Times New Roman" w:hAnsi="Times New Roman"/>
          <w:sz w:val="24"/>
          <w:szCs w:val="24"/>
        </w:rPr>
        <w:t xml:space="preserve"> control </w:t>
      </w:r>
      <w:r w:rsidR="001C747C">
        <w:rPr>
          <w:rFonts w:ascii="Times New Roman" w:hAnsi="Times New Roman"/>
          <w:sz w:val="24"/>
          <w:szCs w:val="24"/>
        </w:rPr>
        <w:t xml:space="preserve">of </w:t>
      </w:r>
      <w:r w:rsidRPr="00C10D10">
        <w:rPr>
          <w:rFonts w:ascii="Times New Roman" w:hAnsi="Times New Roman"/>
          <w:sz w:val="24"/>
          <w:szCs w:val="24"/>
        </w:rPr>
        <w:t xml:space="preserve">radioactive </w:t>
      </w:r>
      <w:r w:rsidR="00491BFE">
        <w:rPr>
          <w:rFonts w:ascii="Times New Roman" w:hAnsi="Times New Roman"/>
          <w:sz w:val="24"/>
          <w:szCs w:val="24"/>
        </w:rPr>
        <w:t>discharges</w:t>
      </w:r>
      <w:r w:rsidR="00491BFE" w:rsidRPr="00C10D10">
        <w:rPr>
          <w:rFonts w:ascii="Times New Roman" w:hAnsi="Times New Roman"/>
          <w:sz w:val="24"/>
          <w:szCs w:val="24"/>
        </w:rPr>
        <w:t xml:space="preserve"> </w:t>
      </w:r>
      <w:r w:rsidRPr="00C10D10">
        <w:rPr>
          <w:rFonts w:ascii="Times New Roman" w:hAnsi="Times New Roman"/>
          <w:sz w:val="24"/>
          <w:szCs w:val="24"/>
        </w:rPr>
        <w:t xml:space="preserve">to the environment from a </w:t>
      </w:r>
      <w:r w:rsidR="00BF4182" w:rsidRPr="00C10D10">
        <w:rPr>
          <w:rFonts w:ascii="Times New Roman" w:hAnsi="Times New Roman"/>
          <w:sz w:val="24"/>
          <w:szCs w:val="24"/>
        </w:rPr>
        <w:t xml:space="preserve">facility or </w:t>
      </w:r>
      <w:r w:rsidRPr="00C10D10">
        <w:rPr>
          <w:rFonts w:ascii="Times New Roman" w:hAnsi="Times New Roman"/>
          <w:sz w:val="24"/>
          <w:szCs w:val="24"/>
        </w:rPr>
        <w:t xml:space="preserve">activity in planned exposure situations are </w:t>
      </w:r>
      <w:r w:rsidR="00BD2822">
        <w:rPr>
          <w:rFonts w:ascii="Times New Roman" w:hAnsi="Times New Roman"/>
          <w:sz w:val="24"/>
          <w:szCs w:val="24"/>
        </w:rPr>
        <w:t xml:space="preserve">the principles </w:t>
      </w:r>
      <w:r w:rsidRPr="00C10D10">
        <w:rPr>
          <w:rFonts w:ascii="Times New Roman" w:hAnsi="Times New Roman"/>
          <w:sz w:val="24"/>
          <w:szCs w:val="24"/>
        </w:rPr>
        <w:t>of justification, optimization and dose limitation.</w:t>
      </w:r>
    </w:p>
    <w:p w:rsidR="00EA0344" w:rsidRPr="00C10D10" w:rsidRDefault="00EA0344" w:rsidP="00EA0344">
      <w:pPr>
        <w:pStyle w:val="Heading2"/>
        <w:rPr>
          <w:caps w:val="0"/>
          <w:lang w:val="en-GB"/>
        </w:rPr>
      </w:pPr>
      <w:bookmarkStart w:id="20" w:name="_Toc452966934"/>
      <w:r w:rsidRPr="00C10D10">
        <w:rPr>
          <w:caps w:val="0"/>
          <w:lang w:val="en-GB"/>
        </w:rPr>
        <w:t>JUSTIFICATION</w:t>
      </w:r>
      <w:r w:rsidR="005C2594">
        <w:rPr>
          <w:caps w:val="0"/>
          <w:lang w:val="en-GB"/>
        </w:rPr>
        <w:t xml:space="preserve"> OF FACILITIES AND ACTIVITIES</w:t>
      </w:r>
      <w:bookmarkEnd w:id="20"/>
    </w:p>
    <w:p w:rsidR="00C93DBA" w:rsidRPr="006C448D" w:rsidRDefault="00BD2822" w:rsidP="0091132F">
      <w:pPr>
        <w:numPr>
          <w:ilvl w:val="0"/>
          <w:numId w:val="18"/>
        </w:numPr>
        <w:tabs>
          <w:tab w:val="left" w:pos="709"/>
        </w:tabs>
        <w:spacing w:after="120" w:line="360" w:lineRule="auto"/>
        <w:jc w:val="both"/>
      </w:pPr>
      <w:r>
        <w:rPr>
          <w:rFonts w:ascii="Times New Roman" w:hAnsi="Times New Roman"/>
          <w:sz w:val="24"/>
          <w:szCs w:val="24"/>
        </w:rPr>
        <w:t>For</w:t>
      </w:r>
      <w:r w:rsidR="00EA0344" w:rsidRPr="00C10D10">
        <w:rPr>
          <w:rFonts w:ascii="Times New Roman" w:hAnsi="Times New Roman"/>
          <w:sz w:val="24"/>
          <w:szCs w:val="24"/>
        </w:rPr>
        <w:t xml:space="preserve"> authorization of a </w:t>
      </w:r>
      <w:r w:rsidR="00491BFE" w:rsidRPr="00C10D10">
        <w:rPr>
          <w:rFonts w:ascii="Times New Roman" w:hAnsi="Times New Roman"/>
          <w:sz w:val="24"/>
          <w:szCs w:val="24"/>
        </w:rPr>
        <w:t xml:space="preserve">facility </w:t>
      </w:r>
      <w:r w:rsidR="00491BFE">
        <w:rPr>
          <w:rFonts w:ascii="Times New Roman" w:hAnsi="Times New Roman"/>
          <w:sz w:val="24"/>
          <w:szCs w:val="24"/>
        </w:rPr>
        <w:t xml:space="preserve">or </w:t>
      </w:r>
      <w:r w:rsidR="00EA0344" w:rsidRPr="00C10D10">
        <w:rPr>
          <w:rFonts w:ascii="Times New Roman" w:hAnsi="Times New Roman"/>
          <w:sz w:val="24"/>
          <w:szCs w:val="24"/>
        </w:rPr>
        <w:t>activity</w:t>
      </w:r>
      <w:r>
        <w:rPr>
          <w:rFonts w:ascii="Times New Roman" w:hAnsi="Times New Roman"/>
          <w:sz w:val="24"/>
          <w:szCs w:val="24"/>
        </w:rPr>
        <w:t>,</w:t>
      </w:r>
      <w:r w:rsidR="00EA0344" w:rsidRPr="00C10D10">
        <w:rPr>
          <w:rFonts w:ascii="Times New Roman" w:hAnsi="Times New Roman"/>
          <w:sz w:val="24"/>
          <w:szCs w:val="24"/>
        </w:rPr>
        <w:t xml:space="preserve"> it </w:t>
      </w:r>
      <w:r w:rsidR="002F6A68">
        <w:rPr>
          <w:rFonts w:ascii="Times New Roman" w:hAnsi="Times New Roman"/>
          <w:sz w:val="24"/>
          <w:szCs w:val="24"/>
        </w:rPr>
        <w:t>is required to</w:t>
      </w:r>
      <w:r w:rsidR="002F6A68" w:rsidRPr="00C10D10">
        <w:rPr>
          <w:rFonts w:ascii="Times New Roman" w:hAnsi="Times New Roman"/>
          <w:sz w:val="24"/>
          <w:szCs w:val="24"/>
        </w:rPr>
        <w:t xml:space="preserve"> </w:t>
      </w:r>
      <w:r w:rsidR="00EA0344" w:rsidRPr="00C10D10">
        <w:rPr>
          <w:rFonts w:ascii="Times New Roman" w:hAnsi="Times New Roman"/>
          <w:sz w:val="24"/>
          <w:szCs w:val="24"/>
        </w:rPr>
        <w:t>be demonstrated that the introduction of that practice will produce a positive net benefit</w:t>
      </w:r>
      <w:r w:rsidR="00491BFE">
        <w:rPr>
          <w:rFonts w:ascii="Times New Roman" w:hAnsi="Times New Roman"/>
          <w:sz w:val="24"/>
          <w:szCs w:val="24"/>
        </w:rPr>
        <w:t>,</w:t>
      </w:r>
      <w:r w:rsidR="00EA0344" w:rsidRPr="00C10D10">
        <w:rPr>
          <w:rFonts w:ascii="Times New Roman" w:hAnsi="Times New Roman"/>
          <w:sz w:val="24"/>
          <w:szCs w:val="24"/>
        </w:rPr>
        <w:t xml:space="preserve"> </w:t>
      </w:r>
      <w:r w:rsidR="00491BFE">
        <w:rPr>
          <w:rFonts w:ascii="Times New Roman" w:hAnsi="Times New Roman"/>
          <w:sz w:val="24"/>
          <w:szCs w:val="24"/>
        </w:rPr>
        <w:t>i.</w:t>
      </w:r>
      <w:r w:rsidR="00EA0344" w:rsidRPr="00C10D10">
        <w:rPr>
          <w:rFonts w:ascii="Times New Roman" w:hAnsi="Times New Roman"/>
          <w:sz w:val="24"/>
          <w:szCs w:val="24"/>
        </w:rPr>
        <w:t xml:space="preserve">e. the expected benefits to individuals and </w:t>
      </w:r>
      <w:r w:rsidR="00CB239E">
        <w:rPr>
          <w:rFonts w:ascii="Times New Roman" w:hAnsi="Times New Roman"/>
          <w:sz w:val="24"/>
          <w:szCs w:val="24"/>
        </w:rPr>
        <w:t xml:space="preserve">to </w:t>
      </w:r>
      <w:r w:rsidR="00EA0344" w:rsidRPr="00C10D10">
        <w:rPr>
          <w:rFonts w:ascii="Times New Roman" w:hAnsi="Times New Roman"/>
          <w:sz w:val="24"/>
          <w:szCs w:val="24"/>
        </w:rPr>
        <w:t>society from the practice outweigh the harm, including radiation detriment</w:t>
      </w:r>
      <w:r w:rsidR="00491BFE">
        <w:rPr>
          <w:rFonts w:ascii="Times New Roman" w:hAnsi="Times New Roman"/>
          <w:sz w:val="24"/>
          <w:szCs w:val="24"/>
        </w:rPr>
        <w:t xml:space="preserve"> </w:t>
      </w:r>
      <w:r w:rsidR="00417BFF">
        <w:rPr>
          <w:rFonts w:ascii="Times New Roman" w:hAnsi="Times New Roman"/>
          <w:sz w:val="24"/>
          <w:szCs w:val="24"/>
        </w:rPr>
        <w:t>[3]</w:t>
      </w:r>
      <w:r w:rsidR="00EA0344" w:rsidRPr="00C93DBA">
        <w:rPr>
          <w:rFonts w:ascii="Times New Roman" w:hAnsi="Times New Roman"/>
          <w:sz w:val="24"/>
          <w:szCs w:val="24"/>
        </w:rPr>
        <w:t>.</w:t>
      </w:r>
      <w:r w:rsidR="00C93DBA" w:rsidRPr="00744436">
        <w:rPr>
          <w:rFonts w:ascii="Times New Roman" w:hAnsi="Times New Roman"/>
          <w:sz w:val="24"/>
          <w:szCs w:val="24"/>
        </w:rPr>
        <w:t xml:space="preserve"> Decisions regarding justification should be taken at a sufficiently high governmental level to </w:t>
      </w:r>
      <w:r w:rsidR="000F0541">
        <w:rPr>
          <w:rFonts w:ascii="Times New Roman" w:hAnsi="Times New Roman"/>
          <w:sz w:val="24"/>
          <w:szCs w:val="24"/>
        </w:rPr>
        <w:t>enable</w:t>
      </w:r>
      <w:r w:rsidR="000F0541" w:rsidRPr="00744436">
        <w:rPr>
          <w:rFonts w:ascii="Times New Roman" w:hAnsi="Times New Roman"/>
          <w:sz w:val="24"/>
          <w:szCs w:val="24"/>
        </w:rPr>
        <w:t xml:space="preserve"> </w:t>
      </w:r>
      <w:r w:rsidR="00C93DBA" w:rsidRPr="00744436">
        <w:rPr>
          <w:rFonts w:ascii="Times New Roman" w:hAnsi="Times New Roman"/>
          <w:sz w:val="24"/>
          <w:szCs w:val="24"/>
        </w:rPr>
        <w:t>all of the considerations that may be related to the benefits and detriments</w:t>
      </w:r>
      <w:r w:rsidR="00491BFE">
        <w:rPr>
          <w:rFonts w:ascii="Times New Roman" w:hAnsi="Times New Roman"/>
          <w:sz w:val="24"/>
          <w:szCs w:val="24"/>
        </w:rPr>
        <w:t xml:space="preserve"> </w:t>
      </w:r>
      <w:r w:rsidR="000F0541">
        <w:rPr>
          <w:rFonts w:ascii="Times New Roman" w:hAnsi="Times New Roman"/>
          <w:sz w:val="24"/>
          <w:szCs w:val="24"/>
        </w:rPr>
        <w:t xml:space="preserve">to be </w:t>
      </w:r>
      <w:r w:rsidR="00720B14">
        <w:rPr>
          <w:rFonts w:ascii="Times New Roman" w:hAnsi="Times New Roman"/>
          <w:sz w:val="24"/>
          <w:szCs w:val="24"/>
        </w:rPr>
        <w:t>taken into account</w:t>
      </w:r>
      <w:r w:rsidR="000F0541">
        <w:rPr>
          <w:rFonts w:ascii="Times New Roman" w:hAnsi="Times New Roman"/>
          <w:sz w:val="24"/>
          <w:szCs w:val="24"/>
        </w:rPr>
        <w:t xml:space="preserve"> </w:t>
      </w:r>
      <w:r w:rsidR="00491BFE">
        <w:rPr>
          <w:rFonts w:ascii="Times New Roman" w:hAnsi="Times New Roman"/>
          <w:sz w:val="24"/>
          <w:szCs w:val="24"/>
        </w:rPr>
        <w:t>[</w:t>
      </w:r>
      <w:r w:rsidR="009B0DC9">
        <w:rPr>
          <w:rFonts w:ascii="Times New Roman" w:hAnsi="Times New Roman"/>
          <w:sz w:val="24"/>
          <w:szCs w:val="24"/>
        </w:rPr>
        <w:t>6</w:t>
      </w:r>
      <w:r w:rsidR="00491BFE">
        <w:rPr>
          <w:rFonts w:ascii="Times New Roman" w:hAnsi="Times New Roman"/>
          <w:sz w:val="24"/>
          <w:szCs w:val="24"/>
        </w:rPr>
        <w:t>]</w:t>
      </w:r>
      <w:r w:rsidR="00C93DBA" w:rsidRPr="00744436">
        <w:rPr>
          <w:rFonts w:ascii="Times New Roman" w:hAnsi="Times New Roman"/>
          <w:sz w:val="24"/>
          <w:szCs w:val="24"/>
        </w:rPr>
        <w:t>. Any decision</w:t>
      </w:r>
      <w:r w:rsidR="002F6A68">
        <w:rPr>
          <w:rFonts w:ascii="Times New Roman" w:hAnsi="Times New Roman"/>
          <w:sz w:val="24"/>
          <w:szCs w:val="24"/>
        </w:rPr>
        <w:t xml:space="preserve"> on</w:t>
      </w:r>
      <w:r w:rsidR="00C93DBA" w:rsidRPr="00744436">
        <w:rPr>
          <w:rFonts w:ascii="Times New Roman" w:hAnsi="Times New Roman"/>
          <w:sz w:val="24"/>
          <w:szCs w:val="24"/>
        </w:rPr>
        <w:t xml:space="preserve"> </w:t>
      </w:r>
      <w:r w:rsidR="002F6A68" w:rsidRPr="00744436">
        <w:rPr>
          <w:rFonts w:ascii="Times New Roman" w:hAnsi="Times New Roman"/>
          <w:sz w:val="24"/>
          <w:szCs w:val="24"/>
        </w:rPr>
        <w:t xml:space="preserve">justification </w:t>
      </w:r>
      <w:r w:rsidR="00C93DBA" w:rsidRPr="00744436">
        <w:rPr>
          <w:rFonts w:ascii="Times New Roman" w:hAnsi="Times New Roman"/>
          <w:sz w:val="24"/>
          <w:szCs w:val="24"/>
        </w:rPr>
        <w:t xml:space="preserve">should always involve consideration of the radiation doses </w:t>
      </w:r>
      <w:r w:rsidR="000F0541">
        <w:rPr>
          <w:rFonts w:ascii="Times New Roman" w:hAnsi="Times New Roman"/>
          <w:sz w:val="24"/>
          <w:szCs w:val="24"/>
        </w:rPr>
        <w:t xml:space="preserve">expected </w:t>
      </w:r>
      <w:r w:rsidR="00C93DBA" w:rsidRPr="00744436">
        <w:rPr>
          <w:rFonts w:ascii="Times New Roman" w:hAnsi="Times New Roman"/>
          <w:sz w:val="24"/>
          <w:szCs w:val="24"/>
        </w:rPr>
        <w:t>either to be incurred</w:t>
      </w:r>
      <w:r w:rsidR="00CB239E">
        <w:rPr>
          <w:rFonts w:ascii="Times New Roman" w:hAnsi="Times New Roman"/>
          <w:sz w:val="24"/>
          <w:szCs w:val="24"/>
        </w:rPr>
        <w:t>,</w:t>
      </w:r>
      <w:r w:rsidR="00C93DBA" w:rsidRPr="00744436">
        <w:rPr>
          <w:rFonts w:ascii="Times New Roman" w:hAnsi="Times New Roman"/>
          <w:sz w:val="24"/>
          <w:szCs w:val="24"/>
        </w:rPr>
        <w:t xml:space="preserve"> or to be averted or reduced</w:t>
      </w:r>
      <w:r w:rsidR="00CB239E">
        <w:rPr>
          <w:rFonts w:ascii="Times New Roman" w:hAnsi="Times New Roman"/>
          <w:sz w:val="24"/>
          <w:szCs w:val="24"/>
        </w:rPr>
        <w:t>,</w:t>
      </w:r>
      <w:r w:rsidR="00C93DBA" w:rsidRPr="00744436">
        <w:rPr>
          <w:rFonts w:ascii="Times New Roman" w:hAnsi="Times New Roman"/>
          <w:sz w:val="24"/>
          <w:szCs w:val="24"/>
        </w:rPr>
        <w:t xml:space="preserve"> according to the circumstances.</w:t>
      </w:r>
      <w:r w:rsidR="001340B0">
        <w:rPr>
          <w:rFonts w:ascii="Times New Roman" w:hAnsi="Times New Roman"/>
          <w:sz w:val="24"/>
          <w:szCs w:val="24"/>
        </w:rPr>
        <w:t xml:space="preserve"> </w:t>
      </w:r>
      <w:r w:rsidR="00B40E5B">
        <w:rPr>
          <w:rFonts w:ascii="Times New Roman" w:hAnsi="Times New Roman"/>
          <w:sz w:val="24"/>
          <w:szCs w:val="24"/>
        </w:rPr>
        <w:t xml:space="preserve">The </w:t>
      </w:r>
      <w:r w:rsidR="002A5663">
        <w:rPr>
          <w:rFonts w:ascii="Times New Roman" w:hAnsi="Times New Roman"/>
          <w:sz w:val="24"/>
          <w:szCs w:val="24"/>
        </w:rPr>
        <w:t xml:space="preserve">radiation dose to the public </w:t>
      </w:r>
      <w:r w:rsidR="00C93DBA" w:rsidRPr="00744436">
        <w:rPr>
          <w:rFonts w:ascii="Times New Roman" w:hAnsi="Times New Roman"/>
          <w:sz w:val="24"/>
          <w:szCs w:val="24"/>
        </w:rPr>
        <w:t xml:space="preserve">is only one of the factors involved in the justification process. Many other factors, well beyond radiation protection </w:t>
      </w:r>
      <w:r w:rsidR="00BB3E9F" w:rsidRPr="00744436">
        <w:rPr>
          <w:rFonts w:ascii="Times New Roman" w:hAnsi="Times New Roman"/>
          <w:sz w:val="24"/>
          <w:szCs w:val="24"/>
        </w:rPr>
        <w:t>considerations</w:t>
      </w:r>
      <w:r w:rsidR="002F6A68">
        <w:rPr>
          <w:rFonts w:ascii="Times New Roman" w:hAnsi="Times New Roman"/>
          <w:sz w:val="24"/>
          <w:szCs w:val="24"/>
        </w:rPr>
        <w:t>,</w:t>
      </w:r>
      <w:r w:rsidR="00CB239E">
        <w:rPr>
          <w:rFonts w:ascii="Times New Roman" w:hAnsi="Times New Roman"/>
          <w:sz w:val="24"/>
          <w:szCs w:val="24"/>
        </w:rPr>
        <w:t xml:space="preserve"> will</w:t>
      </w:r>
      <w:r w:rsidR="00BB3E9F" w:rsidRPr="00744436">
        <w:rPr>
          <w:rFonts w:ascii="Times New Roman" w:hAnsi="Times New Roman"/>
          <w:sz w:val="24"/>
          <w:szCs w:val="24"/>
        </w:rPr>
        <w:t xml:space="preserve"> need</w:t>
      </w:r>
      <w:r w:rsidR="00C93DBA" w:rsidRPr="00744436">
        <w:rPr>
          <w:rFonts w:ascii="Times New Roman" w:hAnsi="Times New Roman"/>
          <w:sz w:val="24"/>
          <w:szCs w:val="24"/>
        </w:rPr>
        <w:t xml:space="preserve"> to be considered in determining </w:t>
      </w:r>
      <w:r w:rsidR="00B40E5B">
        <w:rPr>
          <w:rFonts w:ascii="Times New Roman" w:hAnsi="Times New Roman"/>
          <w:sz w:val="24"/>
          <w:szCs w:val="24"/>
        </w:rPr>
        <w:t xml:space="preserve">whether a practice is </w:t>
      </w:r>
      <w:r w:rsidR="00C93DBA" w:rsidRPr="00744436">
        <w:rPr>
          <w:rFonts w:ascii="Times New Roman" w:hAnsi="Times New Roman"/>
          <w:sz w:val="24"/>
          <w:szCs w:val="24"/>
        </w:rPr>
        <w:t>justifi</w:t>
      </w:r>
      <w:r w:rsidR="00B40E5B">
        <w:rPr>
          <w:rFonts w:ascii="Times New Roman" w:hAnsi="Times New Roman"/>
          <w:sz w:val="24"/>
          <w:szCs w:val="24"/>
        </w:rPr>
        <w:t>ed</w:t>
      </w:r>
      <w:r w:rsidR="00C93DBA" w:rsidRPr="00744436">
        <w:rPr>
          <w:rFonts w:ascii="Times New Roman" w:hAnsi="Times New Roman"/>
          <w:sz w:val="24"/>
          <w:szCs w:val="24"/>
        </w:rPr>
        <w:t>.</w:t>
      </w:r>
    </w:p>
    <w:p w:rsidR="00EA0344" w:rsidRPr="00C10D10" w:rsidRDefault="00EA0344" w:rsidP="0091132F">
      <w:pPr>
        <w:numPr>
          <w:ilvl w:val="0"/>
          <w:numId w:val="18"/>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Justification applies to the overall practice and not to individual </w:t>
      </w:r>
      <w:r w:rsidR="00CB239E">
        <w:rPr>
          <w:rFonts w:ascii="Times New Roman" w:hAnsi="Times New Roman"/>
          <w:sz w:val="24"/>
          <w:szCs w:val="24"/>
        </w:rPr>
        <w:t>aspects of the practice</w:t>
      </w:r>
      <w:r w:rsidR="00720B14">
        <w:rPr>
          <w:rFonts w:ascii="Times New Roman" w:hAnsi="Times New Roman"/>
          <w:sz w:val="24"/>
          <w:szCs w:val="24"/>
        </w:rPr>
        <w:t>,</w:t>
      </w:r>
      <w:r w:rsidR="00CB239E" w:rsidRPr="00C10D10">
        <w:rPr>
          <w:rFonts w:ascii="Times New Roman" w:hAnsi="Times New Roman"/>
          <w:sz w:val="24"/>
          <w:szCs w:val="24"/>
        </w:rPr>
        <w:t xml:space="preserve"> </w:t>
      </w:r>
      <w:r w:rsidRPr="00C10D10">
        <w:rPr>
          <w:rFonts w:ascii="Times New Roman" w:hAnsi="Times New Roman"/>
          <w:sz w:val="24"/>
          <w:szCs w:val="24"/>
        </w:rPr>
        <w:t>such as discharges</w:t>
      </w:r>
      <w:r w:rsidR="002F6A68">
        <w:rPr>
          <w:rFonts w:ascii="Times New Roman" w:hAnsi="Times New Roman"/>
          <w:sz w:val="24"/>
          <w:szCs w:val="24"/>
        </w:rPr>
        <w:t>,</w:t>
      </w:r>
      <w:r w:rsidRPr="00C10D10">
        <w:rPr>
          <w:rFonts w:ascii="Times New Roman" w:hAnsi="Times New Roman"/>
          <w:sz w:val="24"/>
          <w:szCs w:val="24"/>
        </w:rPr>
        <w:t xml:space="preserve"> which can only be authorized</w:t>
      </w:r>
      <w:r w:rsidR="002F6A68">
        <w:rPr>
          <w:rFonts w:ascii="Times New Roman" w:hAnsi="Times New Roman"/>
          <w:sz w:val="24"/>
          <w:szCs w:val="24"/>
        </w:rPr>
        <w:t>,</w:t>
      </w:r>
      <w:r w:rsidRPr="00C10D10">
        <w:rPr>
          <w:rFonts w:ascii="Times New Roman" w:hAnsi="Times New Roman"/>
          <w:sz w:val="24"/>
          <w:szCs w:val="24"/>
        </w:rPr>
        <w:t xml:space="preserve"> or exempted from the </w:t>
      </w:r>
      <w:r w:rsidR="004D13B4">
        <w:rPr>
          <w:rFonts w:ascii="Times New Roman" w:hAnsi="Times New Roman"/>
          <w:sz w:val="24"/>
          <w:szCs w:val="24"/>
        </w:rPr>
        <w:t xml:space="preserve">requirement for an </w:t>
      </w:r>
      <w:r w:rsidRPr="00C10D10">
        <w:rPr>
          <w:rFonts w:ascii="Times New Roman" w:hAnsi="Times New Roman"/>
          <w:sz w:val="24"/>
          <w:szCs w:val="24"/>
        </w:rPr>
        <w:t>authorization</w:t>
      </w:r>
      <w:r w:rsidR="002F6A68">
        <w:rPr>
          <w:rFonts w:ascii="Times New Roman" w:hAnsi="Times New Roman"/>
          <w:sz w:val="24"/>
          <w:szCs w:val="24"/>
        </w:rPr>
        <w:t>,</w:t>
      </w:r>
      <w:r w:rsidRPr="00C10D10">
        <w:rPr>
          <w:rFonts w:ascii="Times New Roman" w:hAnsi="Times New Roman"/>
          <w:sz w:val="24"/>
          <w:szCs w:val="24"/>
        </w:rPr>
        <w:t xml:space="preserve"> if the practice as a whole </w:t>
      </w:r>
      <w:r w:rsidR="002F6A68">
        <w:rPr>
          <w:rFonts w:ascii="Times New Roman" w:hAnsi="Times New Roman"/>
          <w:sz w:val="24"/>
          <w:szCs w:val="24"/>
        </w:rPr>
        <w:t>is</w:t>
      </w:r>
      <w:r w:rsidR="002F6A68" w:rsidRPr="00C10D10">
        <w:rPr>
          <w:rFonts w:ascii="Times New Roman" w:hAnsi="Times New Roman"/>
          <w:sz w:val="24"/>
          <w:szCs w:val="24"/>
        </w:rPr>
        <w:t xml:space="preserve"> </w:t>
      </w:r>
      <w:r w:rsidRPr="00C10D10">
        <w:rPr>
          <w:rFonts w:ascii="Times New Roman" w:hAnsi="Times New Roman"/>
          <w:sz w:val="24"/>
          <w:szCs w:val="24"/>
        </w:rPr>
        <w:t xml:space="preserve">already regarded as justified. </w:t>
      </w:r>
    </w:p>
    <w:p w:rsidR="00EA0344" w:rsidRPr="00C10D10" w:rsidRDefault="00EA0344" w:rsidP="00EA0344">
      <w:pPr>
        <w:pStyle w:val="Heading2"/>
        <w:rPr>
          <w:caps w:val="0"/>
          <w:lang w:val="en-GB"/>
        </w:rPr>
      </w:pPr>
      <w:bookmarkStart w:id="21" w:name="_Toc452966935"/>
      <w:r w:rsidRPr="00C10D10">
        <w:rPr>
          <w:caps w:val="0"/>
          <w:lang w:val="en-GB"/>
        </w:rPr>
        <w:t>OPTIMIZATION</w:t>
      </w:r>
      <w:r w:rsidR="005C2594">
        <w:rPr>
          <w:caps w:val="0"/>
          <w:lang w:val="en-GB"/>
        </w:rPr>
        <w:t xml:space="preserve"> OF PROTECTION</w:t>
      </w:r>
      <w:bookmarkEnd w:id="21"/>
    </w:p>
    <w:p w:rsidR="00EA0344" w:rsidRPr="00C10D10" w:rsidRDefault="00EA0344" w:rsidP="0091132F">
      <w:pPr>
        <w:numPr>
          <w:ilvl w:val="0"/>
          <w:numId w:val="18"/>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The principle of optimization of protection and safety</w:t>
      </w:r>
      <w:r w:rsidR="00D75FA3" w:rsidRPr="00D75FA3">
        <w:rPr>
          <w:rFonts w:ascii="Times New Roman" w:hAnsi="Times New Roman"/>
          <w:sz w:val="24"/>
          <w:szCs w:val="24"/>
        </w:rPr>
        <w:t xml:space="preserve"> </w:t>
      </w:r>
      <w:r w:rsidR="00D75FA3" w:rsidRPr="00C10D10">
        <w:rPr>
          <w:rFonts w:ascii="Times New Roman" w:hAnsi="Times New Roman"/>
          <w:sz w:val="24"/>
          <w:szCs w:val="24"/>
        </w:rPr>
        <w:t>should be applied when setting discharge limits</w:t>
      </w:r>
      <w:r w:rsidR="00D75FA3">
        <w:rPr>
          <w:rFonts w:ascii="Times New Roman" w:hAnsi="Times New Roman"/>
          <w:sz w:val="24"/>
          <w:szCs w:val="24"/>
        </w:rPr>
        <w:t>.</w:t>
      </w:r>
      <w:r w:rsidR="00C505DE">
        <w:rPr>
          <w:rFonts w:ascii="Times New Roman" w:hAnsi="Times New Roman"/>
          <w:sz w:val="24"/>
          <w:szCs w:val="24"/>
        </w:rPr>
        <w:t xml:space="preserve"> </w:t>
      </w:r>
      <w:r w:rsidR="00D75FA3">
        <w:rPr>
          <w:rFonts w:ascii="Times New Roman" w:hAnsi="Times New Roman"/>
          <w:sz w:val="24"/>
          <w:szCs w:val="24"/>
        </w:rPr>
        <w:t>O</w:t>
      </w:r>
      <w:r w:rsidR="00D75FA3" w:rsidRPr="00C10D10">
        <w:rPr>
          <w:rFonts w:ascii="Times New Roman" w:hAnsi="Times New Roman"/>
          <w:sz w:val="24"/>
          <w:szCs w:val="24"/>
        </w:rPr>
        <w:t xml:space="preserve">ptimization of protection and safety </w:t>
      </w:r>
      <w:r w:rsidRPr="00C10D10">
        <w:rPr>
          <w:rFonts w:ascii="Times New Roman" w:hAnsi="Times New Roman"/>
          <w:sz w:val="24"/>
          <w:szCs w:val="24"/>
        </w:rPr>
        <w:t xml:space="preserve">is defined as “the process of determining </w:t>
      </w:r>
      <w:r w:rsidR="00794525">
        <w:rPr>
          <w:rFonts w:ascii="Times New Roman" w:hAnsi="Times New Roman"/>
          <w:sz w:val="24"/>
          <w:szCs w:val="24"/>
        </w:rPr>
        <w:t>the</w:t>
      </w:r>
      <w:r w:rsidRPr="00C10D10">
        <w:rPr>
          <w:rFonts w:ascii="Times New Roman" w:hAnsi="Times New Roman"/>
          <w:sz w:val="24"/>
          <w:szCs w:val="24"/>
        </w:rPr>
        <w:t xml:space="preserve"> level of protection and safety </w:t>
      </w:r>
      <w:r w:rsidR="00794525">
        <w:rPr>
          <w:rFonts w:ascii="Times New Roman" w:hAnsi="Times New Roman"/>
          <w:sz w:val="24"/>
          <w:szCs w:val="24"/>
        </w:rPr>
        <w:t>required to keep</w:t>
      </w:r>
      <w:r w:rsidRPr="00C10D10">
        <w:rPr>
          <w:rFonts w:ascii="Times New Roman" w:hAnsi="Times New Roman"/>
          <w:sz w:val="24"/>
          <w:szCs w:val="24"/>
        </w:rPr>
        <w:t xml:space="preserve"> the magnitude of individual doses, the number of individuals (workers and members of the public) subject to exposure and the likelihood of exposure as low as reasonably achievable, economic and social factors being taken into account” </w:t>
      </w:r>
      <w:r w:rsidR="00D75FA3">
        <w:rPr>
          <w:rFonts w:ascii="Times New Roman" w:hAnsi="Times New Roman"/>
          <w:sz w:val="24"/>
          <w:szCs w:val="24"/>
        </w:rPr>
        <w:t xml:space="preserve">(ALARA) </w:t>
      </w:r>
      <w:r w:rsidR="00417BFF">
        <w:rPr>
          <w:rFonts w:ascii="Times New Roman" w:hAnsi="Times New Roman"/>
          <w:sz w:val="24"/>
          <w:szCs w:val="24"/>
        </w:rPr>
        <w:t>[3]</w:t>
      </w:r>
      <w:r w:rsidRPr="00C10D10">
        <w:rPr>
          <w:rFonts w:ascii="Times New Roman" w:hAnsi="Times New Roman"/>
          <w:sz w:val="24"/>
          <w:szCs w:val="24"/>
        </w:rPr>
        <w:t>.</w:t>
      </w:r>
    </w:p>
    <w:p w:rsidR="00EA0344" w:rsidRPr="00C10D10" w:rsidRDefault="00EA0344" w:rsidP="0091132F">
      <w:pPr>
        <w:pStyle w:val="ListParagraph"/>
        <w:numPr>
          <w:ilvl w:val="0"/>
          <w:numId w:val="18"/>
        </w:numPr>
        <w:autoSpaceDE w:val="0"/>
        <w:autoSpaceDN w:val="0"/>
        <w:adjustRightInd w:val="0"/>
        <w:spacing w:before="120"/>
        <w:contextualSpacing w:val="0"/>
        <w:jc w:val="both"/>
        <w:rPr>
          <w:szCs w:val="24"/>
        </w:rPr>
      </w:pPr>
      <w:r w:rsidRPr="00C10D10">
        <w:rPr>
          <w:szCs w:val="24"/>
        </w:rPr>
        <w:t xml:space="preserve">The protection and safety measures should provide the highest level of safety that can reasonably be achieved throughout the lifetime of the facility </w:t>
      </w:r>
      <w:r w:rsidR="00CB239E">
        <w:rPr>
          <w:szCs w:val="24"/>
        </w:rPr>
        <w:t xml:space="preserve">or activity </w:t>
      </w:r>
      <w:r w:rsidRPr="00C10D10">
        <w:rPr>
          <w:szCs w:val="24"/>
        </w:rPr>
        <w:t>without unduly limiting the operation of the facility</w:t>
      </w:r>
      <w:r w:rsidR="00561947">
        <w:rPr>
          <w:szCs w:val="24"/>
        </w:rPr>
        <w:t xml:space="preserve"> or activity</w:t>
      </w:r>
      <w:r w:rsidRPr="00C10D10">
        <w:rPr>
          <w:szCs w:val="24"/>
        </w:rPr>
        <w:t xml:space="preserve">. The optimization of protection and safety involves the balancing of </w:t>
      </w:r>
      <w:r w:rsidR="00D75FA3">
        <w:rPr>
          <w:szCs w:val="24"/>
        </w:rPr>
        <w:t xml:space="preserve">all </w:t>
      </w:r>
      <w:r w:rsidRPr="00C10D10">
        <w:rPr>
          <w:szCs w:val="24"/>
        </w:rPr>
        <w:t>costs, not just financial</w:t>
      </w:r>
      <w:r w:rsidR="00CB239E">
        <w:rPr>
          <w:szCs w:val="24"/>
        </w:rPr>
        <w:t xml:space="preserve"> costs</w:t>
      </w:r>
      <w:r w:rsidRPr="00C10D10">
        <w:rPr>
          <w:szCs w:val="24"/>
        </w:rPr>
        <w:t xml:space="preserve">, </w:t>
      </w:r>
      <w:r w:rsidR="00CB239E">
        <w:rPr>
          <w:szCs w:val="24"/>
        </w:rPr>
        <w:t>associated with</w:t>
      </w:r>
      <w:r w:rsidR="00CB239E" w:rsidRPr="00C10D10">
        <w:rPr>
          <w:szCs w:val="24"/>
        </w:rPr>
        <w:t xml:space="preserve"> </w:t>
      </w:r>
      <w:r w:rsidRPr="00C10D10">
        <w:rPr>
          <w:szCs w:val="24"/>
        </w:rPr>
        <w:t xml:space="preserve">achieving a </w:t>
      </w:r>
      <w:r w:rsidRPr="00C10D10">
        <w:rPr>
          <w:szCs w:val="24"/>
        </w:rPr>
        <w:lastRenderedPageBreak/>
        <w:t>particular level of protection and safety</w:t>
      </w:r>
      <w:r w:rsidR="00720B14">
        <w:rPr>
          <w:szCs w:val="24"/>
        </w:rPr>
        <w:t>,</w:t>
      </w:r>
      <w:r w:rsidRPr="00C10D10">
        <w:rPr>
          <w:szCs w:val="24"/>
        </w:rPr>
        <w:t xml:space="preserve"> against the benefit in terms of reduction in dose. Further guidance on the optimization process relating to the control of discharges is </w:t>
      </w:r>
      <w:r w:rsidR="00720B14">
        <w:rPr>
          <w:szCs w:val="24"/>
        </w:rPr>
        <w:t>provided</w:t>
      </w:r>
      <w:r w:rsidR="00720B14" w:rsidRPr="00C10D10">
        <w:rPr>
          <w:szCs w:val="24"/>
        </w:rPr>
        <w:t xml:space="preserve"> </w:t>
      </w:r>
      <w:r w:rsidRPr="00C10D10">
        <w:rPr>
          <w:szCs w:val="24"/>
        </w:rPr>
        <w:t xml:space="preserve">in Section 5 </w:t>
      </w:r>
      <w:r w:rsidR="005962A2">
        <w:rPr>
          <w:szCs w:val="24"/>
        </w:rPr>
        <w:t xml:space="preserve">and </w:t>
      </w:r>
      <w:r w:rsidR="002F6A68">
        <w:rPr>
          <w:szCs w:val="24"/>
        </w:rPr>
        <w:t xml:space="preserve">additional information is provided in </w:t>
      </w:r>
      <w:r w:rsidR="005962A2">
        <w:rPr>
          <w:szCs w:val="24"/>
        </w:rPr>
        <w:t xml:space="preserve">Annex I </w:t>
      </w:r>
      <w:r w:rsidRPr="00C10D10">
        <w:rPr>
          <w:szCs w:val="24"/>
        </w:rPr>
        <w:t>of this Safety Guide</w:t>
      </w:r>
    </w:p>
    <w:p w:rsidR="00EA0344" w:rsidRPr="00C10D10" w:rsidRDefault="005C2594" w:rsidP="00EA0344">
      <w:pPr>
        <w:pStyle w:val="Heading2"/>
        <w:rPr>
          <w:caps w:val="0"/>
          <w:lang w:val="en-GB"/>
        </w:rPr>
      </w:pPr>
      <w:bookmarkStart w:id="22" w:name="_Toc452966936"/>
      <w:r>
        <w:rPr>
          <w:caps w:val="0"/>
          <w:lang w:val="en-GB"/>
        </w:rPr>
        <w:t>APPLICATION OF DOSE LIMITS</w:t>
      </w:r>
      <w:bookmarkEnd w:id="22"/>
    </w:p>
    <w:p w:rsidR="00004085" w:rsidRDefault="00004085" w:rsidP="0091132F">
      <w:pPr>
        <w:pStyle w:val="ListParagraph"/>
        <w:numPr>
          <w:ilvl w:val="0"/>
          <w:numId w:val="18"/>
        </w:numPr>
        <w:autoSpaceDE w:val="0"/>
        <w:autoSpaceDN w:val="0"/>
        <w:adjustRightInd w:val="0"/>
        <w:spacing w:before="120"/>
        <w:contextualSpacing w:val="0"/>
        <w:jc w:val="both"/>
        <w:rPr>
          <w:szCs w:val="24"/>
        </w:rPr>
      </w:pPr>
      <w:r>
        <w:rPr>
          <w:szCs w:val="24"/>
        </w:rPr>
        <w:t>For planned exposures situations, exposures and risk</w:t>
      </w:r>
      <w:r w:rsidR="00561947">
        <w:rPr>
          <w:szCs w:val="24"/>
        </w:rPr>
        <w:t>s</w:t>
      </w:r>
      <w:r>
        <w:rPr>
          <w:szCs w:val="24"/>
        </w:rPr>
        <w:t xml:space="preserve"> are subject to control to ensure that the specified dose limits are not exceeded</w:t>
      </w:r>
      <w:r w:rsidR="00561947">
        <w:rPr>
          <w:szCs w:val="24"/>
        </w:rPr>
        <w:t>,</w:t>
      </w:r>
      <w:r>
        <w:rPr>
          <w:szCs w:val="24"/>
        </w:rPr>
        <w:t xml:space="preserve"> and optimization is applied to attain the desired level of protection and safety </w:t>
      </w:r>
      <w:r w:rsidR="00417BFF">
        <w:rPr>
          <w:szCs w:val="24"/>
        </w:rPr>
        <w:t>[3]</w:t>
      </w:r>
      <w:r>
        <w:rPr>
          <w:szCs w:val="24"/>
        </w:rPr>
        <w:t>.</w:t>
      </w:r>
    </w:p>
    <w:p w:rsidR="00EA0344" w:rsidRPr="00C10D10" w:rsidRDefault="00EA0344" w:rsidP="0091132F">
      <w:pPr>
        <w:pStyle w:val="ListParagraph"/>
        <w:numPr>
          <w:ilvl w:val="0"/>
          <w:numId w:val="18"/>
        </w:numPr>
        <w:autoSpaceDE w:val="0"/>
        <w:autoSpaceDN w:val="0"/>
        <w:adjustRightInd w:val="0"/>
        <w:spacing w:before="120"/>
        <w:contextualSpacing w:val="0"/>
        <w:jc w:val="both"/>
        <w:rPr>
          <w:szCs w:val="24"/>
        </w:rPr>
      </w:pPr>
      <w:r w:rsidRPr="00C10D10">
        <w:rPr>
          <w:szCs w:val="24"/>
        </w:rPr>
        <w:t xml:space="preserve">The dose limits </w:t>
      </w:r>
      <w:r w:rsidR="002F6A68">
        <w:rPr>
          <w:szCs w:val="24"/>
        </w:rPr>
        <w:t>that</w:t>
      </w:r>
      <w:r w:rsidR="004E5A7D">
        <w:rPr>
          <w:szCs w:val="24"/>
        </w:rPr>
        <w:t xml:space="preserve"> are relevant </w:t>
      </w:r>
      <w:r w:rsidRPr="00C10D10">
        <w:rPr>
          <w:szCs w:val="24"/>
        </w:rPr>
        <w:t xml:space="preserve">for members of the public  </w:t>
      </w:r>
      <w:r w:rsidR="004E5A7D">
        <w:rPr>
          <w:szCs w:val="24"/>
        </w:rPr>
        <w:t xml:space="preserve">in connection with discharges during normal operation </w:t>
      </w:r>
      <w:r w:rsidRPr="00C10D10">
        <w:rPr>
          <w:szCs w:val="24"/>
        </w:rPr>
        <w:t xml:space="preserve">are </w:t>
      </w:r>
      <w:r w:rsidR="00417BFF">
        <w:rPr>
          <w:szCs w:val="24"/>
        </w:rPr>
        <w:t>[3]</w:t>
      </w:r>
      <w:r w:rsidRPr="00C10D10">
        <w:rPr>
          <w:szCs w:val="24"/>
        </w:rPr>
        <w:t>:</w:t>
      </w:r>
    </w:p>
    <w:p w:rsidR="00EA0344" w:rsidRPr="00C10D10" w:rsidRDefault="00EA0344" w:rsidP="0091132F">
      <w:pPr>
        <w:pStyle w:val="ListParagraph"/>
        <w:numPr>
          <w:ilvl w:val="1"/>
          <w:numId w:val="5"/>
        </w:numPr>
        <w:autoSpaceDE w:val="0"/>
        <w:autoSpaceDN w:val="0"/>
        <w:adjustRightInd w:val="0"/>
        <w:spacing w:before="120"/>
        <w:ind w:left="567" w:hanging="567"/>
        <w:contextualSpacing w:val="0"/>
        <w:jc w:val="both"/>
        <w:rPr>
          <w:szCs w:val="24"/>
        </w:rPr>
      </w:pPr>
      <w:r w:rsidRPr="00C10D10">
        <w:rPr>
          <w:szCs w:val="24"/>
        </w:rPr>
        <w:t xml:space="preserve">An effective dose of 1 </w:t>
      </w:r>
      <w:proofErr w:type="spellStart"/>
      <w:r w:rsidRPr="00C10D10">
        <w:rPr>
          <w:szCs w:val="24"/>
        </w:rPr>
        <w:t>mSv</w:t>
      </w:r>
      <w:proofErr w:type="spellEnd"/>
      <w:r w:rsidRPr="00C10D10">
        <w:rPr>
          <w:szCs w:val="24"/>
        </w:rPr>
        <w:t xml:space="preserve"> in a year;</w:t>
      </w:r>
    </w:p>
    <w:p w:rsidR="00EA0344" w:rsidRPr="00C10D10" w:rsidRDefault="00EA0344" w:rsidP="0091132F">
      <w:pPr>
        <w:pStyle w:val="ListParagraph"/>
        <w:numPr>
          <w:ilvl w:val="1"/>
          <w:numId w:val="5"/>
        </w:numPr>
        <w:autoSpaceDE w:val="0"/>
        <w:autoSpaceDN w:val="0"/>
        <w:adjustRightInd w:val="0"/>
        <w:spacing w:before="120"/>
        <w:ind w:left="567" w:hanging="567"/>
        <w:contextualSpacing w:val="0"/>
        <w:jc w:val="both"/>
        <w:rPr>
          <w:szCs w:val="24"/>
        </w:rPr>
      </w:pPr>
      <w:r w:rsidRPr="00C10D10">
        <w:rPr>
          <w:szCs w:val="24"/>
        </w:rPr>
        <w:t>In special circumstances</w:t>
      </w:r>
      <w:r w:rsidRPr="00C10D10">
        <w:rPr>
          <w:rStyle w:val="FootnoteReference"/>
          <w:szCs w:val="24"/>
        </w:rPr>
        <w:footnoteReference w:id="8"/>
      </w:r>
      <w:r w:rsidRPr="00C10D10">
        <w:rPr>
          <w:szCs w:val="24"/>
        </w:rPr>
        <w:t>, a higher value of effective dose in a single year could apply, provided that the average effective dose over five consecutive years does not exceed 1</w:t>
      </w:r>
      <w:r w:rsidR="00154B89">
        <w:rPr>
          <w:szCs w:val="24"/>
        </w:rPr>
        <w:t> </w:t>
      </w:r>
      <w:proofErr w:type="spellStart"/>
      <w:r w:rsidRPr="00C10D10">
        <w:rPr>
          <w:szCs w:val="24"/>
        </w:rPr>
        <w:t>mSv</w:t>
      </w:r>
      <w:proofErr w:type="spellEnd"/>
      <w:r w:rsidRPr="00C10D10">
        <w:rPr>
          <w:szCs w:val="24"/>
        </w:rPr>
        <w:t xml:space="preserve"> per year.</w:t>
      </w:r>
    </w:p>
    <w:p w:rsidR="00EA0344" w:rsidRPr="006F5CD1" w:rsidRDefault="00EA0344" w:rsidP="002F6A68">
      <w:pPr>
        <w:pStyle w:val="ListParagraph"/>
        <w:jc w:val="both"/>
      </w:pPr>
      <w:r w:rsidRPr="006F5CD1">
        <w:t xml:space="preserve">These dose limits represent the maximum acceptable dose to </w:t>
      </w:r>
      <w:r w:rsidR="005962A2">
        <w:t xml:space="preserve">any </w:t>
      </w:r>
      <w:r w:rsidRPr="006F5CD1">
        <w:t xml:space="preserve">member of the public </w:t>
      </w:r>
      <w:r w:rsidR="00A07781" w:rsidRPr="006F5CD1">
        <w:t xml:space="preserve">from all </w:t>
      </w:r>
      <w:r w:rsidR="005962A2">
        <w:t xml:space="preserve">authorized </w:t>
      </w:r>
      <w:r w:rsidR="00A07781" w:rsidRPr="006F5CD1">
        <w:t xml:space="preserve">radiation sources </w:t>
      </w:r>
      <w:r w:rsidR="0065689B">
        <w:t>to which he</w:t>
      </w:r>
      <w:r w:rsidR="002F6A68">
        <w:t xml:space="preserve"> or she</w:t>
      </w:r>
      <w:r w:rsidR="0065689B">
        <w:t xml:space="preserve"> is exposed </w:t>
      </w:r>
      <w:r w:rsidRPr="006F5CD1">
        <w:t>in planned exposures situations</w:t>
      </w:r>
      <w:r w:rsidR="00154B89">
        <w:rPr>
          <w:rStyle w:val="FootnoteReference"/>
        </w:rPr>
        <w:footnoteReference w:id="9"/>
      </w:r>
      <w:r w:rsidRPr="006F5CD1">
        <w:t xml:space="preserve">. The </w:t>
      </w:r>
      <w:r w:rsidR="005962A2">
        <w:t xml:space="preserve">use of dose limits to set </w:t>
      </w:r>
      <w:r w:rsidRPr="006F5CD1">
        <w:t>discharge limit</w:t>
      </w:r>
      <w:r w:rsidR="005962A2">
        <w:t>s</w:t>
      </w:r>
      <w:r w:rsidRPr="006F5CD1">
        <w:t xml:space="preserve"> for a specific source is </w:t>
      </w:r>
      <w:r w:rsidR="001354A8">
        <w:t>described</w:t>
      </w:r>
      <w:r w:rsidR="001354A8" w:rsidRPr="006F5CD1">
        <w:t xml:space="preserve"> </w:t>
      </w:r>
      <w:r w:rsidRPr="006F5CD1">
        <w:t>in Section 5</w:t>
      </w:r>
      <w:r w:rsidR="005962A2">
        <w:t xml:space="preserve"> and Annex I</w:t>
      </w:r>
      <w:r w:rsidRPr="006F5CD1">
        <w:t>.</w:t>
      </w:r>
    </w:p>
    <w:p w:rsidR="00BE329B" w:rsidRPr="00C10D10" w:rsidRDefault="00EA0344" w:rsidP="00EA0344">
      <w:pPr>
        <w:pStyle w:val="Heading1"/>
        <w:spacing w:before="120" w:after="0" w:line="360" w:lineRule="auto"/>
        <w:ind w:left="0" w:firstLine="0"/>
        <w:rPr>
          <w:kern w:val="0"/>
          <w:lang w:val="en-GB"/>
        </w:rPr>
      </w:pPr>
      <w:r w:rsidRPr="00C10D10">
        <w:rPr>
          <w:kern w:val="0"/>
          <w:sz w:val="24"/>
          <w:lang w:val="en-GB"/>
        </w:rPr>
        <w:br w:type="page"/>
      </w:r>
      <w:bookmarkStart w:id="23" w:name="_Toc452966937"/>
      <w:r w:rsidR="00A86C66" w:rsidRPr="00C10D10">
        <w:rPr>
          <w:kern w:val="0"/>
          <w:lang w:val="en-GB"/>
        </w:rPr>
        <w:lastRenderedPageBreak/>
        <w:t>SAFETY OBJECTIVES AND REQUIREMENTS RELEVANT TO THE CONTROL OF RADIOACTIVE DISCHARGES</w:t>
      </w:r>
      <w:bookmarkEnd w:id="18"/>
      <w:bookmarkEnd w:id="19"/>
      <w:bookmarkEnd w:id="23"/>
    </w:p>
    <w:p w:rsidR="002B02EC" w:rsidRPr="00C10D10" w:rsidRDefault="0050479A" w:rsidP="00B60E90">
      <w:pPr>
        <w:pStyle w:val="Heading2"/>
        <w:rPr>
          <w:caps w:val="0"/>
          <w:lang w:val="en-GB"/>
        </w:rPr>
      </w:pPr>
      <w:bookmarkStart w:id="24" w:name="_Toc452966938"/>
      <w:r w:rsidRPr="00C10D10">
        <w:rPr>
          <w:caps w:val="0"/>
          <w:lang w:val="en-GB"/>
        </w:rPr>
        <w:t>GENERAL</w:t>
      </w:r>
      <w:bookmarkEnd w:id="24"/>
    </w:p>
    <w:p w:rsidR="002A27DD" w:rsidRPr="00C10D10" w:rsidRDefault="007A5FB5" w:rsidP="00B60E90">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The Fundamental Safety Principles </w:t>
      </w:r>
      <w:r w:rsidR="00FF0942" w:rsidRPr="00C10D10">
        <w:rPr>
          <w:rFonts w:ascii="Times New Roman" w:hAnsi="Times New Roman"/>
          <w:sz w:val="24"/>
          <w:szCs w:val="24"/>
        </w:rPr>
        <w:t>[</w:t>
      </w:r>
      <w:r w:rsidR="002A27DD" w:rsidRPr="00C10D10">
        <w:rPr>
          <w:rFonts w:ascii="Times New Roman" w:hAnsi="Times New Roman"/>
          <w:sz w:val="24"/>
          <w:szCs w:val="24"/>
        </w:rPr>
        <w:t>1</w:t>
      </w:r>
      <w:r w:rsidR="00FF0942" w:rsidRPr="00C10D10">
        <w:rPr>
          <w:rFonts w:ascii="Times New Roman" w:hAnsi="Times New Roman"/>
          <w:sz w:val="24"/>
          <w:szCs w:val="24"/>
        </w:rPr>
        <w:t xml:space="preserve">] </w:t>
      </w:r>
      <w:r w:rsidRPr="00C10D10">
        <w:rPr>
          <w:rFonts w:ascii="Times New Roman" w:hAnsi="Times New Roman"/>
          <w:sz w:val="24"/>
          <w:szCs w:val="24"/>
        </w:rPr>
        <w:t>establish</w:t>
      </w:r>
      <w:r w:rsidR="002F6A68">
        <w:rPr>
          <w:rFonts w:ascii="Times New Roman" w:hAnsi="Times New Roman"/>
          <w:sz w:val="24"/>
          <w:szCs w:val="24"/>
        </w:rPr>
        <w:t>es</w:t>
      </w:r>
      <w:r w:rsidRPr="00C10D10">
        <w:rPr>
          <w:rFonts w:ascii="Times New Roman" w:hAnsi="Times New Roman"/>
          <w:sz w:val="24"/>
          <w:szCs w:val="24"/>
        </w:rPr>
        <w:t xml:space="preserve"> principles </w:t>
      </w:r>
      <w:r w:rsidR="004B1E35">
        <w:rPr>
          <w:rFonts w:ascii="Times New Roman" w:hAnsi="Times New Roman"/>
          <w:sz w:val="24"/>
          <w:szCs w:val="24"/>
        </w:rPr>
        <w:t>to be applied to achieve the fundamental safety objective of</w:t>
      </w:r>
      <w:r w:rsidRPr="00C10D10">
        <w:rPr>
          <w:rFonts w:ascii="Times New Roman" w:hAnsi="Times New Roman"/>
          <w:sz w:val="24"/>
          <w:szCs w:val="24"/>
        </w:rPr>
        <w:t xml:space="preserve"> protectin</w:t>
      </w:r>
      <w:r w:rsidR="004B1E35">
        <w:rPr>
          <w:rFonts w:ascii="Times New Roman" w:hAnsi="Times New Roman"/>
          <w:sz w:val="24"/>
          <w:szCs w:val="24"/>
        </w:rPr>
        <w:t>g</w:t>
      </w:r>
      <w:r w:rsidRPr="00C10D10">
        <w:rPr>
          <w:rFonts w:ascii="Times New Roman" w:hAnsi="Times New Roman"/>
          <w:sz w:val="24"/>
          <w:szCs w:val="24"/>
        </w:rPr>
        <w:t xml:space="preserve"> the public and the environment, now and in the future, from harmful effects of ionizing radiation. </w:t>
      </w:r>
      <w:r w:rsidR="00565B4C" w:rsidRPr="00C10D10">
        <w:rPr>
          <w:rFonts w:ascii="Times New Roman" w:hAnsi="Times New Roman"/>
          <w:sz w:val="24"/>
          <w:szCs w:val="24"/>
        </w:rPr>
        <w:t>This safety objective has to be achieved without unduly limiting the operation of facilitie</w:t>
      </w:r>
      <w:r w:rsidR="00E84C91" w:rsidRPr="00C10D10">
        <w:rPr>
          <w:rFonts w:ascii="Times New Roman" w:hAnsi="Times New Roman"/>
          <w:sz w:val="24"/>
          <w:szCs w:val="24"/>
        </w:rPr>
        <w:t>s and the conduct of activities</w:t>
      </w:r>
      <w:r w:rsidR="004B1E35">
        <w:rPr>
          <w:rFonts w:ascii="Times New Roman" w:hAnsi="Times New Roman"/>
          <w:sz w:val="24"/>
          <w:szCs w:val="24"/>
        </w:rPr>
        <w:t xml:space="preserve"> that give rise to radiation risks</w:t>
      </w:r>
      <w:r w:rsidR="00565B4C" w:rsidRPr="00C10D10">
        <w:rPr>
          <w:rFonts w:ascii="Times New Roman" w:hAnsi="Times New Roman"/>
          <w:sz w:val="24"/>
          <w:szCs w:val="24"/>
        </w:rPr>
        <w:t>.</w:t>
      </w:r>
    </w:p>
    <w:p w:rsidR="007A5FB5" w:rsidRPr="00C10D10" w:rsidRDefault="007A5FB5" w:rsidP="00B60E90">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The requirements for a governmental, legal and regulatory framework for safety are established in </w:t>
      </w:r>
      <w:r w:rsidR="00720B14">
        <w:rPr>
          <w:rFonts w:ascii="Times New Roman" w:hAnsi="Times New Roman"/>
          <w:sz w:val="24"/>
          <w:szCs w:val="24"/>
        </w:rPr>
        <w:t xml:space="preserve">Governmental, Legal and Regulatory Framework for Safety, IAEA Safety Standards Series No. </w:t>
      </w:r>
      <w:r w:rsidRPr="00C10D10">
        <w:rPr>
          <w:rFonts w:ascii="Times New Roman" w:hAnsi="Times New Roman"/>
          <w:sz w:val="24"/>
          <w:szCs w:val="24"/>
        </w:rPr>
        <w:t>GSR</w:t>
      </w:r>
      <w:r w:rsidR="00E84C91" w:rsidRPr="00C10D10">
        <w:rPr>
          <w:rFonts w:ascii="Times New Roman" w:hAnsi="Times New Roman"/>
          <w:sz w:val="24"/>
          <w:szCs w:val="24"/>
        </w:rPr>
        <w:t xml:space="preserve"> Part 1</w:t>
      </w:r>
      <w:r w:rsidRPr="00C10D10">
        <w:rPr>
          <w:rFonts w:ascii="Times New Roman" w:hAnsi="Times New Roman"/>
          <w:sz w:val="24"/>
          <w:szCs w:val="24"/>
        </w:rPr>
        <w:t xml:space="preserve"> </w:t>
      </w:r>
      <w:r w:rsidR="002F6A68">
        <w:rPr>
          <w:rFonts w:ascii="Times New Roman" w:hAnsi="Times New Roman"/>
          <w:sz w:val="24"/>
          <w:szCs w:val="24"/>
        </w:rPr>
        <w:t xml:space="preserve">(Rev.1) </w:t>
      </w:r>
      <w:r w:rsidR="002A27DD" w:rsidRPr="00C10D10">
        <w:rPr>
          <w:rFonts w:ascii="Times New Roman" w:hAnsi="Times New Roman"/>
          <w:sz w:val="24"/>
          <w:szCs w:val="24"/>
        </w:rPr>
        <w:t>[</w:t>
      </w:r>
      <w:r w:rsidR="00B12374" w:rsidRPr="00C10D10">
        <w:rPr>
          <w:rFonts w:ascii="Times New Roman" w:hAnsi="Times New Roman"/>
          <w:sz w:val="24"/>
          <w:szCs w:val="24"/>
        </w:rPr>
        <w:t>1</w:t>
      </w:r>
      <w:r w:rsidR="00720B14">
        <w:rPr>
          <w:rFonts w:ascii="Times New Roman" w:hAnsi="Times New Roman"/>
          <w:sz w:val="24"/>
          <w:szCs w:val="24"/>
        </w:rPr>
        <w:t>8</w:t>
      </w:r>
      <w:r w:rsidR="002A27DD" w:rsidRPr="00C10D10">
        <w:rPr>
          <w:rFonts w:ascii="Times New Roman" w:hAnsi="Times New Roman"/>
          <w:sz w:val="24"/>
          <w:szCs w:val="24"/>
        </w:rPr>
        <w:t>]</w:t>
      </w:r>
      <w:r w:rsidRPr="00C10D10">
        <w:rPr>
          <w:rFonts w:ascii="Times New Roman" w:hAnsi="Times New Roman"/>
          <w:sz w:val="24"/>
          <w:szCs w:val="24"/>
        </w:rPr>
        <w:t xml:space="preserve">. </w:t>
      </w:r>
    </w:p>
    <w:p w:rsidR="00EB62D4" w:rsidRPr="00C10D10" w:rsidRDefault="00C657E3" w:rsidP="00B60E90">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GSR Part 3</w:t>
      </w:r>
      <w:r w:rsidR="007A5FB5" w:rsidRPr="00C10D10">
        <w:rPr>
          <w:rFonts w:ascii="Times New Roman" w:hAnsi="Times New Roman"/>
          <w:sz w:val="24"/>
          <w:szCs w:val="24"/>
        </w:rPr>
        <w:t xml:space="preserve"> </w:t>
      </w:r>
      <w:r w:rsidR="00417BFF">
        <w:rPr>
          <w:rFonts w:ascii="Times New Roman" w:hAnsi="Times New Roman"/>
          <w:sz w:val="24"/>
          <w:szCs w:val="24"/>
        </w:rPr>
        <w:t>[3]</w:t>
      </w:r>
      <w:r w:rsidR="00EB62D4" w:rsidRPr="00C10D10">
        <w:rPr>
          <w:rFonts w:ascii="Times New Roman" w:hAnsi="Times New Roman"/>
          <w:sz w:val="24"/>
          <w:szCs w:val="24"/>
        </w:rPr>
        <w:t xml:space="preserve"> </w:t>
      </w:r>
      <w:r w:rsidR="001354A8">
        <w:rPr>
          <w:rFonts w:ascii="Times New Roman" w:hAnsi="Times New Roman"/>
          <w:sz w:val="24"/>
          <w:szCs w:val="24"/>
        </w:rPr>
        <w:t>describes</w:t>
      </w:r>
      <w:r w:rsidR="001354A8" w:rsidRPr="00C10D10">
        <w:rPr>
          <w:rFonts w:ascii="Times New Roman" w:hAnsi="Times New Roman"/>
          <w:sz w:val="24"/>
          <w:szCs w:val="24"/>
        </w:rPr>
        <w:t xml:space="preserve"> </w:t>
      </w:r>
      <w:r w:rsidR="00EB62D4" w:rsidRPr="00C10D10">
        <w:rPr>
          <w:rFonts w:ascii="Times New Roman" w:hAnsi="Times New Roman"/>
          <w:sz w:val="24"/>
          <w:szCs w:val="24"/>
        </w:rPr>
        <w:t>the concepts and establishes requirements for the protection of people and</w:t>
      </w:r>
      <w:r w:rsidR="002F6A68" w:rsidRPr="002F6A68">
        <w:rPr>
          <w:rFonts w:ascii="Times New Roman" w:hAnsi="Times New Roman"/>
          <w:sz w:val="24"/>
          <w:szCs w:val="24"/>
        </w:rPr>
        <w:t xml:space="preserve"> </w:t>
      </w:r>
      <w:r w:rsidR="002F6A68" w:rsidRPr="00C10D10">
        <w:rPr>
          <w:rFonts w:ascii="Times New Roman" w:hAnsi="Times New Roman"/>
          <w:sz w:val="24"/>
          <w:szCs w:val="24"/>
        </w:rPr>
        <w:t>protection of</w:t>
      </w:r>
      <w:r w:rsidR="00EB62D4" w:rsidRPr="00C10D10">
        <w:rPr>
          <w:rFonts w:ascii="Times New Roman" w:hAnsi="Times New Roman"/>
          <w:sz w:val="24"/>
          <w:szCs w:val="24"/>
        </w:rPr>
        <w:t xml:space="preserve"> the environment from harmful effects of ionizing radiation and for the safety of radiation sources. It </w:t>
      </w:r>
      <w:r w:rsidR="004B1E35">
        <w:rPr>
          <w:rFonts w:ascii="Times New Roman" w:hAnsi="Times New Roman"/>
          <w:sz w:val="24"/>
          <w:szCs w:val="24"/>
        </w:rPr>
        <w:t xml:space="preserve">also </w:t>
      </w:r>
      <w:r w:rsidR="002E0C58">
        <w:rPr>
          <w:rFonts w:ascii="Times New Roman" w:hAnsi="Times New Roman"/>
          <w:sz w:val="24"/>
          <w:szCs w:val="24"/>
        </w:rPr>
        <w:t>establishes</w:t>
      </w:r>
      <w:r w:rsidR="002E0C58" w:rsidRPr="00C10D10">
        <w:rPr>
          <w:rFonts w:ascii="Times New Roman" w:hAnsi="Times New Roman"/>
          <w:sz w:val="24"/>
          <w:szCs w:val="24"/>
        </w:rPr>
        <w:t xml:space="preserve"> </w:t>
      </w:r>
      <w:r w:rsidR="00EB62D4" w:rsidRPr="00C10D10">
        <w:rPr>
          <w:rFonts w:ascii="Times New Roman" w:hAnsi="Times New Roman"/>
          <w:sz w:val="24"/>
          <w:szCs w:val="24"/>
        </w:rPr>
        <w:t>requirements</w:t>
      </w:r>
      <w:r w:rsidR="00794463">
        <w:rPr>
          <w:rFonts w:ascii="Times New Roman" w:hAnsi="Times New Roman"/>
          <w:sz w:val="24"/>
          <w:szCs w:val="24"/>
        </w:rPr>
        <w:t>,</w:t>
      </w:r>
      <w:r w:rsidR="00EB62D4" w:rsidRPr="00C10D10">
        <w:rPr>
          <w:rFonts w:ascii="Times New Roman" w:hAnsi="Times New Roman"/>
          <w:sz w:val="24"/>
          <w:szCs w:val="24"/>
        </w:rPr>
        <w:t xml:space="preserve"> </w:t>
      </w:r>
      <w:r w:rsidR="00794463">
        <w:rPr>
          <w:rFonts w:ascii="Times New Roman" w:hAnsi="Times New Roman"/>
          <w:sz w:val="24"/>
          <w:szCs w:val="24"/>
        </w:rPr>
        <w:t xml:space="preserve">relevant </w:t>
      </w:r>
      <w:r w:rsidR="00EB62D4" w:rsidRPr="00C10D10">
        <w:rPr>
          <w:rFonts w:ascii="Times New Roman" w:hAnsi="Times New Roman"/>
          <w:sz w:val="24"/>
          <w:szCs w:val="24"/>
        </w:rPr>
        <w:t>to the various interested parties (</w:t>
      </w:r>
      <w:r w:rsidR="00F07484">
        <w:rPr>
          <w:rFonts w:ascii="Times New Roman" w:hAnsi="Times New Roman"/>
          <w:sz w:val="24"/>
          <w:szCs w:val="24"/>
        </w:rPr>
        <w:t>e.g.</w:t>
      </w:r>
      <w:r w:rsidR="00EB62D4" w:rsidRPr="00C10D10">
        <w:rPr>
          <w:rFonts w:ascii="Times New Roman" w:hAnsi="Times New Roman"/>
          <w:sz w:val="24"/>
          <w:szCs w:val="24"/>
        </w:rPr>
        <w:t xml:space="preserve"> </w:t>
      </w:r>
      <w:r w:rsidR="002E0C58">
        <w:rPr>
          <w:rFonts w:ascii="Times New Roman" w:hAnsi="Times New Roman"/>
          <w:sz w:val="24"/>
          <w:szCs w:val="24"/>
        </w:rPr>
        <w:t xml:space="preserve">the </w:t>
      </w:r>
      <w:r w:rsidR="00EB62D4" w:rsidRPr="00C10D10">
        <w:rPr>
          <w:rFonts w:ascii="Times New Roman" w:hAnsi="Times New Roman"/>
          <w:sz w:val="24"/>
          <w:szCs w:val="24"/>
        </w:rPr>
        <w:t xml:space="preserve">government, </w:t>
      </w:r>
      <w:r w:rsidR="002E0C58">
        <w:rPr>
          <w:rFonts w:ascii="Times New Roman" w:hAnsi="Times New Roman"/>
          <w:sz w:val="24"/>
          <w:szCs w:val="24"/>
        </w:rPr>
        <w:t xml:space="preserve">the </w:t>
      </w:r>
      <w:r w:rsidR="00EB62D4" w:rsidRPr="00C10D10">
        <w:rPr>
          <w:rFonts w:ascii="Times New Roman" w:hAnsi="Times New Roman"/>
          <w:sz w:val="24"/>
          <w:szCs w:val="24"/>
        </w:rPr>
        <w:t>regulatory bod</w:t>
      </w:r>
      <w:r w:rsidR="002E0C58">
        <w:rPr>
          <w:rFonts w:ascii="Times New Roman" w:hAnsi="Times New Roman"/>
          <w:sz w:val="24"/>
          <w:szCs w:val="24"/>
        </w:rPr>
        <w:t>y</w:t>
      </w:r>
      <w:r w:rsidR="00EB62D4" w:rsidRPr="00C10D10">
        <w:rPr>
          <w:rFonts w:ascii="Times New Roman" w:hAnsi="Times New Roman"/>
          <w:sz w:val="24"/>
          <w:szCs w:val="24"/>
        </w:rPr>
        <w:t xml:space="preserve"> and </w:t>
      </w:r>
      <w:r w:rsidR="00D1189E">
        <w:rPr>
          <w:rFonts w:ascii="Times New Roman" w:hAnsi="Times New Roman"/>
          <w:sz w:val="24"/>
          <w:szCs w:val="24"/>
        </w:rPr>
        <w:t xml:space="preserve">the </w:t>
      </w:r>
      <w:r w:rsidR="005A3563" w:rsidRPr="00C10D10">
        <w:rPr>
          <w:rFonts w:ascii="Times New Roman" w:hAnsi="Times New Roman"/>
          <w:sz w:val="24"/>
          <w:szCs w:val="24"/>
        </w:rPr>
        <w:t>operating organization</w:t>
      </w:r>
      <w:r w:rsidR="00EB62D4" w:rsidRPr="00C10D10">
        <w:rPr>
          <w:rFonts w:ascii="Times New Roman" w:hAnsi="Times New Roman"/>
          <w:sz w:val="24"/>
          <w:szCs w:val="24"/>
        </w:rPr>
        <w:t>)</w:t>
      </w:r>
      <w:r w:rsidR="00794463">
        <w:rPr>
          <w:rFonts w:ascii="Times New Roman" w:hAnsi="Times New Roman"/>
          <w:sz w:val="24"/>
          <w:szCs w:val="24"/>
        </w:rPr>
        <w:t>,</w:t>
      </w:r>
      <w:r w:rsidR="00794463" w:rsidRPr="00794463">
        <w:rPr>
          <w:rFonts w:ascii="Times New Roman" w:hAnsi="Times New Roman"/>
          <w:sz w:val="24"/>
          <w:szCs w:val="24"/>
        </w:rPr>
        <w:t xml:space="preserve"> </w:t>
      </w:r>
      <w:r w:rsidR="00794463" w:rsidRPr="00C10D10">
        <w:rPr>
          <w:rFonts w:ascii="Times New Roman" w:hAnsi="Times New Roman"/>
          <w:sz w:val="24"/>
          <w:szCs w:val="24"/>
        </w:rPr>
        <w:t>for the control of discharges</w:t>
      </w:r>
      <w:r w:rsidR="00EB62D4" w:rsidRPr="00C10D10">
        <w:rPr>
          <w:rFonts w:ascii="Times New Roman" w:hAnsi="Times New Roman"/>
          <w:sz w:val="24"/>
          <w:szCs w:val="24"/>
        </w:rPr>
        <w:t>.</w:t>
      </w:r>
    </w:p>
    <w:p w:rsidR="00710E27" w:rsidRPr="00C10D10" w:rsidRDefault="00C657E3" w:rsidP="00C30551">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GSR Part 3</w:t>
      </w:r>
      <w:r w:rsidR="00710E27" w:rsidRPr="00C10D10">
        <w:rPr>
          <w:rFonts w:ascii="Times New Roman" w:hAnsi="Times New Roman"/>
          <w:sz w:val="24"/>
          <w:szCs w:val="24"/>
        </w:rPr>
        <w:t xml:space="preserve"> </w:t>
      </w:r>
      <w:r w:rsidR="00417BFF">
        <w:rPr>
          <w:rFonts w:ascii="Times New Roman" w:hAnsi="Times New Roman"/>
          <w:sz w:val="24"/>
          <w:szCs w:val="24"/>
        </w:rPr>
        <w:t>[3]</w:t>
      </w:r>
      <w:r w:rsidR="002E0C58">
        <w:rPr>
          <w:rFonts w:ascii="Times New Roman" w:hAnsi="Times New Roman"/>
          <w:sz w:val="24"/>
          <w:szCs w:val="24"/>
        </w:rPr>
        <w:t xml:space="preserve"> </w:t>
      </w:r>
      <w:r w:rsidR="00E7351C" w:rsidRPr="00C10D10">
        <w:rPr>
          <w:rFonts w:ascii="Times New Roman" w:hAnsi="Times New Roman"/>
          <w:sz w:val="24"/>
          <w:szCs w:val="24"/>
        </w:rPr>
        <w:t>specifies</w:t>
      </w:r>
      <w:r w:rsidR="00710E27" w:rsidRPr="00C10D10">
        <w:rPr>
          <w:rFonts w:ascii="Times New Roman" w:hAnsi="Times New Roman"/>
          <w:sz w:val="24"/>
          <w:szCs w:val="24"/>
        </w:rPr>
        <w:t xml:space="preserve"> the system of protection and safety </w:t>
      </w:r>
      <w:r w:rsidR="004B1E35">
        <w:rPr>
          <w:rFonts w:ascii="Times New Roman" w:hAnsi="Times New Roman"/>
          <w:sz w:val="24"/>
          <w:szCs w:val="24"/>
        </w:rPr>
        <w:t>that</w:t>
      </w:r>
      <w:r w:rsidR="00710E27" w:rsidRPr="00C10D10">
        <w:rPr>
          <w:rFonts w:ascii="Times New Roman" w:hAnsi="Times New Roman"/>
          <w:sz w:val="24"/>
          <w:szCs w:val="24"/>
        </w:rPr>
        <w:t xml:space="preserve"> aim</w:t>
      </w:r>
      <w:r w:rsidR="004B1E35">
        <w:rPr>
          <w:rFonts w:ascii="Times New Roman" w:hAnsi="Times New Roman"/>
          <w:sz w:val="24"/>
          <w:szCs w:val="24"/>
        </w:rPr>
        <w:t>s</w:t>
      </w:r>
      <w:r w:rsidR="00710E27" w:rsidRPr="00C10D10">
        <w:rPr>
          <w:rFonts w:ascii="Times New Roman" w:hAnsi="Times New Roman"/>
          <w:sz w:val="24"/>
          <w:szCs w:val="24"/>
        </w:rPr>
        <w:t xml:space="preserve"> </w:t>
      </w:r>
      <w:r w:rsidR="004B1E35">
        <w:rPr>
          <w:rFonts w:ascii="Times New Roman" w:hAnsi="Times New Roman"/>
          <w:sz w:val="24"/>
          <w:szCs w:val="24"/>
        </w:rPr>
        <w:t>“</w:t>
      </w:r>
      <w:r w:rsidR="00710E27" w:rsidRPr="00C10D10">
        <w:rPr>
          <w:rFonts w:ascii="Times New Roman" w:hAnsi="Times New Roman"/>
          <w:sz w:val="24"/>
          <w:szCs w:val="24"/>
        </w:rPr>
        <w:t xml:space="preserve">to assess, manage and control exposure to radiation so that </w:t>
      </w:r>
      <w:r w:rsidR="004B1E35">
        <w:rPr>
          <w:rFonts w:ascii="Times New Roman" w:hAnsi="Times New Roman"/>
          <w:sz w:val="24"/>
          <w:szCs w:val="24"/>
        </w:rPr>
        <w:t xml:space="preserve">radiation </w:t>
      </w:r>
      <w:r w:rsidR="00710E27" w:rsidRPr="00C10D10">
        <w:rPr>
          <w:rFonts w:ascii="Times New Roman" w:hAnsi="Times New Roman"/>
          <w:sz w:val="24"/>
          <w:szCs w:val="24"/>
        </w:rPr>
        <w:t>risks</w:t>
      </w:r>
      <w:r w:rsidR="004B1E35">
        <w:rPr>
          <w:rFonts w:ascii="Times New Roman" w:hAnsi="Times New Roman"/>
          <w:sz w:val="24"/>
          <w:szCs w:val="24"/>
        </w:rPr>
        <w:t>, including risks</w:t>
      </w:r>
      <w:r w:rsidR="00710E27" w:rsidRPr="00C10D10">
        <w:rPr>
          <w:rFonts w:ascii="Times New Roman" w:hAnsi="Times New Roman"/>
          <w:sz w:val="24"/>
          <w:szCs w:val="24"/>
        </w:rPr>
        <w:t xml:space="preserve"> of health effects and risks to the environment</w:t>
      </w:r>
      <w:r w:rsidR="004B1E35">
        <w:rPr>
          <w:rFonts w:ascii="Times New Roman" w:hAnsi="Times New Roman"/>
          <w:sz w:val="24"/>
          <w:szCs w:val="24"/>
        </w:rPr>
        <w:t>,</w:t>
      </w:r>
      <w:r w:rsidR="00710E27" w:rsidRPr="00C10D10">
        <w:rPr>
          <w:rFonts w:ascii="Times New Roman" w:hAnsi="Times New Roman"/>
          <w:sz w:val="24"/>
          <w:szCs w:val="24"/>
        </w:rPr>
        <w:t xml:space="preserve"> are reduced to the extent reasonably achievable</w:t>
      </w:r>
      <w:r w:rsidR="004B1E35">
        <w:rPr>
          <w:rFonts w:ascii="Times New Roman" w:hAnsi="Times New Roman"/>
          <w:sz w:val="24"/>
          <w:szCs w:val="24"/>
        </w:rPr>
        <w:t>”</w:t>
      </w:r>
      <w:r w:rsidR="00710E27" w:rsidRPr="00C10D10">
        <w:rPr>
          <w:rFonts w:ascii="Times New Roman" w:hAnsi="Times New Roman"/>
          <w:sz w:val="24"/>
          <w:szCs w:val="24"/>
        </w:rPr>
        <w:t xml:space="preserve"> </w:t>
      </w:r>
      <w:r w:rsidR="00417BFF">
        <w:rPr>
          <w:rFonts w:ascii="Times New Roman" w:hAnsi="Times New Roman"/>
          <w:sz w:val="24"/>
          <w:szCs w:val="24"/>
        </w:rPr>
        <w:t>[3]</w:t>
      </w:r>
      <w:r w:rsidR="00710E27" w:rsidRPr="00C10D10">
        <w:rPr>
          <w:rFonts w:ascii="Times New Roman" w:hAnsi="Times New Roman"/>
          <w:sz w:val="24"/>
          <w:szCs w:val="24"/>
        </w:rPr>
        <w:t>.</w:t>
      </w:r>
      <w:r w:rsidR="00C30551" w:rsidRPr="00C10D10">
        <w:rPr>
          <w:rFonts w:ascii="Times New Roman" w:hAnsi="Times New Roman"/>
          <w:sz w:val="24"/>
          <w:szCs w:val="24"/>
        </w:rPr>
        <w:t xml:space="preserve"> For planned exposure situations, </w:t>
      </w:r>
      <w:r w:rsidRPr="00C10D10">
        <w:rPr>
          <w:rFonts w:ascii="Times New Roman" w:hAnsi="Times New Roman"/>
          <w:sz w:val="24"/>
          <w:szCs w:val="24"/>
        </w:rPr>
        <w:t>GSR Part 3</w:t>
      </w:r>
      <w:r w:rsidR="00C30551" w:rsidRPr="00C10D10">
        <w:rPr>
          <w:rFonts w:ascii="Times New Roman" w:hAnsi="Times New Roman"/>
          <w:sz w:val="24"/>
          <w:szCs w:val="24"/>
        </w:rPr>
        <w:t xml:space="preserve"> </w:t>
      </w:r>
      <w:r w:rsidR="00417BFF">
        <w:rPr>
          <w:rFonts w:ascii="Times New Roman" w:hAnsi="Times New Roman"/>
          <w:sz w:val="24"/>
          <w:szCs w:val="24"/>
        </w:rPr>
        <w:t>[3]</w:t>
      </w:r>
      <w:r w:rsidR="00CE4A25">
        <w:rPr>
          <w:rFonts w:ascii="Times New Roman" w:hAnsi="Times New Roman"/>
          <w:sz w:val="24"/>
          <w:szCs w:val="24"/>
        </w:rPr>
        <w:t xml:space="preserve"> </w:t>
      </w:r>
      <w:r w:rsidR="00C30551" w:rsidRPr="00C10D10">
        <w:rPr>
          <w:rFonts w:ascii="Times New Roman" w:hAnsi="Times New Roman"/>
          <w:sz w:val="24"/>
          <w:szCs w:val="24"/>
        </w:rPr>
        <w:t xml:space="preserve">states that </w:t>
      </w:r>
      <w:r w:rsidR="00CE4A25">
        <w:rPr>
          <w:rFonts w:ascii="Times New Roman" w:hAnsi="Times New Roman"/>
          <w:sz w:val="24"/>
          <w:szCs w:val="24"/>
        </w:rPr>
        <w:t>“</w:t>
      </w:r>
      <w:r w:rsidR="00C30551" w:rsidRPr="00C10D10">
        <w:rPr>
          <w:rFonts w:ascii="Times New Roman" w:hAnsi="Times New Roman"/>
          <w:sz w:val="24"/>
          <w:szCs w:val="24"/>
        </w:rPr>
        <w:t>exposures and risk</w:t>
      </w:r>
      <w:r w:rsidR="00F50D4B">
        <w:rPr>
          <w:rFonts w:ascii="Times New Roman" w:hAnsi="Times New Roman"/>
          <w:sz w:val="24"/>
          <w:szCs w:val="24"/>
        </w:rPr>
        <w:t>s</w:t>
      </w:r>
      <w:r w:rsidR="00C30551" w:rsidRPr="00C10D10">
        <w:rPr>
          <w:rFonts w:ascii="Times New Roman" w:hAnsi="Times New Roman"/>
          <w:sz w:val="24"/>
          <w:szCs w:val="24"/>
        </w:rPr>
        <w:t xml:space="preserve"> are subject to control to ensure that the specified dose limits </w:t>
      </w:r>
      <w:r w:rsidR="00CE4A25">
        <w:rPr>
          <w:rFonts w:ascii="Times New Roman" w:hAnsi="Times New Roman"/>
          <w:sz w:val="24"/>
          <w:szCs w:val="24"/>
        </w:rPr>
        <w:t xml:space="preserve">…. </w:t>
      </w:r>
      <w:proofErr w:type="gramStart"/>
      <w:r w:rsidR="00C30551" w:rsidRPr="00C10D10">
        <w:rPr>
          <w:rFonts w:ascii="Times New Roman" w:hAnsi="Times New Roman"/>
          <w:sz w:val="24"/>
          <w:szCs w:val="24"/>
        </w:rPr>
        <w:t>for</w:t>
      </w:r>
      <w:proofErr w:type="gramEnd"/>
      <w:r w:rsidR="00C30551" w:rsidRPr="00C10D10">
        <w:rPr>
          <w:rFonts w:ascii="Times New Roman" w:hAnsi="Times New Roman"/>
          <w:sz w:val="24"/>
          <w:szCs w:val="24"/>
        </w:rPr>
        <w:t xml:space="preserve"> public exposure are not exceeded, and optimization is applied to attain the desired level of protection and safety</w:t>
      </w:r>
      <w:r w:rsidR="00CE4A25">
        <w:rPr>
          <w:rFonts w:ascii="Times New Roman" w:hAnsi="Times New Roman"/>
          <w:sz w:val="24"/>
          <w:szCs w:val="24"/>
        </w:rPr>
        <w:t>”</w:t>
      </w:r>
      <w:r w:rsidR="00C30551" w:rsidRPr="00C10D10">
        <w:rPr>
          <w:rFonts w:ascii="Times New Roman" w:hAnsi="Times New Roman"/>
          <w:sz w:val="24"/>
          <w:szCs w:val="24"/>
        </w:rPr>
        <w:t xml:space="preserve"> </w:t>
      </w:r>
      <w:r w:rsidR="00417BFF">
        <w:rPr>
          <w:rFonts w:ascii="Times New Roman" w:hAnsi="Times New Roman"/>
          <w:sz w:val="24"/>
          <w:szCs w:val="24"/>
        </w:rPr>
        <w:t>[3]</w:t>
      </w:r>
      <w:r w:rsidR="00C30551" w:rsidRPr="00C10D10">
        <w:rPr>
          <w:rFonts w:ascii="Times New Roman" w:hAnsi="Times New Roman"/>
          <w:sz w:val="24"/>
          <w:szCs w:val="24"/>
        </w:rPr>
        <w:t>.</w:t>
      </w:r>
    </w:p>
    <w:p w:rsidR="00223C05" w:rsidRDefault="004819ED" w:rsidP="00710E27">
      <w:pPr>
        <w:numPr>
          <w:ilvl w:val="0"/>
          <w:numId w:val="3"/>
        </w:numPr>
        <w:autoSpaceDE w:val="0"/>
        <w:autoSpaceDN w:val="0"/>
        <w:adjustRightInd w:val="0"/>
        <w:spacing w:before="120" w:line="360" w:lineRule="auto"/>
        <w:jc w:val="both"/>
        <w:rPr>
          <w:rFonts w:ascii="Times New Roman" w:hAnsi="Times New Roman"/>
          <w:sz w:val="24"/>
          <w:szCs w:val="24"/>
        </w:rPr>
      </w:pPr>
      <w:r>
        <w:rPr>
          <w:rFonts w:ascii="Times New Roman" w:hAnsi="Times New Roman"/>
          <w:sz w:val="24"/>
          <w:szCs w:val="24"/>
        </w:rPr>
        <w:t>Although t</w:t>
      </w:r>
      <w:r w:rsidR="00F870EE" w:rsidRPr="00C10D10">
        <w:rPr>
          <w:rFonts w:ascii="Times New Roman" w:hAnsi="Times New Roman"/>
          <w:sz w:val="24"/>
          <w:szCs w:val="24"/>
        </w:rPr>
        <w:t xml:space="preserve">he system of protection and safety </w:t>
      </w:r>
      <w:r w:rsidR="00AA3494" w:rsidRPr="00C10D10">
        <w:rPr>
          <w:rFonts w:ascii="Times New Roman" w:hAnsi="Times New Roman"/>
          <w:sz w:val="24"/>
          <w:szCs w:val="24"/>
        </w:rPr>
        <w:t>required by</w:t>
      </w:r>
      <w:r w:rsidR="00223C05" w:rsidRPr="00C10D10">
        <w:rPr>
          <w:rFonts w:ascii="Times New Roman" w:hAnsi="Times New Roman"/>
          <w:sz w:val="24"/>
          <w:szCs w:val="24"/>
        </w:rPr>
        <w:t xml:space="preserve"> the IAEA Safety Standards </w:t>
      </w:r>
      <w:r>
        <w:rPr>
          <w:rFonts w:ascii="Times New Roman" w:hAnsi="Times New Roman"/>
          <w:sz w:val="24"/>
          <w:szCs w:val="24"/>
        </w:rPr>
        <w:t>is</w:t>
      </w:r>
      <w:r w:rsidRPr="00C10D10">
        <w:rPr>
          <w:rFonts w:ascii="Times New Roman" w:hAnsi="Times New Roman"/>
          <w:sz w:val="24"/>
          <w:szCs w:val="24"/>
        </w:rPr>
        <w:t xml:space="preserve"> </w:t>
      </w:r>
      <w:r w:rsidR="00223C05" w:rsidRPr="00C10D10">
        <w:rPr>
          <w:rFonts w:ascii="Times New Roman" w:hAnsi="Times New Roman"/>
          <w:sz w:val="24"/>
          <w:szCs w:val="24"/>
        </w:rPr>
        <w:t xml:space="preserve">founded primarily on considerations of </w:t>
      </w:r>
      <w:r w:rsidR="00406E78">
        <w:rPr>
          <w:rFonts w:ascii="Times New Roman" w:hAnsi="Times New Roman"/>
          <w:sz w:val="24"/>
          <w:szCs w:val="24"/>
        </w:rPr>
        <w:t>the</w:t>
      </w:r>
      <w:r w:rsidR="00AA3494" w:rsidRPr="00C10D10">
        <w:rPr>
          <w:rFonts w:ascii="Times New Roman" w:hAnsi="Times New Roman"/>
          <w:sz w:val="24"/>
          <w:szCs w:val="24"/>
        </w:rPr>
        <w:t xml:space="preserve"> </w:t>
      </w:r>
      <w:r w:rsidR="00CE4A25">
        <w:rPr>
          <w:rFonts w:ascii="Times New Roman" w:hAnsi="Times New Roman"/>
          <w:sz w:val="24"/>
          <w:szCs w:val="24"/>
        </w:rPr>
        <w:t>radiation</w:t>
      </w:r>
      <w:r w:rsidR="00CE4A25" w:rsidRPr="00C10D10">
        <w:rPr>
          <w:rFonts w:ascii="Times New Roman" w:hAnsi="Times New Roman"/>
          <w:sz w:val="24"/>
          <w:szCs w:val="24"/>
        </w:rPr>
        <w:t xml:space="preserve"> </w:t>
      </w:r>
      <w:r w:rsidR="00223C05" w:rsidRPr="00C10D10">
        <w:rPr>
          <w:rFonts w:ascii="Times New Roman" w:hAnsi="Times New Roman"/>
          <w:sz w:val="24"/>
          <w:szCs w:val="24"/>
        </w:rPr>
        <w:t>protection</w:t>
      </w:r>
      <w:r w:rsidR="00406E78">
        <w:rPr>
          <w:rFonts w:ascii="Times New Roman" w:hAnsi="Times New Roman"/>
          <w:sz w:val="24"/>
          <w:szCs w:val="24"/>
        </w:rPr>
        <w:t xml:space="preserve"> of humans</w:t>
      </w:r>
      <w:r w:rsidR="00223C05" w:rsidRPr="00C10D10">
        <w:rPr>
          <w:rFonts w:ascii="Times New Roman" w:hAnsi="Times New Roman"/>
          <w:sz w:val="24"/>
          <w:szCs w:val="24"/>
        </w:rPr>
        <w:t xml:space="preserve">, </w:t>
      </w:r>
      <w:r w:rsidR="00406E78">
        <w:rPr>
          <w:rFonts w:ascii="Times New Roman" w:hAnsi="Times New Roman"/>
          <w:sz w:val="24"/>
          <w:szCs w:val="24"/>
        </w:rPr>
        <w:t>it also</w:t>
      </w:r>
      <w:r w:rsidR="00AA3494" w:rsidRPr="00C10D10">
        <w:rPr>
          <w:rFonts w:ascii="Times New Roman" w:hAnsi="Times New Roman"/>
          <w:sz w:val="24"/>
          <w:szCs w:val="24"/>
        </w:rPr>
        <w:t xml:space="preserve"> aims to</w:t>
      </w:r>
      <w:r w:rsidR="00223C05" w:rsidRPr="00C10D10">
        <w:rPr>
          <w:rFonts w:ascii="Times New Roman" w:hAnsi="Times New Roman"/>
          <w:sz w:val="24"/>
          <w:szCs w:val="24"/>
        </w:rPr>
        <w:t xml:space="preserve"> </w:t>
      </w:r>
      <w:r w:rsidR="00F870EE" w:rsidRPr="00C10D10">
        <w:rPr>
          <w:rFonts w:ascii="Times New Roman" w:hAnsi="Times New Roman"/>
          <w:sz w:val="24"/>
          <w:szCs w:val="24"/>
        </w:rPr>
        <w:t xml:space="preserve">provide for appropriate </w:t>
      </w:r>
      <w:r w:rsidR="00223C05" w:rsidRPr="00C10D10">
        <w:rPr>
          <w:rFonts w:ascii="Times New Roman" w:hAnsi="Times New Roman"/>
          <w:sz w:val="24"/>
          <w:szCs w:val="24"/>
        </w:rPr>
        <w:t xml:space="preserve">protection </w:t>
      </w:r>
      <w:r w:rsidR="00F870EE" w:rsidRPr="00C10D10">
        <w:rPr>
          <w:rFonts w:ascii="Times New Roman" w:hAnsi="Times New Roman"/>
          <w:sz w:val="24"/>
          <w:szCs w:val="24"/>
        </w:rPr>
        <w:t xml:space="preserve">of the environment </w:t>
      </w:r>
      <w:r w:rsidR="00CE4A25">
        <w:rPr>
          <w:rFonts w:ascii="Times New Roman" w:hAnsi="Times New Roman"/>
          <w:sz w:val="24"/>
          <w:szCs w:val="24"/>
        </w:rPr>
        <w:t>from</w:t>
      </w:r>
      <w:r w:rsidR="00406E78">
        <w:rPr>
          <w:rFonts w:ascii="Times New Roman" w:hAnsi="Times New Roman"/>
          <w:sz w:val="24"/>
          <w:szCs w:val="24"/>
        </w:rPr>
        <w:t xml:space="preserve"> </w:t>
      </w:r>
      <w:r w:rsidR="00F870EE" w:rsidRPr="00C10D10">
        <w:rPr>
          <w:rFonts w:ascii="Times New Roman" w:hAnsi="Times New Roman"/>
          <w:sz w:val="24"/>
          <w:szCs w:val="24"/>
        </w:rPr>
        <w:t xml:space="preserve">harmful effects of </w:t>
      </w:r>
      <w:r>
        <w:rPr>
          <w:rFonts w:ascii="Times New Roman" w:hAnsi="Times New Roman"/>
          <w:sz w:val="24"/>
          <w:szCs w:val="24"/>
        </w:rPr>
        <w:t xml:space="preserve">ionizing </w:t>
      </w:r>
      <w:r w:rsidR="00F870EE" w:rsidRPr="00C10D10">
        <w:rPr>
          <w:rFonts w:ascii="Times New Roman" w:hAnsi="Times New Roman"/>
          <w:sz w:val="24"/>
          <w:szCs w:val="24"/>
        </w:rPr>
        <w:t>radiation</w:t>
      </w:r>
      <w:r w:rsidR="00AA3494" w:rsidRPr="00C10D10">
        <w:rPr>
          <w:rFonts w:ascii="Times New Roman" w:hAnsi="Times New Roman"/>
          <w:sz w:val="24"/>
          <w:szCs w:val="24"/>
        </w:rPr>
        <w:t xml:space="preserve"> </w:t>
      </w:r>
      <w:r w:rsidR="00417BFF">
        <w:rPr>
          <w:rFonts w:ascii="Times New Roman" w:hAnsi="Times New Roman"/>
          <w:sz w:val="24"/>
          <w:szCs w:val="24"/>
        </w:rPr>
        <w:t>[3]</w:t>
      </w:r>
      <w:r w:rsidR="00AA3494" w:rsidRPr="00C10D10">
        <w:rPr>
          <w:rFonts w:ascii="Times New Roman" w:hAnsi="Times New Roman"/>
          <w:sz w:val="24"/>
          <w:szCs w:val="24"/>
        </w:rPr>
        <w:t>.</w:t>
      </w:r>
      <w:r w:rsidR="00F870EE" w:rsidRPr="00C10D10">
        <w:rPr>
          <w:rFonts w:ascii="Times New Roman" w:hAnsi="Times New Roman"/>
          <w:sz w:val="24"/>
          <w:szCs w:val="24"/>
        </w:rPr>
        <w:t xml:space="preserve"> </w:t>
      </w:r>
    </w:p>
    <w:p w:rsidR="00A27A93" w:rsidRPr="00311BB9" w:rsidRDefault="00F870EE" w:rsidP="003852F3">
      <w:pPr>
        <w:numPr>
          <w:ilvl w:val="0"/>
          <w:numId w:val="3"/>
        </w:numPr>
        <w:autoSpaceDE w:val="0"/>
        <w:autoSpaceDN w:val="0"/>
        <w:adjustRightInd w:val="0"/>
        <w:spacing w:before="120" w:line="360" w:lineRule="auto"/>
        <w:jc w:val="both"/>
        <w:rPr>
          <w:rFonts w:ascii="TimesNewRomanPSMT" w:hAnsi="TimesNewRomanPSMT" w:cs="TimesNewRomanPSMT"/>
          <w:sz w:val="21"/>
          <w:szCs w:val="21"/>
          <w:lang w:eastAsia="en-GB"/>
        </w:rPr>
      </w:pPr>
      <w:r w:rsidRPr="003852F3">
        <w:rPr>
          <w:rFonts w:ascii="Times New Roman" w:hAnsi="Times New Roman"/>
          <w:sz w:val="24"/>
          <w:szCs w:val="24"/>
        </w:rPr>
        <w:t>The establishment of discharge limits for facilities and activities</w:t>
      </w:r>
      <w:r w:rsidR="00223C05" w:rsidRPr="003852F3">
        <w:rPr>
          <w:rFonts w:ascii="Times New Roman" w:hAnsi="Times New Roman"/>
          <w:sz w:val="24"/>
          <w:szCs w:val="24"/>
        </w:rPr>
        <w:t>,</w:t>
      </w:r>
      <w:r w:rsidRPr="003852F3">
        <w:rPr>
          <w:rFonts w:ascii="Times New Roman" w:hAnsi="Times New Roman"/>
          <w:sz w:val="24"/>
          <w:szCs w:val="24"/>
        </w:rPr>
        <w:t xml:space="preserve"> as described in this Safety Guide</w:t>
      </w:r>
      <w:r w:rsidR="00223C05" w:rsidRPr="003852F3">
        <w:rPr>
          <w:rFonts w:ascii="Times New Roman" w:hAnsi="Times New Roman"/>
          <w:sz w:val="24"/>
          <w:szCs w:val="24"/>
        </w:rPr>
        <w:t>,</w:t>
      </w:r>
      <w:r w:rsidRPr="003852F3">
        <w:rPr>
          <w:rFonts w:ascii="Times New Roman" w:hAnsi="Times New Roman"/>
          <w:sz w:val="24"/>
          <w:szCs w:val="24"/>
        </w:rPr>
        <w:t xml:space="preserve"> is </w:t>
      </w:r>
      <w:r w:rsidR="005F5D72">
        <w:rPr>
          <w:rFonts w:ascii="Times New Roman" w:hAnsi="Times New Roman"/>
          <w:sz w:val="24"/>
          <w:szCs w:val="24"/>
        </w:rPr>
        <w:t xml:space="preserve">primarily </w:t>
      </w:r>
      <w:r w:rsidR="00CE4A25">
        <w:rPr>
          <w:rFonts w:ascii="Times New Roman" w:hAnsi="Times New Roman"/>
          <w:sz w:val="24"/>
          <w:szCs w:val="24"/>
        </w:rPr>
        <w:t xml:space="preserve">for </w:t>
      </w:r>
      <w:r w:rsidRPr="003852F3">
        <w:rPr>
          <w:rFonts w:ascii="Times New Roman" w:hAnsi="Times New Roman"/>
          <w:sz w:val="24"/>
          <w:szCs w:val="24"/>
        </w:rPr>
        <w:t>optimization of the protection of members of the public</w:t>
      </w:r>
      <w:r w:rsidR="00AA3494" w:rsidRPr="003852F3">
        <w:rPr>
          <w:rFonts w:ascii="Times New Roman" w:hAnsi="Times New Roman"/>
          <w:sz w:val="24"/>
          <w:szCs w:val="24"/>
        </w:rPr>
        <w:t xml:space="preserve"> (</w:t>
      </w:r>
      <w:r w:rsidR="00F50D4B">
        <w:rPr>
          <w:rFonts w:ascii="Times New Roman" w:hAnsi="Times New Roman"/>
          <w:sz w:val="24"/>
          <w:szCs w:val="24"/>
        </w:rPr>
        <w:t>i.e.</w:t>
      </w:r>
      <w:r w:rsidR="00AA3494" w:rsidRPr="003852F3">
        <w:rPr>
          <w:rFonts w:ascii="Times New Roman" w:hAnsi="Times New Roman"/>
          <w:sz w:val="24"/>
          <w:szCs w:val="24"/>
        </w:rPr>
        <w:t xml:space="preserve"> the </w:t>
      </w:r>
      <w:r w:rsidR="00DD27FF">
        <w:rPr>
          <w:rFonts w:ascii="Times New Roman" w:hAnsi="Times New Roman"/>
          <w:sz w:val="24"/>
          <w:szCs w:val="24"/>
        </w:rPr>
        <w:t>objective</w:t>
      </w:r>
      <w:r w:rsidR="00DD27FF" w:rsidRPr="003852F3">
        <w:rPr>
          <w:rFonts w:ascii="Times New Roman" w:hAnsi="Times New Roman"/>
          <w:sz w:val="24"/>
          <w:szCs w:val="24"/>
        </w:rPr>
        <w:t xml:space="preserve"> </w:t>
      </w:r>
      <w:r w:rsidR="00AA3494" w:rsidRPr="003852F3">
        <w:rPr>
          <w:rFonts w:ascii="Times New Roman" w:hAnsi="Times New Roman"/>
          <w:sz w:val="24"/>
          <w:szCs w:val="24"/>
        </w:rPr>
        <w:t xml:space="preserve">of the assessment to </w:t>
      </w:r>
      <w:r w:rsidR="00DD27FF">
        <w:rPr>
          <w:rFonts w:ascii="Times New Roman" w:hAnsi="Times New Roman"/>
          <w:sz w:val="24"/>
          <w:szCs w:val="24"/>
        </w:rPr>
        <w:t>determine</w:t>
      </w:r>
      <w:r w:rsidR="00DD27FF" w:rsidRPr="003852F3">
        <w:rPr>
          <w:rFonts w:ascii="Times New Roman" w:hAnsi="Times New Roman"/>
          <w:sz w:val="24"/>
          <w:szCs w:val="24"/>
        </w:rPr>
        <w:t xml:space="preserve"> </w:t>
      </w:r>
      <w:r w:rsidR="00AA3494" w:rsidRPr="003852F3">
        <w:rPr>
          <w:rFonts w:ascii="Times New Roman" w:hAnsi="Times New Roman"/>
          <w:sz w:val="24"/>
          <w:szCs w:val="24"/>
        </w:rPr>
        <w:t xml:space="preserve">discharge limits is </w:t>
      </w:r>
      <w:r w:rsidR="00BE71DF">
        <w:rPr>
          <w:rFonts w:ascii="Times New Roman" w:hAnsi="Times New Roman"/>
          <w:sz w:val="24"/>
          <w:szCs w:val="24"/>
        </w:rPr>
        <w:t>control</w:t>
      </w:r>
      <w:r w:rsidR="00DD27FF">
        <w:rPr>
          <w:rFonts w:ascii="Times New Roman" w:hAnsi="Times New Roman"/>
          <w:sz w:val="24"/>
          <w:szCs w:val="24"/>
        </w:rPr>
        <w:t xml:space="preserve"> of the </w:t>
      </w:r>
      <w:r w:rsidR="003852F3">
        <w:rPr>
          <w:rFonts w:ascii="Times New Roman" w:hAnsi="Times New Roman"/>
          <w:sz w:val="24"/>
          <w:szCs w:val="24"/>
        </w:rPr>
        <w:t xml:space="preserve">effective </w:t>
      </w:r>
      <w:r w:rsidR="00AA3494" w:rsidRPr="003852F3">
        <w:rPr>
          <w:rFonts w:ascii="Times New Roman" w:hAnsi="Times New Roman"/>
          <w:sz w:val="24"/>
          <w:szCs w:val="24"/>
        </w:rPr>
        <w:t xml:space="preserve">dose to the </w:t>
      </w:r>
      <w:r w:rsidR="00AA3494" w:rsidRPr="003852F3">
        <w:rPr>
          <w:rFonts w:ascii="Times New Roman" w:hAnsi="Times New Roman"/>
          <w:sz w:val="24"/>
          <w:szCs w:val="24"/>
        </w:rPr>
        <w:lastRenderedPageBreak/>
        <w:t>representative person</w:t>
      </w:r>
      <w:r w:rsidR="0000686C" w:rsidRPr="00C10D10">
        <w:rPr>
          <w:rStyle w:val="FootnoteReference"/>
          <w:rFonts w:ascii="Times New Roman" w:hAnsi="Times New Roman"/>
          <w:sz w:val="24"/>
          <w:szCs w:val="24"/>
        </w:rPr>
        <w:footnoteReference w:id="10"/>
      </w:r>
      <w:r w:rsidR="00CE4A25">
        <w:rPr>
          <w:rFonts w:ascii="Times New Roman" w:hAnsi="Times New Roman"/>
          <w:sz w:val="24"/>
          <w:szCs w:val="24"/>
        </w:rPr>
        <w:t>,</w:t>
      </w:r>
      <w:r w:rsidR="005F5D72">
        <w:rPr>
          <w:rFonts w:ascii="Times New Roman" w:hAnsi="Times New Roman"/>
          <w:sz w:val="24"/>
          <w:szCs w:val="24"/>
        </w:rPr>
        <w:t xml:space="preserve"> </w:t>
      </w:r>
      <w:r w:rsidR="00CE4A25">
        <w:rPr>
          <w:rFonts w:ascii="Times New Roman" w:hAnsi="Times New Roman"/>
          <w:sz w:val="24"/>
          <w:szCs w:val="24"/>
        </w:rPr>
        <w:t xml:space="preserve">with </w:t>
      </w:r>
      <w:r w:rsidR="005F5D72">
        <w:rPr>
          <w:rFonts w:ascii="Times New Roman" w:hAnsi="Times New Roman"/>
          <w:sz w:val="24"/>
          <w:szCs w:val="24"/>
        </w:rPr>
        <w:t>appropriate</w:t>
      </w:r>
      <w:r w:rsidR="00CE4A25">
        <w:rPr>
          <w:rFonts w:ascii="Times New Roman" w:hAnsi="Times New Roman"/>
          <w:sz w:val="24"/>
          <w:szCs w:val="24"/>
        </w:rPr>
        <w:t xml:space="preserve"> consideration given to radiation</w:t>
      </w:r>
      <w:r w:rsidR="005F5D72">
        <w:rPr>
          <w:rFonts w:ascii="Times New Roman" w:hAnsi="Times New Roman"/>
          <w:sz w:val="24"/>
          <w:szCs w:val="24"/>
        </w:rPr>
        <w:t xml:space="preserve"> protection </w:t>
      </w:r>
      <w:r w:rsidR="00CE4A25">
        <w:rPr>
          <w:rFonts w:ascii="Times New Roman" w:hAnsi="Times New Roman"/>
          <w:sz w:val="24"/>
          <w:szCs w:val="24"/>
        </w:rPr>
        <w:t>of workers at</w:t>
      </w:r>
      <w:r w:rsidR="005F5D72">
        <w:rPr>
          <w:rFonts w:ascii="Times New Roman" w:hAnsi="Times New Roman"/>
          <w:sz w:val="24"/>
          <w:szCs w:val="24"/>
        </w:rPr>
        <w:t xml:space="preserve"> the </w:t>
      </w:r>
      <w:r w:rsidR="0050059A">
        <w:rPr>
          <w:rFonts w:ascii="Times New Roman" w:hAnsi="Times New Roman"/>
          <w:sz w:val="24"/>
          <w:szCs w:val="24"/>
        </w:rPr>
        <w:t xml:space="preserve">discharging </w:t>
      </w:r>
      <w:r w:rsidR="005F5D72">
        <w:rPr>
          <w:rFonts w:ascii="Times New Roman" w:hAnsi="Times New Roman"/>
          <w:sz w:val="24"/>
          <w:szCs w:val="24"/>
        </w:rPr>
        <w:t>facility</w:t>
      </w:r>
      <w:r w:rsidR="00223C05" w:rsidRPr="003852F3">
        <w:rPr>
          <w:rFonts w:ascii="Times New Roman" w:hAnsi="Times New Roman"/>
          <w:sz w:val="24"/>
          <w:szCs w:val="24"/>
        </w:rPr>
        <w:t xml:space="preserve">. This approach </w:t>
      </w:r>
      <w:r w:rsidR="00870FB2">
        <w:rPr>
          <w:rFonts w:ascii="Times New Roman" w:hAnsi="Times New Roman"/>
          <w:sz w:val="24"/>
          <w:szCs w:val="24"/>
        </w:rPr>
        <w:t>is based on the conclusion</w:t>
      </w:r>
      <w:r w:rsidR="00870FB2" w:rsidRPr="003852F3">
        <w:rPr>
          <w:rFonts w:ascii="Times New Roman" w:hAnsi="Times New Roman"/>
          <w:sz w:val="24"/>
          <w:szCs w:val="24"/>
        </w:rPr>
        <w:t xml:space="preserve"> </w:t>
      </w:r>
      <w:r w:rsidRPr="003852F3">
        <w:rPr>
          <w:rFonts w:ascii="Times New Roman" w:hAnsi="Times New Roman"/>
          <w:sz w:val="24"/>
          <w:szCs w:val="24"/>
        </w:rPr>
        <w:t>that the environment is protected by mean</w:t>
      </w:r>
      <w:r w:rsidR="003852F3">
        <w:rPr>
          <w:rFonts w:ascii="Times New Roman" w:hAnsi="Times New Roman"/>
          <w:sz w:val="24"/>
          <w:szCs w:val="24"/>
        </w:rPr>
        <w:t>s</w:t>
      </w:r>
      <w:r w:rsidRPr="003852F3">
        <w:rPr>
          <w:rFonts w:ascii="Times New Roman" w:hAnsi="Times New Roman"/>
          <w:sz w:val="24"/>
          <w:szCs w:val="24"/>
        </w:rPr>
        <w:t xml:space="preserve"> of the conditions </w:t>
      </w:r>
      <w:r w:rsidR="00854E23">
        <w:rPr>
          <w:rFonts w:ascii="Times New Roman" w:hAnsi="Times New Roman"/>
          <w:sz w:val="24"/>
          <w:szCs w:val="24"/>
        </w:rPr>
        <w:t xml:space="preserve">under </w:t>
      </w:r>
      <w:r w:rsidR="00DE2784">
        <w:rPr>
          <w:rFonts w:ascii="Times New Roman" w:hAnsi="Times New Roman"/>
          <w:sz w:val="24"/>
          <w:szCs w:val="24"/>
        </w:rPr>
        <w:t>which the practice is</w:t>
      </w:r>
      <w:r w:rsidRPr="003852F3">
        <w:rPr>
          <w:rFonts w:ascii="Times New Roman" w:hAnsi="Times New Roman"/>
          <w:sz w:val="24"/>
          <w:szCs w:val="24"/>
        </w:rPr>
        <w:t xml:space="preserve"> authoriz</w:t>
      </w:r>
      <w:r w:rsidR="00DE2784">
        <w:rPr>
          <w:rFonts w:ascii="Times New Roman" w:hAnsi="Times New Roman"/>
          <w:sz w:val="24"/>
          <w:szCs w:val="24"/>
        </w:rPr>
        <w:t>ed</w:t>
      </w:r>
      <w:r w:rsidR="00836192" w:rsidRPr="003852F3">
        <w:rPr>
          <w:rStyle w:val="FootnoteReference"/>
          <w:rFonts w:ascii="Times New Roman" w:hAnsi="Times New Roman"/>
          <w:sz w:val="24"/>
          <w:szCs w:val="24"/>
        </w:rPr>
        <w:footnoteReference w:id="11"/>
      </w:r>
      <w:r w:rsidRPr="003852F3">
        <w:rPr>
          <w:rFonts w:ascii="Times New Roman" w:hAnsi="Times New Roman"/>
          <w:sz w:val="24"/>
          <w:szCs w:val="24"/>
        </w:rPr>
        <w:t>.</w:t>
      </w:r>
    </w:p>
    <w:p w:rsidR="00AA22E3" w:rsidRPr="00C10D10" w:rsidRDefault="00D327F9" w:rsidP="00C30551">
      <w:pPr>
        <w:pStyle w:val="Heading2"/>
        <w:rPr>
          <w:caps w:val="0"/>
          <w:lang w:val="en-GB"/>
        </w:rPr>
      </w:pPr>
      <w:bookmarkStart w:id="26" w:name="_Toc452966939"/>
      <w:r w:rsidRPr="00C10D10">
        <w:rPr>
          <w:caps w:val="0"/>
          <w:lang w:val="en-GB"/>
        </w:rPr>
        <w:t>JUSTIFICATION</w:t>
      </w:r>
      <w:bookmarkEnd w:id="26"/>
    </w:p>
    <w:p w:rsidR="007B6996" w:rsidRPr="00C10D10" w:rsidRDefault="007B6996" w:rsidP="00C30551">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Paragraph 2.8 of </w:t>
      </w:r>
      <w:r w:rsidR="00C657E3" w:rsidRPr="00C10D10">
        <w:rPr>
          <w:rFonts w:ascii="Times New Roman" w:hAnsi="Times New Roman"/>
          <w:sz w:val="24"/>
          <w:szCs w:val="24"/>
        </w:rPr>
        <w:t>GSR Part 3</w:t>
      </w:r>
      <w:r w:rsidRPr="00C10D10">
        <w:rPr>
          <w:rFonts w:ascii="Times New Roman" w:hAnsi="Times New Roman"/>
          <w:sz w:val="24"/>
          <w:szCs w:val="24"/>
        </w:rPr>
        <w:t xml:space="preserve"> </w:t>
      </w:r>
      <w:r w:rsidR="00417BFF">
        <w:rPr>
          <w:rFonts w:ascii="Times New Roman" w:hAnsi="Times New Roman"/>
          <w:sz w:val="24"/>
          <w:szCs w:val="24"/>
        </w:rPr>
        <w:t>[3]</w:t>
      </w:r>
      <w:r w:rsidR="00DB1E44" w:rsidRPr="00C10D10">
        <w:rPr>
          <w:rFonts w:ascii="Times New Roman" w:hAnsi="Times New Roman"/>
          <w:sz w:val="24"/>
          <w:szCs w:val="24"/>
        </w:rPr>
        <w:t xml:space="preserve"> </w:t>
      </w:r>
      <w:r w:rsidRPr="00C10D10">
        <w:rPr>
          <w:rFonts w:ascii="Times New Roman" w:hAnsi="Times New Roman"/>
          <w:sz w:val="24"/>
          <w:szCs w:val="24"/>
        </w:rPr>
        <w:t>state</w:t>
      </w:r>
      <w:r w:rsidR="00884094">
        <w:rPr>
          <w:rFonts w:ascii="Times New Roman" w:hAnsi="Times New Roman"/>
          <w:sz w:val="24"/>
          <w:szCs w:val="24"/>
        </w:rPr>
        <w:t>s</w:t>
      </w:r>
      <w:r w:rsidR="009B695F">
        <w:rPr>
          <w:rFonts w:ascii="Times New Roman" w:hAnsi="Times New Roman"/>
          <w:sz w:val="24"/>
          <w:szCs w:val="24"/>
        </w:rPr>
        <w:t xml:space="preserve"> that</w:t>
      </w:r>
      <w:r w:rsidRPr="00C10D10">
        <w:rPr>
          <w:rFonts w:ascii="Times New Roman" w:hAnsi="Times New Roman"/>
          <w:sz w:val="24"/>
          <w:szCs w:val="24"/>
        </w:rPr>
        <w:t xml:space="preserve"> “For planned exposure situations, each party with responsibilities for protection and safety shall ensure, when relevant requirements apply to that party, that no practice is undertaken unless it is justified”. </w:t>
      </w:r>
    </w:p>
    <w:p w:rsidR="007B6996" w:rsidRPr="00C10D10" w:rsidRDefault="007B6996" w:rsidP="00C30551">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Requirement 10 of </w:t>
      </w:r>
      <w:r w:rsidR="00C657E3" w:rsidRPr="00C10D10">
        <w:rPr>
          <w:rFonts w:ascii="Times New Roman" w:hAnsi="Times New Roman"/>
          <w:sz w:val="24"/>
          <w:szCs w:val="24"/>
        </w:rPr>
        <w:t>GSR Part 3</w:t>
      </w:r>
      <w:r w:rsidRPr="00C10D10">
        <w:rPr>
          <w:rFonts w:ascii="Times New Roman" w:hAnsi="Times New Roman"/>
          <w:sz w:val="24"/>
          <w:szCs w:val="24"/>
        </w:rPr>
        <w:t xml:space="preserve"> </w:t>
      </w:r>
      <w:r w:rsidR="00417BFF">
        <w:rPr>
          <w:rFonts w:ascii="Times New Roman" w:hAnsi="Times New Roman"/>
          <w:sz w:val="24"/>
          <w:szCs w:val="24"/>
        </w:rPr>
        <w:t>[3]</w:t>
      </w:r>
      <w:r w:rsidRPr="00C10D10">
        <w:rPr>
          <w:rFonts w:ascii="Times New Roman" w:hAnsi="Times New Roman"/>
          <w:sz w:val="24"/>
          <w:szCs w:val="24"/>
        </w:rPr>
        <w:t xml:space="preserve"> states</w:t>
      </w:r>
      <w:r w:rsidR="009B695F">
        <w:rPr>
          <w:rFonts w:ascii="Times New Roman" w:hAnsi="Times New Roman"/>
          <w:sz w:val="24"/>
          <w:szCs w:val="24"/>
        </w:rPr>
        <w:t xml:space="preserve"> that</w:t>
      </w:r>
      <w:r w:rsidRPr="00C10D10">
        <w:rPr>
          <w:rFonts w:ascii="Times New Roman" w:hAnsi="Times New Roman"/>
          <w:sz w:val="24"/>
          <w:szCs w:val="24"/>
        </w:rPr>
        <w:t xml:space="preserve"> “</w:t>
      </w:r>
      <w:r w:rsidR="009B695F">
        <w:rPr>
          <w:rFonts w:ascii="Times New Roman" w:hAnsi="Times New Roman"/>
          <w:sz w:val="24"/>
          <w:szCs w:val="24"/>
        </w:rPr>
        <w:t>T</w:t>
      </w:r>
      <w:r w:rsidRPr="00C10D10">
        <w:rPr>
          <w:rFonts w:ascii="Times New Roman" w:hAnsi="Times New Roman"/>
          <w:sz w:val="24"/>
          <w:szCs w:val="24"/>
        </w:rPr>
        <w:t xml:space="preserve">he government or the regulatory body shall ensure that only justified practices are authorized”. </w:t>
      </w:r>
    </w:p>
    <w:p w:rsidR="00AA22E3" w:rsidRPr="00C10D10" w:rsidRDefault="00D327F9" w:rsidP="00DB1E44">
      <w:pPr>
        <w:pStyle w:val="Heading2"/>
        <w:rPr>
          <w:caps w:val="0"/>
          <w:lang w:val="en-GB"/>
        </w:rPr>
      </w:pPr>
      <w:bookmarkStart w:id="27" w:name="_Toc452966940"/>
      <w:r w:rsidRPr="00C10D10">
        <w:rPr>
          <w:caps w:val="0"/>
          <w:lang w:val="en-GB"/>
        </w:rPr>
        <w:t>OPTIMIZATION</w:t>
      </w:r>
      <w:r w:rsidR="009B695F">
        <w:rPr>
          <w:caps w:val="0"/>
          <w:lang w:val="en-GB"/>
        </w:rPr>
        <w:t xml:space="preserve"> OF PROTECTION AND SAFETY</w:t>
      </w:r>
      <w:bookmarkEnd w:id="27"/>
    </w:p>
    <w:p w:rsidR="00276D86" w:rsidRPr="00C10D10" w:rsidRDefault="00276D86" w:rsidP="00C30551">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Requirement 31 of </w:t>
      </w:r>
      <w:r w:rsidR="00C657E3" w:rsidRPr="00C10D10">
        <w:rPr>
          <w:rFonts w:ascii="Times New Roman" w:hAnsi="Times New Roman"/>
          <w:sz w:val="24"/>
          <w:szCs w:val="24"/>
        </w:rPr>
        <w:t>GSR Part 3</w:t>
      </w:r>
      <w:r w:rsidRPr="00C10D10">
        <w:rPr>
          <w:rFonts w:ascii="Times New Roman" w:hAnsi="Times New Roman"/>
          <w:sz w:val="24"/>
          <w:szCs w:val="24"/>
        </w:rPr>
        <w:t xml:space="preserve"> </w:t>
      </w:r>
      <w:r w:rsidR="00417BFF">
        <w:rPr>
          <w:rFonts w:ascii="Times New Roman" w:hAnsi="Times New Roman"/>
          <w:sz w:val="24"/>
          <w:szCs w:val="24"/>
        </w:rPr>
        <w:t>[3]</w:t>
      </w:r>
      <w:r w:rsidR="00DB1E44" w:rsidRPr="00C10D10">
        <w:rPr>
          <w:rFonts w:ascii="Times New Roman" w:hAnsi="Times New Roman"/>
          <w:sz w:val="24"/>
          <w:szCs w:val="24"/>
        </w:rPr>
        <w:t xml:space="preserve"> </w:t>
      </w:r>
      <w:r w:rsidRPr="00C10D10">
        <w:rPr>
          <w:rFonts w:ascii="Times New Roman" w:hAnsi="Times New Roman"/>
          <w:sz w:val="24"/>
          <w:szCs w:val="24"/>
        </w:rPr>
        <w:t>on radioactive waste and discharges states that</w:t>
      </w:r>
      <w:r w:rsidR="0098788E" w:rsidRPr="00C10D10">
        <w:rPr>
          <w:rFonts w:ascii="Times New Roman" w:hAnsi="Times New Roman"/>
          <w:sz w:val="24"/>
          <w:szCs w:val="24"/>
        </w:rPr>
        <w:t xml:space="preserve"> “</w:t>
      </w:r>
      <w:r w:rsidRPr="00C10D10">
        <w:rPr>
          <w:rFonts w:ascii="Times New Roman" w:hAnsi="Times New Roman"/>
          <w:sz w:val="24"/>
          <w:szCs w:val="24"/>
        </w:rPr>
        <w:t>Relevant parties shall ensure that radioactive waste and discharges of radioactive material to the environment are managed in accordance with the authorization</w:t>
      </w:r>
      <w:r w:rsidR="0098788E" w:rsidRPr="00C10D10">
        <w:rPr>
          <w:rFonts w:ascii="Times New Roman" w:hAnsi="Times New Roman"/>
          <w:sz w:val="24"/>
          <w:szCs w:val="24"/>
        </w:rPr>
        <w:t>”</w:t>
      </w:r>
      <w:r w:rsidRPr="00C10D10">
        <w:rPr>
          <w:rFonts w:ascii="Times New Roman" w:hAnsi="Times New Roman"/>
          <w:sz w:val="24"/>
          <w:szCs w:val="24"/>
        </w:rPr>
        <w:t>.</w:t>
      </w:r>
    </w:p>
    <w:p w:rsidR="000409D7" w:rsidRPr="00C10D10" w:rsidRDefault="00C657E3" w:rsidP="00C30551">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GSR Part 3</w:t>
      </w:r>
      <w:r w:rsidR="00276D86" w:rsidRPr="00C10D10">
        <w:rPr>
          <w:rFonts w:ascii="Times New Roman" w:hAnsi="Times New Roman"/>
          <w:sz w:val="24"/>
          <w:szCs w:val="24"/>
        </w:rPr>
        <w:t xml:space="preserve"> </w:t>
      </w:r>
      <w:r w:rsidR="00417BFF">
        <w:rPr>
          <w:rFonts w:ascii="Times New Roman" w:hAnsi="Times New Roman"/>
          <w:sz w:val="24"/>
          <w:szCs w:val="24"/>
        </w:rPr>
        <w:t>[3]</w:t>
      </w:r>
      <w:r w:rsidR="00B12374" w:rsidRPr="00C10D10">
        <w:rPr>
          <w:rFonts w:ascii="Times New Roman" w:hAnsi="Times New Roman"/>
          <w:sz w:val="24"/>
          <w:szCs w:val="24"/>
        </w:rPr>
        <w:t xml:space="preserve"> </w:t>
      </w:r>
      <w:r w:rsidR="001924B2" w:rsidRPr="00C10D10">
        <w:rPr>
          <w:rFonts w:ascii="Times New Roman" w:hAnsi="Times New Roman"/>
          <w:sz w:val="24"/>
          <w:szCs w:val="24"/>
        </w:rPr>
        <w:t>establishes</w:t>
      </w:r>
      <w:r w:rsidR="00276D86" w:rsidRPr="00C10D10">
        <w:rPr>
          <w:rFonts w:ascii="Times New Roman" w:hAnsi="Times New Roman"/>
          <w:sz w:val="24"/>
          <w:szCs w:val="24"/>
        </w:rPr>
        <w:t xml:space="preserve"> a number of requirements for the </w:t>
      </w:r>
      <w:r w:rsidR="00DD27FF">
        <w:rPr>
          <w:rFonts w:ascii="Times New Roman" w:hAnsi="Times New Roman"/>
          <w:sz w:val="24"/>
          <w:szCs w:val="24"/>
        </w:rPr>
        <w:t>management</w:t>
      </w:r>
      <w:r w:rsidR="00DD27FF" w:rsidRPr="00C10D10">
        <w:rPr>
          <w:rFonts w:ascii="Times New Roman" w:hAnsi="Times New Roman"/>
          <w:sz w:val="24"/>
          <w:szCs w:val="24"/>
        </w:rPr>
        <w:t xml:space="preserve"> </w:t>
      </w:r>
      <w:r w:rsidR="00276D86" w:rsidRPr="00C10D10">
        <w:rPr>
          <w:rFonts w:ascii="Times New Roman" w:hAnsi="Times New Roman"/>
          <w:sz w:val="24"/>
          <w:szCs w:val="24"/>
        </w:rPr>
        <w:t xml:space="preserve">of radioactive waste, notably including the requirement to ensure that </w:t>
      </w:r>
      <w:r w:rsidR="009B695F">
        <w:rPr>
          <w:rFonts w:ascii="Times New Roman" w:hAnsi="Times New Roman"/>
          <w:sz w:val="24"/>
          <w:szCs w:val="24"/>
        </w:rPr>
        <w:t xml:space="preserve">“radioactive </w:t>
      </w:r>
      <w:r w:rsidR="00276D86" w:rsidRPr="00C10D10">
        <w:rPr>
          <w:rFonts w:ascii="Times New Roman" w:hAnsi="Times New Roman"/>
          <w:sz w:val="24"/>
          <w:szCs w:val="24"/>
        </w:rPr>
        <w:t xml:space="preserve">waste </w:t>
      </w:r>
      <w:r w:rsidR="009B695F">
        <w:rPr>
          <w:rFonts w:ascii="Times New Roman" w:hAnsi="Times New Roman"/>
          <w:sz w:val="24"/>
          <w:szCs w:val="24"/>
        </w:rPr>
        <w:t xml:space="preserve">generated </w:t>
      </w:r>
      <w:r w:rsidR="00276D86" w:rsidRPr="00C10D10">
        <w:rPr>
          <w:rFonts w:ascii="Times New Roman" w:hAnsi="Times New Roman"/>
          <w:sz w:val="24"/>
          <w:szCs w:val="24"/>
        </w:rPr>
        <w:t>is kept to the minimum practicable in terms of both activity and volume</w:t>
      </w:r>
      <w:r w:rsidR="009B695F">
        <w:rPr>
          <w:rFonts w:ascii="Times New Roman" w:hAnsi="Times New Roman"/>
          <w:sz w:val="24"/>
          <w:szCs w:val="24"/>
        </w:rPr>
        <w:t>”</w:t>
      </w:r>
      <w:r w:rsidR="00276D86" w:rsidRPr="00C10D10">
        <w:rPr>
          <w:rFonts w:ascii="Times New Roman" w:hAnsi="Times New Roman"/>
          <w:sz w:val="24"/>
          <w:szCs w:val="24"/>
        </w:rPr>
        <w:t xml:space="preserve">. </w:t>
      </w:r>
      <w:r w:rsidR="0092376A">
        <w:rPr>
          <w:rFonts w:ascii="Times New Roman" w:hAnsi="Times New Roman"/>
          <w:sz w:val="24"/>
          <w:szCs w:val="24"/>
        </w:rPr>
        <w:t>The</w:t>
      </w:r>
      <w:r w:rsidR="00854E23">
        <w:rPr>
          <w:rFonts w:ascii="Times New Roman" w:hAnsi="Times New Roman"/>
          <w:sz w:val="24"/>
          <w:szCs w:val="24"/>
        </w:rPr>
        <w:t xml:space="preserve"> need to meet the</w:t>
      </w:r>
      <w:r w:rsidR="0092376A">
        <w:rPr>
          <w:rFonts w:ascii="Times New Roman" w:hAnsi="Times New Roman"/>
          <w:sz w:val="24"/>
          <w:szCs w:val="24"/>
        </w:rPr>
        <w:t xml:space="preserve">se </w:t>
      </w:r>
      <w:r w:rsidR="00E27A1B">
        <w:rPr>
          <w:rFonts w:ascii="Times New Roman" w:hAnsi="Times New Roman"/>
          <w:sz w:val="24"/>
          <w:szCs w:val="24"/>
        </w:rPr>
        <w:t xml:space="preserve">requirements on waste management </w:t>
      </w:r>
      <w:r w:rsidR="00854E23">
        <w:rPr>
          <w:rFonts w:ascii="Times New Roman" w:hAnsi="Times New Roman"/>
          <w:sz w:val="24"/>
          <w:szCs w:val="24"/>
        </w:rPr>
        <w:t xml:space="preserve">will have a </w:t>
      </w:r>
      <w:r w:rsidR="00E27A1B">
        <w:rPr>
          <w:rFonts w:ascii="Times New Roman" w:hAnsi="Times New Roman"/>
          <w:sz w:val="24"/>
          <w:szCs w:val="24"/>
        </w:rPr>
        <w:t>direct impact on</w:t>
      </w:r>
      <w:r w:rsidR="00DD27FF">
        <w:rPr>
          <w:rFonts w:ascii="Times New Roman" w:hAnsi="Times New Roman"/>
          <w:sz w:val="24"/>
          <w:szCs w:val="24"/>
        </w:rPr>
        <w:t xml:space="preserve"> </w:t>
      </w:r>
      <w:r w:rsidR="00E27A1B">
        <w:rPr>
          <w:rFonts w:ascii="Times New Roman" w:hAnsi="Times New Roman"/>
          <w:sz w:val="24"/>
          <w:szCs w:val="24"/>
        </w:rPr>
        <w:t>the</w:t>
      </w:r>
      <w:r w:rsidR="009B695F">
        <w:rPr>
          <w:rFonts w:ascii="Times New Roman" w:hAnsi="Times New Roman"/>
          <w:sz w:val="24"/>
          <w:szCs w:val="24"/>
        </w:rPr>
        <w:t xml:space="preserve"> volume of the waste </w:t>
      </w:r>
      <w:r w:rsidR="00F31BB5">
        <w:rPr>
          <w:rFonts w:ascii="Times New Roman" w:hAnsi="Times New Roman"/>
          <w:sz w:val="24"/>
          <w:szCs w:val="24"/>
        </w:rPr>
        <w:t xml:space="preserve">generated </w:t>
      </w:r>
      <w:r w:rsidR="009B695F">
        <w:rPr>
          <w:rFonts w:ascii="Times New Roman" w:hAnsi="Times New Roman"/>
          <w:sz w:val="24"/>
          <w:szCs w:val="24"/>
        </w:rPr>
        <w:t>and the</w:t>
      </w:r>
      <w:r w:rsidR="00E27A1B">
        <w:rPr>
          <w:rFonts w:ascii="Times New Roman" w:hAnsi="Times New Roman"/>
          <w:sz w:val="24"/>
          <w:szCs w:val="24"/>
        </w:rPr>
        <w:t xml:space="preserve"> </w:t>
      </w:r>
      <w:r w:rsidR="009145B2">
        <w:rPr>
          <w:rFonts w:ascii="Times New Roman" w:hAnsi="Times New Roman"/>
          <w:sz w:val="24"/>
          <w:szCs w:val="24"/>
        </w:rPr>
        <w:t>amount</w:t>
      </w:r>
      <w:r w:rsidR="00E27A1B">
        <w:rPr>
          <w:rFonts w:ascii="Times New Roman" w:hAnsi="Times New Roman"/>
          <w:sz w:val="24"/>
          <w:szCs w:val="24"/>
        </w:rPr>
        <w:t xml:space="preserve"> of radionuclides in the waste and in the effluents resulting from the normal operation of a facility or conduct of an activity.</w:t>
      </w:r>
    </w:p>
    <w:p w:rsidR="000409D7" w:rsidRPr="00F17FFD" w:rsidRDefault="0098788E" w:rsidP="00F17FFD">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Paragraph 3.119 </w:t>
      </w:r>
      <w:r w:rsidR="00E57757">
        <w:rPr>
          <w:rFonts w:ascii="Times New Roman" w:hAnsi="Times New Roman"/>
          <w:sz w:val="24"/>
          <w:szCs w:val="24"/>
        </w:rPr>
        <w:t>of</w:t>
      </w:r>
      <w:r w:rsidR="00E57757" w:rsidRPr="00C10D10">
        <w:rPr>
          <w:rFonts w:ascii="Times New Roman" w:hAnsi="Times New Roman"/>
          <w:sz w:val="24"/>
          <w:szCs w:val="24"/>
        </w:rPr>
        <w:t xml:space="preserve"> </w:t>
      </w:r>
      <w:r w:rsidRPr="00C10D10">
        <w:rPr>
          <w:rFonts w:ascii="Times New Roman" w:hAnsi="Times New Roman"/>
          <w:sz w:val="24"/>
          <w:szCs w:val="24"/>
        </w:rPr>
        <w:t xml:space="preserve">GSR Part 3 </w:t>
      </w:r>
      <w:r w:rsidR="00417BFF">
        <w:rPr>
          <w:rFonts w:ascii="Times New Roman" w:hAnsi="Times New Roman"/>
          <w:sz w:val="24"/>
          <w:szCs w:val="24"/>
        </w:rPr>
        <w:t>[3]</w:t>
      </w:r>
      <w:r w:rsidRPr="00C10D10">
        <w:rPr>
          <w:rFonts w:ascii="Times New Roman" w:hAnsi="Times New Roman"/>
          <w:sz w:val="24"/>
          <w:szCs w:val="24"/>
        </w:rPr>
        <w:t xml:space="preserve"> specif</w:t>
      </w:r>
      <w:r w:rsidR="00E57757">
        <w:rPr>
          <w:rFonts w:ascii="Times New Roman" w:hAnsi="Times New Roman"/>
          <w:sz w:val="24"/>
          <w:szCs w:val="24"/>
        </w:rPr>
        <w:t>ies</w:t>
      </w:r>
      <w:r w:rsidR="000409D7" w:rsidRPr="00C10D10">
        <w:rPr>
          <w:rFonts w:ascii="Times New Roman" w:hAnsi="Times New Roman"/>
          <w:sz w:val="24"/>
          <w:szCs w:val="24"/>
        </w:rPr>
        <w:t xml:space="preserve"> that </w:t>
      </w:r>
      <w:r w:rsidRPr="00C10D10">
        <w:rPr>
          <w:rFonts w:ascii="Times New Roman" w:hAnsi="Times New Roman"/>
          <w:sz w:val="24"/>
          <w:szCs w:val="24"/>
        </w:rPr>
        <w:t>“</w:t>
      </w:r>
      <w:r w:rsidR="00E57757">
        <w:rPr>
          <w:rFonts w:ascii="Times New Roman" w:hAnsi="Times New Roman"/>
          <w:sz w:val="24"/>
          <w:szCs w:val="24"/>
        </w:rPr>
        <w:t>T</w:t>
      </w:r>
      <w:r w:rsidRPr="00C10D10">
        <w:rPr>
          <w:rFonts w:ascii="Times New Roman" w:hAnsi="Times New Roman"/>
          <w:sz w:val="24"/>
          <w:szCs w:val="24"/>
        </w:rPr>
        <w:t>he</w:t>
      </w:r>
      <w:r w:rsidR="000409D7" w:rsidRPr="00C10D10">
        <w:rPr>
          <w:rFonts w:ascii="Times New Roman" w:hAnsi="Times New Roman"/>
          <w:sz w:val="24"/>
          <w:szCs w:val="24"/>
        </w:rPr>
        <w:t xml:space="preserve"> government or </w:t>
      </w:r>
      <w:r w:rsidR="00E57757">
        <w:rPr>
          <w:rFonts w:ascii="Times New Roman" w:hAnsi="Times New Roman"/>
          <w:sz w:val="24"/>
          <w:szCs w:val="24"/>
        </w:rPr>
        <w:t xml:space="preserve">the </w:t>
      </w:r>
      <w:r w:rsidR="000409D7" w:rsidRPr="00C10D10">
        <w:rPr>
          <w:rFonts w:ascii="Times New Roman" w:hAnsi="Times New Roman"/>
          <w:sz w:val="24"/>
          <w:szCs w:val="24"/>
        </w:rPr>
        <w:t>regulatory body shall</w:t>
      </w:r>
      <w:r w:rsidR="00F17FFD">
        <w:rPr>
          <w:rFonts w:ascii="Times New Roman" w:hAnsi="Times New Roman"/>
          <w:sz w:val="24"/>
          <w:szCs w:val="24"/>
        </w:rPr>
        <w:t xml:space="preserve"> </w:t>
      </w:r>
      <w:r w:rsidR="000409D7" w:rsidRPr="00F17FFD">
        <w:rPr>
          <w:rFonts w:ascii="Times New Roman" w:hAnsi="Times New Roman"/>
          <w:sz w:val="24"/>
          <w:szCs w:val="24"/>
        </w:rPr>
        <w:t xml:space="preserve">establish and enforce requirements for the optimization of protection and safety for </w:t>
      </w:r>
      <w:r w:rsidR="000409D7" w:rsidRPr="00F17FFD">
        <w:rPr>
          <w:rFonts w:ascii="Times New Roman" w:hAnsi="Times New Roman"/>
          <w:sz w:val="24"/>
          <w:szCs w:val="24"/>
        </w:rPr>
        <w:lastRenderedPageBreak/>
        <w:t>situations in which individuals are or could be subject to public exposure</w:t>
      </w:r>
      <w:r w:rsidR="00E57757" w:rsidRPr="00F17FFD">
        <w:rPr>
          <w:rFonts w:ascii="Times New Roman" w:hAnsi="Times New Roman"/>
          <w:sz w:val="24"/>
          <w:szCs w:val="24"/>
        </w:rPr>
        <w:t xml:space="preserve">”. Paragraph 3.120 of GSR Part 3 </w:t>
      </w:r>
      <w:r w:rsidR="00417BFF" w:rsidRPr="00F17FFD">
        <w:rPr>
          <w:rFonts w:ascii="Times New Roman" w:hAnsi="Times New Roman"/>
          <w:sz w:val="24"/>
          <w:szCs w:val="24"/>
        </w:rPr>
        <w:t>[3]</w:t>
      </w:r>
      <w:r w:rsidR="00E57757" w:rsidRPr="00F17FFD">
        <w:rPr>
          <w:rFonts w:ascii="Times New Roman" w:hAnsi="Times New Roman"/>
          <w:sz w:val="24"/>
          <w:szCs w:val="24"/>
        </w:rPr>
        <w:t xml:space="preserve"> states that “The government or the regulatory body shall </w:t>
      </w:r>
      <w:r w:rsidR="000409D7" w:rsidRPr="00F17FFD">
        <w:rPr>
          <w:rFonts w:ascii="Times New Roman" w:hAnsi="Times New Roman"/>
          <w:sz w:val="24"/>
          <w:szCs w:val="24"/>
        </w:rPr>
        <w:t xml:space="preserve">establish or approve constraints on dose and </w:t>
      </w:r>
      <w:r w:rsidR="00E57757" w:rsidRPr="00F17FFD">
        <w:rPr>
          <w:rFonts w:ascii="Times New Roman" w:hAnsi="Times New Roman"/>
          <w:sz w:val="24"/>
          <w:szCs w:val="24"/>
        </w:rPr>
        <w:t xml:space="preserve">constraints </w:t>
      </w:r>
      <w:r w:rsidR="000409D7" w:rsidRPr="00F17FFD">
        <w:rPr>
          <w:rFonts w:ascii="Times New Roman" w:hAnsi="Times New Roman"/>
          <w:sz w:val="24"/>
          <w:szCs w:val="24"/>
        </w:rPr>
        <w:t>on risk to be used in the optimization of protection and safety for members of the public</w:t>
      </w:r>
      <w:r w:rsidRPr="00F17FFD">
        <w:rPr>
          <w:rFonts w:ascii="Times New Roman" w:hAnsi="Times New Roman"/>
          <w:sz w:val="24"/>
          <w:szCs w:val="24"/>
        </w:rPr>
        <w:t>”</w:t>
      </w:r>
      <w:r w:rsidR="00F17FFD">
        <w:rPr>
          <w:rFonts w:ascii="Times New Roman" w:hAnsi="Times New Roman"/>
          <w:sz w:val="24"/>
          <w:szCs w:val="24"/>
        </w:rPr>
        <w:t>.</w:t>
      </w:r>
    </w:p>
    <w:p w:rsidR="000409D7" w:rsidRPr="00C10D10" w:rsidRDefault="000409D7" w:rsidP="00C30551">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Para</w:t>
      </w:r>
      <w:r w:rsidR="00E57757">
        <w:rPr>
          <w:rFonts w:ascii="Times New Roman" w:hAnsi="Times New Roman"/>
          <w:sz w:val="24"/>
          <w:szCs w:val="24"/>
        </w:rPr>
        <w:t>graph</w:t>
      </w:r>
      <w:r w:rsidRPr="00C10D10">
        <w:rPr>
          <w:rFonts w:ascii="Times New Roman" w:hAnsi="Times New Roman"/>
          <w:sz w:val="24"/>
          <w:szCs w:val="24"/>
        </w:rPr>
        <w:t xml:space="preserve"> 3.22 of the </w:t>
      </w:r>
      <w:r w:rsidR="00C657E3" w:rsidRPr="00C10D10">
        <w:rPr>
          <w:rFonts w:ascii="Times New Roman" w:hAnsi="Times New Roman"/>
          <w:sz w:val="24"/>
          <w:szCs w:val="24"/>
        </w:rPr>
        <w:t>GSR Part 3</w:t>
      </w:r>
      <w:r w:rsidRPr="00C10D10">
        <w:rPr>
          <w:rFonts w:ascii="Times New Roman" w:hAnsi="Times New Roman"/>
          <w:sz w:val="24"/>
          <w:szCs w:val="24"/>
        </w:rPr>
        <w:t xml:space="preserve"> </w:t>
      </w:r>
      <w:r w:rsidR="00417BFF">
        <w:rPr>
          <w:rFonts w:ascii="Times New Roman" w:hAnsi="Times New Roman"/>
          <w:sz w:val="24"/>
          <w:szCs w:val="24"/>
        </w:rPr>
        <w:t>[3]</w:t>
      </w:r>
      <w:r w:rsidRPr="00C10D10">
        <w:rPr>
          <w:rFonts w:ascii="Times New Roman" w:hAnsi="Times New Roman"/>
          <w:sz w:val="24"/>
          <w:szCs w:val="24"/>
        </w:rPr>
        <w:t xml:space="preserve"> states</w:t>
      </w:r>
      <w:r w:rsidR="00E57757">
        <w:rPr>
          <w:rFonts w:ascii="Times New Roman" w:hAnsi="Times New Roman"/>
          <w:sz w:val="24"/>
          <w:szCs w:val="24"/>
        </w:rPr>
        <w:t xml:space="preserve"> that</w:t>
      </w:r>
      <w:r w:rsidRPr="00C10D10">
        <w:rPr>
          <w:rFonts w:ascii="Times New Roman" w:hAnsi="Times New Roman"/>
          <w:sz w:val="24"/>
          <w:szCs w:val="24"/>
        </w:rPr>
        <w:t xml:space="preserve"> “</w:t>
      </w:r>
      <w:r w:rsidR="00E57757">
        <w:rPr>
          <w:rFonts w:ascii="Times New Roman" w:hAnsi="Times New Roman"/>
          <w:sz w:val="24"/>
          <w:szCs w:val="24"/>
        </w:rPr>
        <w:t>T</w:t>
      </w:r>
      <w:r w:rsidRPr="00C10D10">
        <w:rPr>
          <w:rFonts w:ascii="Times New Roman" w:hAnsi="Times New Roman"/>
          <w:sz w:val="24"/>
          <w:szCs w:val="24"/>
        </w:rPr>
        <w:t xml:space="preserve">he government or </w:t>
      </w:r>
      <w:r w:rsidR="00E57757">
        <w:rPr>
          <w:rFonts w:ascii="Times New Roman" w:hAnsi="Times New Roman"/>
          <w:sz w:val="24"/>
          <w:szCs w:val="24"/>
        </w:rPr>
        <w:t xml:space="preserve">the </w:t>
      </w:r>
      <w:r w:rsidRPr="00C10D10">
        <w:rPr>
          <w:rFonts w:ascii="Times New Roman" w:hAnsi="Times New Roman"/>
          <w:sz w:val="24"/>
          <w:szCs w:val="24"/>
        </w:rPr>
        <w:t>regulatory body … shall establish or approve constraints on dose… or shall establish or approve a process for establishing such constraints, to be used in the context of optimization of protection</w:t>
      </w:r>
      <w:r w:rsidR="00004A31" w:rsidRPr="00C10D10">
        <w:rPr>
          <w:rFonts w:ascii="Times New Roman" w:hAnsi="Times New Roman"/>
          <w:sz w:val="24"/>
          <w:szCs w:val="24"/>
        </w:rPr>
        <w:t xml:space="preserve"> and safety</w:t>
      </w:r>
      <w:r w:rsidRPr="00C10D10">
        <w:rPr>
          <w:rFonts w:ascii="Times New Roman" w:hAnsi="Times New Roman"/>
          <w:sz w:val="24"/>
          <w:szCs w:val="24"/>
        </w:rPr>
        <w:t>”.</w:t>
      </w:r>
    </w:p>
    <w:p w:rsidR="000409D7" w:rsidRPr="00C10D10" w:rsidRDefault="000409D7" w:rsidP="00E506FE">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Requirement 11 of </w:t>
      </w:r>
      <w:r w:rsidR="00C657E3" w:rsidRPr="00C10D10">
        <w:rPr>
          <w:rFonts w:ascii="Times New Roman" w:hAnsi="Times New Roman"/>
          <w:sz w:val="24"/>
          <w:szCs w:val="24"/>
        </w:rPr>
        <w:t>GSR Part 3</w:t>
      </w:r>
      <w:r w:rsidRPr="00C10D10">
        <w:rPr>
          <w:rFonts w:ascii="Times New Roman" w:hAnsi="Times New Roman"/>
          <w:sz w:val="24"/>
          <w:szCs w:val="24"/>
        </w:rPr>
        <w:t xml:space="preserve"> </w:t>
      </w:r>
      <w:r w:rsidR="00417BFF">
        <w:rPr>
          <w:rFonts w:ascii="Times New Roman" w:hAnsi="Times New Roman"/>
          <w:sz w:val="24"/>
          <w:szCs w:val="24"/>
        </w:rPr>
        <w:t>[3]</w:t>
      </w:r>
      <w:r w:rsidRPr="00C10D10">
        <w:rPr>
          <w:rFonts w:ascii="Times New Roman" w:hAnsi="Times New Roman"/>
          <w:sz w:val="24"/>
          <w:szCs w:val="24"/>
        </w:rPr>
        <w:t xml:space="preserve"> states</w:t>
      </w:r>
      <w:r w:rsidR="00E57757">
        <w:rPr>
          <w:rFonts w:ascii="Times New Roman" w:hAnsi="Times New Roman"/>
          <w:sz w:val="24"/>
          <w:szCs w:val="24"/>
        </w:rPr>
        <w:t xml:space="preserve"> that</w:t>
      </w:r>
      <w:r w:rsidRPr="00C10D10">
        <w:rPr>
          <w:rFonts w:ascii="Times New Roman" w:hAnsi="Times New Roman"/>
          <w:sz w:val="24"/>
          <w:szCs w:val="24"/>
        </w:rPr>
        <w:t xml:space="preserve"> “</w:t>
      </w:r>
      <w:r w:rsidR="00E57757">
        <w:rPr>
          <w:rFonts w:ascii="Times New Roman" w:hAnsi="Times New Roman"/>
          <w:sz w:val="24"/>
          <w:szCs w:val="24"/>
        </w:rPr>
        <w:t>T</w:t>
      </w:r>
      <w:r w:rsidRPr="00C10D10">
        <w:rPr>
          <w:rFonts w:ascii="Times New Roman" w:hAnsi="Times New Roman"/>
          <w:sz w:val="24"/>
          <w:szCs w:val="24"/>
        </w:rPr>
        <w:t xml:space="preserve">he government or </w:t>
      </w:r>
      <w:r w:rsidR="00E57757">
        <w:rPr>
          <w:rFonts w:ascii="Times New Roman" w:hAnsi="Times New Roman"/>
          <w:sz w:val="24"/>
          <w:szCs w:val="24"/>
        </w:rPr>
        <w:t xml:space="preserve">the </w:t>
      </w:r>
      <w:r w:rsidRPr="00C10D10">
        <w:rPr>
          <w:rFonts w:ascii="Times New Roman" w:hAnsi="Times New Roman"/>
          <w:sz w:val="24"/>
          <w:szCs w:val="24"/>
        </w:rPr>
        <w:t xml:space="preserve">regulatory body shall establish and enforce requirements for the optimization of protection and safety, and registrants and licensees shall ensure that protection and safety is optimized”. </w:t>
      </w:r>
    </w:p>
    <w:p w:rsidR="000409D7" w:rsidRPr="00C10D10" w:rsidRDefault="004049CE" w:rsidP="00C30551">
      <w:pPr>
        <w:numPr>
          <w:ilvl w:val="0"/>
          <w:numId w:val="3"/>
        </w:numPr>
        <w:autoSpaceDE w:val="0"/>
        <w:autoSpaceDN w:val="0"/>
        <w:adjustRightInd w:val="0"/>
        <w:spacing w:before="120" w:line="360" w:lineRule="auto"/>
        <w:jc w:val="both"/>
        <w:rPr>
          <w:rFonts w:ascii="Times New Roman" w:hAnsi="Times New Roman"/>
          <w:sz w:val="24"/>
          <w:szCs w:val="24"/>
        </w:rPr>
      </w:pPr>
      <w:r>
        <w:rPr>
          <w:rFonts w:ascii="Times New Roman" w:hAnsi="Times New Roman"/>
          <w:sz w:val="24"/>
          <w:szCs w:val="24"/>
        </w:rPr>
        <w:t xml:space="preserve">Paragraph 3.126 </w:t>
      </w:r>
      <w:r w:rsidR="00E57757">
        <w:rPr>
          <w:rFonts w:ascii="Times New Roman" w:hAnsi="Times New Roman"/>
          <w:sz w:val="24"/>
          <w:szCs w:val="24"/>
        </w:rPr>
        <w:t>of</w:t>
      </w:r>
      <w:r w:rsidR="00E57757" w:rsidRPr="00C10D10">
        <w:rPr>
          <w:rFonts w:ascii="Times New Roman" w:hAnsi="Times New Roman"/>
          <w:sz w:val="24"/>
          <w:szCs w:val="24"/>
        </w:rPr>
        <w:t xml:space="preserve"> </w:t>
      </w:r>
      <w:r w:rsidR="00C657E3" w:rsidRPr="00C10D10">
        <w:rPr>
          <w:rFonts w:ascii="Times New Roman" w:hAnsi="Times New Roman"/>
          <w:sz w:val="24"/>
          <w:szCs w:val="24"/>
        </w:rPr>
        <w:t>GSR Part 3</w:t>
      </w:r>
      <w:r w:rsidR="0000686C" w:rsidRPr="00C10D10">
        <w:rPr>
          <w:rFonts w:ascii="Times New Roman" w:hAnsi="Times New Roman"/>
          <w:sz w:val="24"/>
          <w:szCs w:val="24"/>
        </w:rPr>
        <w:t xml:space="preserve"> </w:t>
      </w:r>
      <w:r w:rsidR="00417BFF">
        <w:rPr>
          <w:rFonts w:ascii="Times New Roman" w:hAnsi="Times New Roman"/>
          <w:sz w:val="24"/>
          <w:szCs w:val="24"/>
        </w:rPr>
        <w:t>[3]</w:t>
      </w:r>
      <w:r w:rsidR="00DB1E44" w:rsidRPr="00C10D10">
        <w:rPr>
          <w:rFonts w:ascii="Times New Roman" w:hAnsi="Times New Roman"/>
          <w:sz w:val="24"/>
          <w:szCs w:val="24"/>
        </w:rPr>
        <w:t xml:space="preserve"> </w:t>
      </w:r>
      <w:r w:rsidR="000409D7" w:rsidRPr="00C10D10">
        <w:rPr>
          <w:rFonts w:ascii="Times New Roman" w:hAnsi="Times New Roman"/>
          <w:sz w:val="24"/>
          <w:szCs w:val="24"/>
        </w:rPr>
        <w:t xml:space="preserve">specifies that the following </w:t>
      </w:r>
      <w:r>
        <w:rPr>
          <w:rFonts w:ascii="Times New Roman" w:hAnsi="Times New Roman"/>
          <w:sz w:val="24"/>
          <w:szCs w:val="24"/>
        </w:rPr>
        <w:t>are required to</w:t>
      </w:r>
      <w:r w:rsidRPr="00C10D10">
        <w:rPr>
          <w:rFonts w:ascii="Times New Roman" w:hAnsi="Times New Roman"/>
          <w:sz w:val="24"/>
          <w:szCs w:val="24"/>
        </w:rPr>
        <w:t xml:space="preserve"> </w:t>
      </w:r>
      <w:r w:rsidR="000409D7" w:rsidRPr="00C10D10">
        <w:rPr>
          <w:rFonts w:ascii="Times New Roman" w:hAnsi="Times New Roman"/>
          <w:sz w:val="24"/>
          <w:szCs w:val="24"/>
        </w:rPr>
        <w:t>be taken into account</w:t>
      </w:r>
      <w:r>
        <w:rPr>
          <w:rFonts w:ascii="Times New Roman" w:hAnsi="Times New Roman"/>
          <w:sz w:val="24"/>
          <w:szCs w:val="24"/>
        </w:rPr>
        <w:t xml:space="preserve"> i</w:t>
      </w:r>
      <w:r w:rsidRPr="00C10D10">
        <w:rPr>
          <w:rFonts w:ascii="Times New Roman" w:hAnsi="Times New Roman"/>
          <w:sz w:val="24"/>
          <w:szCs w:val="24"/>
        </w:rPr>
        <w:t>n applying the principle of optimization of protection and safety in relation to public exposure</w:t>
      </w:r>
      <w:r w:rsidR="000409D7" w:rsidRPr="00C10D10">
        <w:rPr>
          <w:rFonts w:ascii="Times New Roman" w:hAnsi="Times New Roman"/>
          <w:sz w:val="24"/>
          <w:szCs w:val="24"/>
        </w:rPr>
        <w:t>:</w:t>
      </w:r>
    </w:p>
    <w:p w:rsidR="000409D7" w:rsidRPr="00C10D10" w:rsidRDefault="002C1CD8" w:rsidP="0091132F">
      <w:pPr>
        <w:pStyle w:val="ListNumber2"/>
        <w:numPr>
          <w:ilvl w:val="0"/>
          <w:numId w:val="22"/>
        </w:numPr>
        <w:ind w:left="567" w:hanging="567"/>
      </w:pPr>
      <w:r w:rsidRPr="00C10D10">
        <w:t>“</w:t>
      </w:r>
      <w:r w:rsidR="000409D7" w:rsidRPr="00C10D10">
        <w:t xml:space="preserve">Possible changes in any conditions that could affect exposure of members of the public, such as changes in the </w:t>
      </w:r>
      <w:r w:rsidR="000409D7" w:rsidRPr="00E506FE">
        <w:t>characteristics</w:t>
      </w:r>
      <w:r w:rsidR="000409D7" w:rsidRPr="00C10D10">
        <w:t xml:space="preserve"> and use of the source, changes in environmental dispersion conditions, changes in exposure pathways or changes in values of parameters used for the determination of the representative person</w:t>
      </w:r>
      <w:r w:rsidR="00790224" w:rsidRPr="00C10D10">
        <w:t>;</w:t>
      </w:r>
    </w:p>
    <w:p w:rsidR="000409D7" w:rsidRPr="00C10D10" w:rsidRDefault="000409D7" w:rsidP="004049CE">
      <w:pPr>
        <w:pStyle w:val="ListNumber2"/>
        <w:numPr>
          <w:ilvl w:val="0"/>
          <w:numId w:val="22"/>
        </w:numPr>
        <w:ind w:left="567" w:hanging="567"/>
      </w:pPr>
      <w:r w:rsidRPr="00C10D10">
        <w:t xml:space="preserve">Good practice in the operation of similar </w:t>
      </w:r>
      <w:r w:rsidRPr="00E506FE">
        <w:t>sources</w:t>
      </w:r>
      <w:r w:rsidRPr="00C10D10">
        <w:t xml:space="preserve"> or the conduct of similar practices;</w:t>
      </w:r>
    </w:p>
    <w:p w:rsidR="000409D7" w:rsidRPr="00C10D10" w:rsidRDefault="000409D7" w:rsidP="004049CE">
      <w:pPr>
        <w:pStyle w:val="ListNumber2"/>
        <w:numPr>
          <w:ilvl w:val="0"/>
          <w:numId w:val="22"/>
        </w:numPr>
        <w:ind w:left="567" w:hanging="567"/>
      </w:pPr>
      <w:r w:rsidRPr="00C10D10">
        <w:t xml:space="preserve">Possible </w:t>
      </w:r>
      <w:proofErr w:type="spellStart"/>
      <w:r w:rsidR="003849E5" w:rsidRPr="00C10D10">
        <w:t>buildup</w:t>
      </w:r>
      <w:proofErr w:type="spellEnd"/>
      <w:r w:rsidRPr="00C10D10">
        <w:t xml:space="preserve"> and accumulation in the environment of radioactive substances from discharges during the lifetime of the source;</w:t>
      </w:r>
    </w:p>
    <w:p w:rsidR="000409D7" w:rsidRPr="00C10D10" w:rsidRDefault="000409D7" w:rsidP="004049CE">
      <w:pPr>
        <w:pStyle w:val="ListNumber2"/>
        <w:numPr>
          <w:ilvl w:val="0"/>
          <w:numId w:val="22"/>
        </w:numPr>
        <w:ind w:left="567" w:hanging="567"/>
      </w:pPr>
      <w:r w:rsidRPr="00C10D10">
        <w:t>Uncertainties in the assessment of doses, especially uncertainties in contributions to doses if the source and the representative person are separated in space or in time</w:t>
      </w:r>
      <w:r w:rsidR="002C1CD8" w:rsidRPr="00C10D10">
        <w:t>”</w:t>
      </w:r>
      <w:r w:rsidRPr="00C10D10">
        <w:t>.</w:t>
      </w:r>
    </w:p>
    <w:p w:rsidR="000409D7" w:rsidRPr="00C10D10" w:rsidRDefault="00D327F9" w:rsidP="00C30551">
      <w:pPr>
        <w:pStyle w:val="Heading2"/>
        <w:rPr>
          <w:caps w:val="0"/>
          <w:lang w:val="en-GB"/>
        </w:rPr>
      </w:pPr>
      <w:bookmarkStart w:id="28" w:name="_Toc452966941"/>
      <w:r w:rsidRPr="00C10D10">
        <w:rPr>
          <w:caps w:val="0"/>
          <w:lang w:val="en-GB"/>
        </w:rPr>
        <w:t>AUTHORIZATION</w:t>
      </w:r>
      <w:bookmarkEnd w:id="28"/>
    </w:p>
    <w:p w:rsidR="00276D86" w:rsidRPr="00C10D10" w:rsidRDefault="00276D86" w:rsidP="00C30551">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Paragraph 3.132 </w:t>
      </w:r>
      <w:r w:rsidR="00AA22E3" w:rsidRPr="00C10D10">
        <w:rPr>
          <w:rFonts w:ascii="Times New Roman" w:hAnsi="Times New Roman"/>
          <w:sz w:val="24"/>
          <w:szCs w:val="24"/>
        </w:rPr>
        <w:t xml:space="preserve">in </w:t>
      </w:r>
      <w:r w:rsidR="00C657E3" w:rsidRPr="00C10D10">
        <w:rPr>
          <w:rFonts w:ascii="Times New Roman" w:hAnsi="Times New Roman"/>
          <w:sz w:val="24"/>
          <w:szCs w:val="24"/>
        </w:rPr>
        <w:t>GSR Part 3</w:t>
      </w:r>
      <w:r w:rsidR="00AA22E3" w:rsidRPr="00C10D10">
        <w:rPr>
          <w:rFonts w:ascii="Times New Roman" w:hAnsi="Times New Roman"/>
          <w:sz w:val="24"/>
          <w:szCs w:val="24"/>
        </w:rPr>
        <w:t xml:space="preserve"> </w:t>
      </w:r>
      <w:r w:rsidR="00417BFF">
        <w:rPr>
          <w:rFonts w:ascii="Times New Roman" w:hAnsi="Times New Roman"/>
          <w:sz w:val="24"/>
          <w:szCs w:val="24"/>
        </w:rPr>
        <w:t>[3]</w:t>
      </w:r>
      <w:r w:rsidR="00DB1E44" w:rsidRPr="00C10D10">
        <w:rPr>
          <w:rFonts w:ascii="Times New Roman" w:hAnsi="Times New Roman"/>
          <w:sz w:val="24"/>
          <w:szCs w:val="24"/>
        </w:rPr>
        <w:t xml:space="preserve"> </w:t>
      </w:r>
      <w:r w:rsidR="008B09DB">
        <w:rPr>
          <w:rFonts w:ascii="Times New Roman" w:hAnsi="Times New Roman"/>
          <w:sz w:val="24"/>
          <w:szCs w:val="24"/>
        </w:rPr>
        <w:t>establishes</w:t>
      </w:r>
      <w:r w:rsidRPr="00C10D10">
        <w:rPr>
          <w:rFonts w:ascii="Times New Roman" w:hAnsi="Times New Roman"/>
          <w:sz w:val="24"/>
          <w:szCs w:val="24"/>
        </w:rPr>
        <w:t xml:space="preserve"> requirements regarding discharges that underpin the </w:t>
      </w:r>
      <w:r w:rsidR="008B09DB">
        <w:rPr>
          <w:rFonts w:ascii="Times New Roman" w:hAnsi="Times New Roman"/>
          <w:sz w:val="24"/>
          <w:szCs w:val="24"/>
        </w:rPr>
        <w:t>recommendations provided in this Safety Guide</w:t>
      </w:r>
      <w:r w:rsidRPr="00C10D10">
        <w:rPr>
          <w:rFonts w:ascii="Times New Roman" w:hAnsi="Times New Roman"/>
          <w:sz w:val="24"/>
          <w:szCs w:val="24"/>
        </w:rPr>
        <w:t>. It states that</w:t>
      </w:r>
      <w:r w:rsidR="00A31A96" w:rsidRPr="00C10D10">
        <w:rPr>
          <w:rFonts w:ascii="Times New Roman" w:hAnsi="Times New Roman"/>
          <w:sz w:val="24"/>
          <w:szCs w:val="24"/>
        </w:rPr>
        <w:t xml:space="preserve"> </w:t>
      </w:r>
      <w:r w:rsidR="002C1CD8" w:rsidRPr="00C10D10">
        <w:rPr>
          <w:rFonts w:ascii="Times New Roman" w:hAnsi="Times New Roman"/>
          <w:sz w:val="24"/>
          <w:szCs w:val="24"/>
        </w:rPr>
        <w:t>“</w:t>
      </w:r>
      <w:r w:rsidRPr="00C10D10">
        <w:rPr>
          <w:rFonts w:ascii="Times New Roman" w:hAnsi="Times New Roman"/>
          <w:sz w:val="24"/>
          <w:szCs w:val="24"/>
        </w:rPr>
        <w:t xml:space="preserve">Registrants and licensees, in cooperation with suppliers, in applying for an </w:t>
      </w:r>
      <w:r w:rsidRPr="0036548F">
        <w:rPr>
          <w:rFonts w:ascii="Times New Roman" w:hAnsi="Times New Roman"/>
          <w:sz w:val="24"/>
          <w:szCs w:val="24"/>
        </w:rPr>
        <w:t>authorization for discharges</w:t>
      </w:r>
      <w:r w:rsidRPr="00C10D10">
        <w:rPr>
          <w:rFonts w:ascii="Times New Roman" w:hAnsi="Times New Roman"/>
          <w:sz w:val="24"/>
          <w:szCs w:val="24"/>
        </w:rPr>
        <w:t xml:space="preserve">, as appropriate: </w:t>
      </w:r>
    </w:p>
    <w:p w:rsidR="00276D86" w:rsidRPr="00C10D10" w:rsidRDefault="00276D86" w:rsidP="0091132F">
      <w:pPr>
        <w:pStyle w:val="ListNumber2"/>
        <w:numPr>
          <w:ilvl w:val="0"/>
          <w:numId w:val="23"/>
        </w:numPr>
        <w:ind w:left="567" w:hanging="567"/>
      </w:pPr>
      <w:r w:rsidRPr="00C10D10">
        <w:t>Shall determine the characteristics and activity of the material to be discharged, and the possible points and methods of discharge;</w:t>
      </w:r>
    </w:p>
    <w:p w:rsidR="00276D86" w:rsidRPr="00C10D10" w:rsidRDefault="00276D86" w:rsidP="008B09DB">
      <w:pPr>
        <w:pStyle w:val="ListNumber2"/>
        <w:numPr>
          <w:ilvl w:val="0"/>
          <w:numId w:val="23"/>
        </w:numPr>
        <w:ind w:left="567" w:hanging="567"/>
      </w:pPr>
      <w:r w:rsidRPr="00C10D10">
        <w:lastRenderedPageBreak/>
        <w:t>Shall determine by an appropriate pre-operational study all significant exposure pathways by which discharged radionuclides could give rise to exposure of members of the public;</w:t>
      </w:r>
    </w:p>
    <w:p w:rsidR="00276D86" w:rsidRPr="00C10D10" w:rsidRDefault="00276D86" w:rsidP="008B09DB">
      <w:pPr>
        <w:pStyle w:val="ListNumber2"/>
        <w:numPr>
          <w:ilvl w:val="0"/>
          <w:numId w:val="23"/>
        </w:numPr>
        <w:ind w:left="567" w:hanging="567"/>
      </w:pPr>
      <w:r w:rsidRPr="00C10D10">
        <w:t xml:space="preserve">Shall assess </w:t>
      </w:r>
      <w:r w:rsidR="00477A00">
        <w:t xml:space="preserve">the </w:t>
      </w:r>
      <w:r w:rsidRPr="00C10D10">
        <w:t>doses to the representative person due to the planned discharges;</w:t>
      </w:r>
    </w:p>
    <w:p w:rsidR="00276D86" w:rsidRPr="00C10D10" w:rsidRDefault="00276D86" w:rsidP="008B09DB">
      <w:pPr>
        <w:pStyle w:val="ListNumber2"/>
        <w:numPr>
          <w:ilvl w:val="0"/>
          <w:numId w:val="23"/>
        </w:numPr>
        <w:ind w:left="567" w:hanging="567"/>
      </w:pPr>
      <w:r w:rsidRPr="00C10D10">
        <w:t>Shall consider the radiological environmental impacts in an integrated manner with features of the system of protection and safety, as required by the regulatory body;</w:t>
      </w:r>
    </w:p>
    <w:p w:rsidR="00B71280" w:rsidRPr="00C10D10" w:rsidRDefault="00276D86" w:rsidP="008B09DB">
      <w:pPr>
        <w:pStyle w:val="ListNumber2"/>
        <w:numPr>
          <w:ilvl w:val="0"/>
          <w:numId w:val="23"/>
        </w:numPr>
        <w:ind w:left="567" w:hanging="567"/>
      </w:pPr>
      <w:r w:rsidRPr="00C10D10">
        <w:t xml:space="preserve">Shall submit to the regulatory body the findings of (a) </w:t>
      </w:r>
      <w:r w:rsidR="00231659">
        <w:noBreakHyphen/>
      </w:r>
      <w:r w:rsidR="000649F6">
        <w:t xml:space="preserve"> </w:t>
      </w:r>
      <w:r w:rsidRPr="00C10D10">
        <w:t>(d) above as an input to the establishment by the regulatory body, in accordance with para</w:t>
      </w:r>
      <w:r w:rsidR="008B09DB">
        <w:t>.</w:t>
      </w:r>
      <w:r w:rsidRPr="00C10D10">
        <w:t xml:space="preserve"> 3.123, of authorized limits on discharges and conditions for their implementation</w:t>
      </w:r>
      <w:r w:rsidR="002C1CD8" w:rsidRPr="00C10D10">
        <w:t>”</w:t>
      </w:r>
      <w:r w:rsidRPr="00C10D10">
        <w:t>.</w:t>
      </w:r>
    </w:p>
    <w:p w:rsidR="003F64AA" w:rsidRPr="00C10D10" w:rsidRDefault="008B09DB" w:rsidP="00C30551">
      <w:pPr>
        <w:numPr>
          <w:ilvl w:val="0"/>
          <w:numId w:val="3"/>
        </w:numPr>
        <w:autoSpaceDE w:val="0"/>
        <w:autoSpaceDN w:val="0"/>
        <w:adjustRightInd w:val="0"/>
        <w:spacing w:before="120" w:line="360" w:lineRule="auto"/>
        <w:jc w:val="both"/>
        <w:rPr>
          <w:rFonts w:ascii="Times New Roman" w:hAnsi="Times New Roman"/>
          <w:sz w:val="24"/>
          <w:szCs w:val="24"/>
        </w:rPr>
      </w:pPr>
      <w:r>
        <w:rPr>
          <w:rFonts w:ascii="Times New Roman" w:hAnsi="Times New Roman"/>
          <w:sz w:val="24"/>
          <w:szCs w:val="24"/>
        </w:rPr>
        <w:t xml:space="preserve">Paragraph 3.123 of </w:t>
      </w:r>
      <w:r w:rsidR="00C657E3" w:rsidRPr="00C10D10">
        <w:rPr>
          <w:rFonts w:ascii="Times New Roman" w:hAnsi="Times New Roman"/>
          <w:sz w:val="24"/>
          <w:szCs w:val="24"/>
        </w:rPr>
        <w:t>GSR Part 3</w:t>
      </w:r>
      <w:r w:rsidR="003F64AA" w:rsidRPr="00C10D10">
        <w:rPr>
          <w:rFonts w:ascii="Times New Roman" w:hAnsi="Times New Roman"/>
          <w:sz w:val="24"/>
          <w:szCs w:val="24"/>
        </w:rPr>
        <w:t xml:space="preserve"> </w:t>
      </w:r>
      <w:r w:rsidR="00417BFF">
        <w:rPr>
          <w:rFonts w:ascii="Times New Roman" w:hAnsi="Times New Roman"/>
          <w:sz w:val="24"/>
          <w:szCs w:val="24"/>
        </w:rPr>
        <w:t>[3]</w:t>
      </w:r>
      <w:r w:rsidR="00397F5B" w:rsidRPr="00C10D10">
        <w:rPr>
          <w:rFonts w:ascii="Times New Roman" w:hAnsi="Times New Roman"/>
          <w:sz w:val="24"/>
          <w:szCs w:val="24"/>
        </w:rPr>
        <w:t xml:space="preserve"> </w:t>
      </w:r>
      <w:r>
        <w:rPr>
          <w:rFonts w:ascii="Times New Roman" w:hAnsi="Times New Roman"/>
          <w:sz w:val="24"/>
          <w:szCs w:val="24"/>
        </w:rPr>
        <w:t>establishes</w:t>
      </w:r>
      <w:r w:rsidR="003F64AA" w:rsidRPr="00C10D10">
        <w:rPr>
          <w:rFonts w:ascii="Times New Roman" w:hAnsi="Times New Roman"/>
          <w:sz w:val="24"/>
          <w:szCs w:val="24"/>
        </w:rPr>
        <w:t xml:space="preserve"> the following requirements relat</w:t>
      </w:r>
      <w:r>
        <w:rPr>
          <w:rFonts w:ascii="Times New Roman" w:hAnsi="Times New Roman"/>
          <w:sz w:val="24"/>
          <w:szCs w:val="24"/>
        </w:rPr>
        <w:t>ing</w:t>
      </w:r>
      <w:r w:rsidR="003F64AA" w:rsidRPr="00C10D10">
        <w:rPr>
          <w:rFonts w:ascii="Times New Roman" w:hAnsi="Times New Roman"/>
          <w:sz w:val="24"/>
          <w:szCs w:val="24"/>
        </w:rPr>
        <w:t xml:space="preserve"> to the control of discharges: </w:t>
      </w:r>
      <w:r w:rsidR="002C1CD8" w:rsidRPr="00C10D10">
        <w:rPr>
          <w:rFonts w:ascii="Times New Roman" w:hAnsi="Times New Roman"/>
          <w:sz w:val="24"/>
          <w:szCs w:val="24"/>
        </w:rPr>
        <w:t>“</w:t>
      </w:r>
      <w:r w:rsidR="003F64AA" w:rsidRPr="00C10D10">
        <w:rPr>
          <w:rFonts w:ascii="Times New Roman" w:hAnsi="Times New Roman"/>
          <w:sz w:val="24"/>
          <w:szCs w:val="24"/>
        </w:rPr>
        <w:t>The regulatory body shall establish or approve operational limits and conditions relating to public exposure, including authorized limits for discharges. These operational limits and conditions:</w:t>
      </w:r>
    </w:p>
    <w:p w:rsidR="003F64AA" w:rsidRPr="00C10D10" w:rsidRDefault="003F64AA" w:rsidP="0091132F">
      <w:pPr>
        <w:pStyle w:val="ListNumber2"/>
        <w:numPr>
          <w:ilvl w:val="0"/>
          <w:numId w:val="24"/>
        </w:numPr>
        <w:ind w:left="567" w:hanging="567"/>
      </w:pPr>
      <w:r w:rsidRPr="00C10D10">
        <w:t>Shall be used by registrants and licensees as the criteria for demonstration of compliance after the commencement of operation of a source;</w:t>
      </w:r>
    </w:p>
    <w:p w:rsidR="003F64AA" w:rsidRPr="00C10D10" w:rsidRDefault="003F64AA" w:rsidP="008B09DB">
      <w:pPr>
        <w:pStyle w:val="ListNumber2"/>
        <w:numPr>
          <w:ilvl w:val="0"/>
          <w:numId w:val="24"/>
        </w:numPr>
        <w:ind w:left="567" w:hanging="567"/>
      </w:pPr>
      <w:r w:rsidRPr="00C10D10">
        <w:t>Shall correspond to doses below the dose limits with account taken of the results of optimization of protection and safety;</w:t>
      </w:r>
    </w:p>
    <w:p w:rsidR="003F64AA" w:rsidRPr="00C10D10" w:rsidRDefault="003F64AA" w:rsidP="008B09DB">
      <w:pPr>
        <w:pStyle w:val="ListNumber2"/>
        <w:numPr>
          <w:ilvl w:val="0"/>
          <w:numId w:val="24"/>
        </w:numPr>
        <w:ind w:left="567" w:hanging="567"/>
      </w:pPr>
      <w:r w:rsidRPr="00C10D10">
        <w:t>Shall reflect good practice in the operation of similar facilities or activities;</w:t>
      </w:r>
    </w:p>
    <w:p w:rsidR="003F64AA" w:rsidRPr="00C10D10" w:rsidRDefault="003F64AA" w:rsidP="008B09DB">
      <w:pPr>
        <w:pStyle w:val="ListNumber2"/>
        <w:numPr>
          <w:ilvl w:val="0"/>
          <w:numId w:val="24"/>
        </w:numPr>
        <w:ind w:left="567" w:hanging="567"/>
      </w:pPr>
      <w:r w:rsidRPr="00C10D10">
        <w:t>Shall allow for operational flexibility;</w:t>
      </w:r>
    </w:p>
    <w:p w:rsidR="00276D86" w:rsidRPr="00C10D10" w:rsidRDefault="003F64AA" w:rsidP="008B09DB">
      <w:pPr>
        <w:pStyle w:val="ListNumber2"/>
        <w:numPr>
          <w:ilvl w:val="0"/>
          <w:numId w:val="24"/>
        </w:numPr>
        <w:ind w:left="567" w:hanging="567"/>
      </w:pPr>
      <w:r w:rsidRPr="00C10D10">
        <w:t xml:space="preserve">Shall take into account the results of the assessment of the </w:t>
      </w:r>
      <w:r w:rsidR="0000686C" w:rsidRPr="00C10D10">
        <w:t xml:space="preserve">prospective assessment for </w:t>
      </w:r>
      <w:r w:rsidRPr="00C10D10">
        <w:t>radiological environmental impacts</w:t>
      </w:r>
      <w:r w:rsidR="00E7351C" w:rsidRPr="00C10D10">
        <w:t xml:space="preserve"> </w:t>
      </w:r>
      <w:r w:rsidR="0000686C" w:rsidRPr="00C10D10">
        <w:t xml:space="preserve">that is </w:t>
      </w:r>
      <w:r w:rsidRPr="00C10D10">
        <w:t>undertaken in accordance with national requirements</w:t>
      </w:r>
      <w:r w:rsidR="0000686C" w:rsidRPr="00C10D10">
        <w:t xml:space="preserve"> of the regulatory body</w:t>
      </w:r>
      <w:r w:rsidR="002C1CD8" w:rsidRPr="00C10D10">
        <w:t>”</w:t>
      </w:r>
      <w:r w:rsidRPr="00C10D10">
        <w:t>.</w:t>
      </w:r>
    </w:p>
    <w:p w:rsidR="000409D7" w:rsidRPr="00C10D10" w:rsidRDefault="00D327F9" w:rsidP="00C30551">
      <w:pPr>
        <w:pStyle w:val="Heading2"/>
        <w:rPr>
          <w:caps w:val="0"/>
          <w:lang w:val="en-GB"/>
        </w:rPr>
      </w:pPr>
      <w:bookmarkStart w:id="29" w:name="_Toc452966942"/>
      <w:r w:rsidRPr="00C10D10">
        <w:rPr>
          <w:caps w:val="0"/>
          <w:lang w:val="en-GB"/>
        </w:rPr>
        <w:t xml:space="preserve">DOSE </w:t>
      </w:r>
      <w:r w:rsidR="000F2996">
        <w:rPr>
          <w:caps w:val="0"/>
          <w:lang w:val="en-GB"/>
        </w:rPr>
        <w:t>LIMITATION</w:t>
      </w:r>
      <w:bookmarkEnd w:id="29"/>
    </w:p>
    <w:p w:rsidR="007B6996" w:rsidRPr="00C10D10" w:rsidRDefault="00276D86" w:rsidP="00C30551">
      <w:pPr>
        <w:pStyle w:val="ListParagraph"/>
        <w:numPr>
          <w:ilvl w:val="0"/>
          <w:numId w:val="3"/>
        </w:numPr>
        <w:autoSpaceDE w:val="0"/>
        <w:autoSpaceDN w:val="0"/>
        <w:adjustRightInd w:val="0"/>
        <w:spacing w:before="120"/>
        <w:contextualSpacing w:val="0"/>
        <w:jc w:val="both"/>
        <w:rPr>
          <w:szCs w:val="24"/>
        </w:rPr>
      </w:pPr>
      <w:r w:rsidRPr="00C10D10">
        <w:rPr>
          <w:szCs w:val="24"/>
        </w:rPr>
        <w:t xml:space="preserve">Requirement 12 of </w:t>
      </w:r>
      <w:r w:rsidR="00C657E3" w:rsidRPr="00C10D10">
        <w:rPr>
          <w:szCs w:val="24"/>
        </w:rPr>
        <w:t>GSR Part 3</w:t>
      </w:r>
      <w:r w:rsidRPr="00C10D10">
        <w:rPr>
          <w:szCs w:val="24"/>
        </w:rPr>
        <w:t xml:space="preserve"> </w:t>
      </w:r>
      <w:r w:rsidR="00417BFF">
        <w:rPr>
          <w:szCs w:val="24"/>
        </w:rPr>
        <w:t>[3]</w:t>
      </w:r>
      <w:r w:rsidRPr="00C10D10">
        <w:rPr>
          <w:szCs w:val="24"/>
        </w:rPr>
        <w:t xml:space="preserve"> states</w:t>
      </w:r>
      <w:r w:rsidR="008B09DB">
        <w:rPr>
          <w:szCs w:val="24"/>
        </w:rPr>
        <w:t xml:space="preserve"> that</w:t>
      </w:r>
      <w:r w:rsidRPr="00C10D10">
        <w:rPr>
          <w:szCs w:val="24"/>
        </w:rPr>
        <w:t xml:space="preserve"> “</w:t>
      </w:r>
      <w:r w:rsidR="008B09DB">
        <w:rPr>
          <w:szCs w:val="24"/>
        </w:rPr>
        <w:t>T</w:t>
      </w:r>
      <w:r w:rsidRPr="00C10D10">
        <w:rPr>
          <w:szCs w:val="24"/>
        </w:rPr>
        <w:t xml:space="preserve">he government or </w:t>
      </w:r>
      <w:r w:rsidR="008B09DB">
        <w:rPr>
          <w:szCs w:val="24"/>
        </w:rPr>
        <w:t xml:space="preserve">the </w:t>
      </w:r>
      <w:r w:rsidRPr="00C10D10">
        <w:rPr>
          <w:szCs w:val="24"/>
        </w:rPr>
        <w:t>regulatory body shall establish dose limits for … public exposure, and registrants and licensees shall apply these limits”. Para</w:t>
      </w:r>
      <w:r w:rsidR="008B09DB">
        <w:rPr>
          <w:szCs w:val="24"/>
        </w:rPr>
        <w:t>graph</w:t>
      </w:r>
      <w:r w:rsidRPr="00C10D10">
        <w:rPr>
          <w:szCs w:val="24"/>
        </w:rPr>
        <w:t xml:space="preserve"> 3.26</w:t>
      </w:r>
      <w:r w:rsidR="008B09DB">
        <w:rPr>
          <w:szCs w:val="24"/>
        </w:rPr>
        <w:t xml:space="preserve"> of GSR Part 3 </w:t>
      </w:r>
      <w:r w:rsidR="00417BFF">
        <w:rPr>
          <w:szCs w:val="24"/>
        </w:rPr>
        <w:t>[3]</w:t>
      </w:r>
      <w:r w:rsidRPr="00C10D10">
        <w:rPr>
          <w:szCs w:val="24"/>
        </w:rPr>
        <w:t xml:space="preserve"> goes on to state</w:t>
      </w:r>
      <w:r w:rsidR="008B09DB">
        <w:rPr>
          <w:szCs w:val="24"/>
        </w:rPr>
        <w:t xml:space="preserve"> that</w:t>
      </w:r>
      <w:r w:rsidRPr="00C10D10">
        <w:rPr>
          <w:szCs w:val="24"/>
        </w:rPr>
        <w:t xml:space="preserve"> “</w:t>
      </w:r>
      <w:r w:rsidR="008B09DB">
        <w:rPr>
          <w:szCs w:val="24"/>
        </w:rPr>
        <w:t>T</w:t>
      </w:r>
      <w:r w:rsidRPr="00C10D10">
        <w:rPr>
          <w:szCs w:val="24"/>
        </w:rPr>
        <w:t>he regulatory body shall enforce compliance with the dose limits … for public exposures in planned exposure situations”.</w:t>
      </w:r>
    </w:p>
    <w:p w:rsidR="000409D7" w:rsidRPr="00C10D10" w:rsidRDefault="00C30551" w:rsidP="00C30551">
      <w:pPr>
        <w:pStyle w:val="Heading2"/>
        <w:rPr>
          <w:caps w:val="0"/>
          <w:lang w:val="en-GB"/>
        </w:rPr>
      </w:pPr>
      <w:bookmarkStart w:id="30" w:name="_Toc452966943"/>
      <w:r w:rsidRPr="00C10D10">
        <w:rPr>
          <w:caps w:val="0"/>
          <w:lang w:val="en-GB"/>
        </w:rPr>
        <w:t>TRAN</w:t>
      </w:r>
      <w:r w:rsidR="00790224" w:rsidRPr="00C10D10">
        <w:rPr>
          <w:caps w:val="0"/>
          <w:lang w:val="en-GB"/>
        </w:rPr>
        <w:t>S</w:t>
      </w:r>
      <w:r w:rsidRPr="00C10D10">
        <w:rPr>
          <w:caps w:val="0"/>
          <w:lang w:val="en-GB"/>
        </w:rPr>
        <w:t>BOUNDARY IMPACTS</w:t>
      </w:r>
      <w:bookmarkEnd w:id="30"/>
    </w:p>
    <w:p w:rsidR="005756BE" w:rsidRDefault="00720BDF" w:rsidP="002E2478">
      <w:pPr>
        <w:pStyle w:val="ListParagraph"/>
        <w:numPr>
          <w:ilvl w:val="0"/>
          <w:numId w:val="3"/>
        </w:numPr>
        <w:autoSpaceDE w:val="0"/>
        <w:autoSpaceDN w:val="0"/>
        <w:adjustRightInd w:val="0"/>
        <w:spacing w:before="120"/>
        <w:contextualSpacing w:val="0"/>
        <w:jc w:val="both"/>
        <w:rPr>
          <w:szCs w:val="24"/>
        </w:rPr>
      </w:pPr>
      <w:r>
        <w:rPr>
          <w:szCs w:val="24"/>
        </w:rPr>
        <w:t>P</w:t>
      </w:r>
      <w:r w:rsidRPr="00C10D10">
        <w:rPr>
          <w:szCs w:val="24"/>
        </w:rPr>
        <w:t>ara</w:t>
      </w:r>
      <w:r w:rsidR="008B09DB">
        <w:rPr>
          <w:szCs w:val="24"/>
        </w:rPr>
        <w:t>graph</w:t>
      </w:r>
      <w:r w:rsidRPr="00C10D10">
        <w:rPr>
          <w:szCs w:val="24"/>
        </w:rPr>
        <w:t xml:space="preserve"> 3.124</w:t>
      </w:r>
      <w:r>
        <w:rPr>
          <w:szCs w:val="24"/>
        </w:rPr>
        <w:t xml:space="preserve"> of </w:t>
      </w:r>
      <w:r w:rsidR="00C657E3" w:rsidRPr="00C10D10">
        <w:rPr>
          <w:szCs w:val="24"/>
        </w:rPr>
        <w:t>GSR Part 3</w:t>
      </w:r>
      <w:r w:rsidR="003F64AA" w:rsidRPr="00C10D10">
        <w:rPr>
          <w:szCs w:val="24"/>
        </w:rPr>
        <w:t xml:space="preserve"> </w:t>
      </w:r>
      <w:r w:rsidR="00417BFF">
        <w:rPr>
          <w:szCs w:val="24"/>
        </w:rPr>
        <w:t>[3]</w:t>
      </w:r>
      <w:r>
        <w:rPr>
          <w:szCs w:val="24"/>
        </w:rPr>
        <w:t xml:space="preserve"> </w:t>
      </w:r>
      <w:r w:rsidR="008B09DB">
        <w:rPr>
          <w:szCs w:val="24"/>
        </w:rPr>
        <w:t>establishes</w:t>
      </w:r>
      <w:r w:rsidR="003F64AA" w:rsidRPr="00C10D10">
        <w:rPr>
          <w:szCs w:val="24"/>
        </w:rPr>
        <w:t xml:space="preserve"> requirements for the</w:t>
      </w:r>
      <w:r w:rsidR="00AC33D8" w:rsidRPr="00C10D10">
        <w:rPr>
          <w:szCs w:val="24"/>
        </w:rPr>
        <w:t xml:space="preserve"> assessment </w:t>
      </w:r>
      <w:r w:rsidR="005756BE">
        <w:rPr>
          <w:szCs w:val="24"/>
        </w:rPr>
        <w:t>for</w:t>
      </w:r>
      <w:r w:rsidR="005756BE" w:rsidRPr="00C10D10">
        <w:rPr>
          <w:szCs w:val="24"/>
        </w:rPr>
        <w:t xml:space="preserve"> </w:t>
      </w:r>
      <w:r w:rsidR="00AC33D8" w:rsidRPr="00C10D10">
        <w:rPr>
          <w:szCs w:val="24"/>
        </w:rPr>
        <w:t>radiological impacts and the</w:t>
      </w:r>
      <w:r w:rsidR="003F64AA" w:rsidRPr="00C10D10">
        <w:rPr>
          <w:szCs w:val="24"/>
        </w:rPr>
        <w:t xml:space="preserve"> control of discharges whe</w:t>
      </w:r>
      <w:r w:rsidR="002E2478" w:rsidRPr="00C10D10">
        <w:rPr>
          <w:szCs w:val="24"/>
        </w:rPr>
        <w:t xml:space="preserve">n a source within a practice could cause </w:t>
      </w:r>
      <w:r w:rsidR="003F64AA" w:rsidRPr="00C10D10">
        <w:rPr>
          <w:szCs w:val="24"/>
        </w:rPr>
        <w:lastRenderedPageBreak/>
        <w:t>public exposure outside the territory or other area under the jurisdiction of control of the State in which the source is located</w:t>
      </w:r>
      <w:r w:rsidR="00AC33D8" w:rsidRPr="00C10D10">
        <w:rPr>
          <w:szCs w:val="24"/>
        </w:rPr>
        <w:t>.</w:t>
      </w:r>
      <w:r w:rsidR="00E7351C" w:rsidRPr="00C10D10">
        <w:rPr>
          <w:szCs w:val="24"/>
        </w:rPr>
        <w:t xml:space="preserve"> </w:t>
      </w:r>
      <w:r w:rsidR="00AC33D8" w:rsidRPr="00C10D10">
        <w:rPr>
          <w:szCs w:val="24"/>
        </w:rPr>
        <w:t xml:space="preserve">In </w:t>
      </w:r>
      <w:r w:rsidR="005756BE">
        <w:rPr>
          <w:szCs w:val="24"/>
        </w:rPr>
        <w:t>such</w:t>
      </w:r>
      <w:r w:rsidR="005756BE" w:rsidRPr="00C10D10">
        <w:rPr>
          <w:szCs w:val="24"/>
        </w:rPr>
        <w:t xml:space="preserve"> </w:t>
      </w:r>
      <w:r w:rsidR="00AC33D8" w:rsidRPr="00C10D10">
        <w:rPr>
          <w:szCs w:val="24"/>
        </w:rPr>
        <w:t>situation</w:t>
      </w:r>
      <w:r w:rsidR="005756BE">
        <w:rPr>
          <w:szCs w:val="24"/>
        </w:rPr>
        <w:t>s</w:t>
      </w:r>
      <w:r w:rsidR="00AC33D8" w:rsidRPr="00C10D10">
        <w:rPr>
          <w:szCs w:val="24"/>
        </w:rPr>
        <w:t xml:space="preserve">, </w:t>
      </w:r>
      <w:r w:rsidR="005756BE">
        <w:rPr>
          <w:szCs w:val="24"/>
        </w:rPr>
        <w:t>“the government or the regulatory body</w:t>
      </w:r>
    </w:p>
    <w:p w:rsidR="005756BE" w:rsidRDefault="005756BE" w:rsidP="0036548F">
      <w:pPr>
        <w:pStyle w:val="ListParagraph"/>
        <w:autoSpaceDE w:val="0"/>
        <w:autoSpaceDN w:val="0"/>
        <w:adjustRightInd w:val="0"/>
        <w:spacing w:before="120"/>
        <w:contextualSpacing w:val="0"/>
        <w:jc w:val="both"/>
        <w:rPr>
          <w:szCs w:val="24"/>
        </w:rPr>
      </w:pPr>
      <w:r>
        <w:rPr>
          <w:szCs w:val="24"/>
        </w:rPr>
        <w:t>(a)</w:t>
      </w:r>
      <w:r>
        <w:rPr>
          <w:szCs w:val="24"/>
        </w:rPr>
        <w:tab/>
        <w:t xml:space="preserve">Shall ensure that the assessment for </w:t>
      </w:r>
      <w:r w:rsidR="00AC33D8" w:rsidRPr="00C10D10">
        <w:rPr>
          <w:szCs w:val="24"/>
        </w:rPr>
        <w:t xml:space="preserve">radiological impacts </w:t>
      </w:r>
      <w:r>
        <w:rPr>
          <w:szCs w:val="24"/>
        </w:rPr>
        <w:t xml:space="preserve">includes those impacts </w:t>
      </w:r>
      <w:r w:rsidR="00AC33D8" w:rsidRPr="00C10D10">
        <w:rPr>
          <w:szCs w:val="24"/>
        </w:rPr>
        <w:t>outside the national territory</w:t>
      </w:r>
      <w:r>
        <w:rPr>
          <w:szCs w:val="24"/>
        </w:rPr>
        <w:t xml:space="preserve"> or other territory under the jurisdiction of control of the </w:t>
      </w:r>
      <w:proofErr w:type="gramStart"/>
      <w:r>
        <w:rPr>
          <w:szCs w:val="24"/>
        </w:rPr>
        <w:t>State;….</w:t>
      </w:r>
      <w:proofErr w:type="gramEnd"/>
    </w:p>
    <w:p w:rsidR="00CD2A16" w:rsidRPr="00C10D10" w:rsidRDefault="005756BE" w:rsidP="0036548F">
      <w:pPr>
        <w:pStyle w:val="ListParagraph"/>
        <w:autoSpaceDE w:val="0"/>
        <w:autoSpaceDN w:val="0"/>
        <w:adjustRightInd w:val="0"/>
        <w:spacing w:before="120"/>
        <w:contextualSpacing w:val="0"/>
        <w:jc w:val="both"/>
        <w:rPr>
          <w:szCs w:val="24"/>
        </w:rPr>
      </w:pPr>
      <w:proofErr w:type="gramStart"/>
      <w:r>
        <w:rPr>
          <w:szCs w:val="24"/>
        </w:rPr>
        <w:t>(c) Shall arrange with the affected States the</w:t>
      </w:r>
      <w:r w:rsidR="00AC33D8" w:rsidRPr="00C10D10">
        <w:rPr>
          <w:szCs w:val="24"/>
        </w:rPr>
        <w:t xml:space="preserve"> means for the exchange of information and consultations, as appropriate.</w:t>
      </w:r>
      <w:r>
        <w:rPr>
          <w:szCs w:val="24"/>
        </w:rPr>
        <w:t>”</w:t>
      </w:r>
      <w:proofErr w:type="gramEnd"/>
      <w:r>
        <w:rPr>
          <w:szCs w:val="24"/>
        </w:rPr>
        <w:t>[</w:t>
      </w:r>
      <w:proofErr w:type="gramStart"/>
      <w:r>
        <w:rPr>
          <w:szCs w:val="24"/>
        </w:rPr>
        <w:t>better</w:t>
      </w:r>
      <w:proofErr w:type="gramEnd"/>
      <w:r>
        <w:rPr>
          <w:szCs w:val="24"/>
        </w:rPr>
        <w:t xml:space="preserve"> to quote rather than paraphrase]</w:t>
      </w:r>
    </w:p>
    <w:p w:rsidR="00CD2A16" w:rsidRPr="00C10D10" w:rsidRDefault="00D327F9" w:rsidP="002E2478">
      <w:pPr>
        <w:pStyle w:val="Heading2"/>
        <w:rPr>
          <w:caps w:val="0"/>
          <w:lang w:val="en-GB"/>
        </w:rPr>
      </w:pPr>
      <w:bookmarkStart w:id="31" w:name="_Toc452966944"/>
      <w:r w:rsidRPr="00C10D10">
        <w:rPr>
          <w:caps w:val="0"/>
          <w:lang w:val="en-GB"/>
        </w:rPr>
        <w:t>PERIODIC REVIEW</w:t>
      </w:r>
      <w:bookmarkEnd w:id="31"/>
    </w:p>
    <w:p w:rsidR="005756BE" w:rsidRDefault="00050918" w:rsidP="00D1189E">
      <w:pPr>
        <w:numPr>
          <w:ilvl w:val="0"/>
          <w:numId w:val="3"/>
        </w:numPr>
        <w:autoSpaceDE w:val="0"/>
        <w:autoSpaceDN w:val="0"/>
        <w:adjustRightInd w:val="0"/>
        <w:spacing w:before="120" w:line="360" w:lineRule="auto"/>
        <w:jc w:val="both"/>
        <w:rPr>
          <w:rFonts w:ascii="Times New Roman" w:hAnsi="Times New Roman"/>
          <w:sz w:val="24"/>
          <w:szCs w:val="24"/>
        </w:rPr>
      </w:pPr>
      <w:r>
        <w:rPr>
          <w:rFonts w:ascii="Times New Roman" w:hAnsi="Times New Roman"/>
          <w:sz w:val="24"/>
          <w:szCs w:val="24"/>
        </w:rPr>
        <w:t>P</w:t>
      </w:r>
      <w:r w:rsidRPr="00C10D10">
        <w:rPr>
          <w:rFonts w:ascii="Times New Roman" w:hAnsi="Times New Roman"/>
          <w:sz w:val="24"/>
          <w:szCs w:val="24"/>
        </w:rPr>
        <w:t>ara</w:t>
      </w:r>
      <w:r w:rsidR="00B049D5">
        <w:rPr>
          <w:rFonts w:ascii="Times New Roman" w:hAnsi="Times New Roman"/>
          <w:sz w:val="24"/>
          <w:szCs w:val="24"/>
        </w:rPr>
        <w:t>graph</w:t>
      </w:r>
      <w:r w:rsidRPr="00C10D10">
        <w:rPr>
          <w:rFonts w:ascii="Times New Roman" w:hAnsi="Times New Roman"/>
          <w:sz w:val="24"/>
          <w:szCs w:val="24"/>
        </w:rPr>
        <w:t xml:space="preserve"> 3.134</w:t>
      </w:r>
      <w:r>
        <w:rPr>
          <w:rFonts w:ascii="Times New Roman" w:hAnsi="Times New Roman"/>
          <w:sz w:val="24"/>
          <w:szCs w:val="24"/>
        </w:rPr>
        <w:t xml:space="preserve"> of </w:t>
      </w:r>
      <w:r w:rsidR="00C657E3" w:rsidRPr="00C10D10">
        <w:rPr>
          <w:rFonts w:ascii="Times New Roman" w:hAnsi="Times New Roman"/>
          <w:sz w:val="24"/>
          <w:szCs w:val="24"/>
        </w:rPr>
        <w:t>GSR Part 3</w:t>
      </w:r>
      <w:r w:rsidR="003F64AA" w:rsidRPr="00C10D10">
        <w:rPr>
          <w:rFonts w:ascii="Times New Roman" w:hAnsi="Times New Roman"/>
          <w:sz w:val="24"/>
          <w:szCs w:val="24"/>
        </w:rPr>
        <w:t xml:space="preserve"> </w:t>
      </w:r>
      <w:r w:rsidR="00417BFF">
        <w:rPr>
          <w:rFonts w:ascii="Times New Roman" w:hAnsi="Times New Roman"/>
          <w:sz w:val="24"/>
          <w:szCs w:val="24"/>
        </w:rPr>
        <w:t>[3]</w:t>
      </w:r>
      <w:r w:rsidR="002C1CD8" w:rsidRPr="00C10D10">
        <w:rPr>
          <w:rFonts w:ascii="Times New Roman" w:hAnsi="Times New Roman"/>
          <w:sz w:val="24"/>
          <w:szCs w:val="24"/>
        </w:rPr>
        <w:t xml:space="preserve"> </w:t>
      </w:r>
      <w:r w:rsidR="005756BE">
        <w:rPr>
          <w:rFonts w:ascii="Times New Roman" w:hAnsi="Times New Roman"/>
          <w:sz w:val="24"/>
          <w:szCs w:val="24"/>
        </w:rPr>
        <w:t>establishes</w:t>
      </w:r>
      <w:r w:rsidR="005756BE" w:rsidRPr="00C10D10">
        <w:rPr>
          <w:rFonts w:ascii="Times New Roman" w:hAnsi="Times New Roman"/>
          <w:sz w:val="24"/>
          <w:szCs w:val="24"/>
        </w:rPr>
        <w:t xml:space="preserve"> </w:t>
      </w:r>
      <w:r w:rsidR="003F64AA" w:rsidRPr="00C10D10">
        <w:rPr>
          <w:rFonts w:ascii="Times New Roman" w:hAnsi="Times New Roman"/>
          <w:sz w:val="24"/>
          <w:szCs w:val="24"/>
        </w:rPr>
        <w:t xml:space="preserve">requirements </w:t>
      </w:r>
      <w:r>
        <w:rPr>
          <w:rFonts w:ascii="Times New Roman" w:hAnsi="Times New Roman"/>
          <w:sz w:val="24"/>
          <w:szCs w:val="24"/>
        </w:rPr>
        <w:t xml:space="preserve">for </w:t>
      </w:r>
      <w:r w:rsidR="003F64AA" w:rsidRPr="00C10D10">
        <w:rPr>
          <w:rFonts w:ascii="Times New Roman" w:hAnsi="Times New Roman"/>
          <w:sz w:val="24"/>
          <w:szCs w:val="24"/>
        </w:rPr>
        <w:t>registrants and licensees</w:t>
      </w:r>
      <w:r w:rsidR="00C505DE">
        <w:rPr>
          <w:rFonts w:ascii="Times New Roman" w:hAnsi="Times New Roman"/>
          <w:sz w:val="24"/>
          <w:szCs w:val="24"/>
        </w:rPr>
        <w:t xml:space="preserve"> </w:t>
      </w:r>
      <w:r w:rsidR="00D1189E">
        <w:rPr>
          <w:rFonts w:ascii="Times New Roman" w:hAnsi="Times New Roman"/>
          <w:sz w:val="24"/>
          <w:szCs w:val="24"/>
        </w:rPr>
        <w:t>(</w:t>
      </w:r>
      <w:r w:rsidR="00D1189E" w:rsidRPr="00D1189E">
        <w:rPr>
          <w:rFonts w:ascii="Times New Roman" w:hAnsi="Times New Roman"/>
          <w:sz w:val="24"/>
          <w:szCs w:val="24"/>
        </w:rPr>
        <w:t>operating organization</w:t>
      </w:r>
      <w:r w:rsidR="00D1189E">
        <w:rPr>
          <w:rFonts w:ascii="Times New Roman" w:hAnsi="Times New Roman"/>
          <w:sz w:val="24"/>
          <w:szCs w:val="24"/>
        </w:rPr>
        <w:t>s)</w:t>
      </w:r>
      <w:r w:rsidR="00D1189E" w:rsidRPr="00D1189E">
        <w:rPr>
          <w:rFonts w:ascii="Times New Roman" w:hAnsi="Times New Roman"/>
          <w:sz w:val="24"/>
          <w:szCs w:val="24"/>
        </w:rPr>
        <w:t xml:space="preserve"> </w:t>
      </w:r>
      <w:r>
        <w:rPr>
          <w:rFonts w:ascii="Times New Roman" w:hAnsi="Times New Roman"/>
          <w:sz w:val="24"/>
          <w:szCs w:val="24"/>
        </w:rPr>
        <w:t>to “</w:t>
      </w:r>
      <w:r w:rsidR="003F64AA" w:rsidRPr="00C10D10">
        <w:rPr>
          <w:rFonts w:ascii="Times New Roman" w:hAnsi="Times New Roman"/>
          <w:sz w:val="24"/>
          <w:szCs w:val="24"/>
        </w:rPr>
        <w:t>review and modify their discharge control measures</w:t>
      </w:r>
      <w:r w:rsidR="005756BE">
        <w:rPr>
          <w:rFonts w:ascii="Times New Roman" w:hAnsi="Times New Roman"/>
          <w:sz w:val="24"/>
          <w:szCs w:val="24"/>
        </w:rPr>
        <w:t>…</w:t>
      </w:r>
      <w:r w:rsidR="003F64AA" w:rsidRPr="00C10D10">
        <w:rPr>
          <w:rFonts w:ascii="Times New Roman" w:hAnsi="Times New Roman"/>
          <w:sz w:val="24"/>
          <w:szCs w:val="24"/>
        </w:rPr>
        <w:t xml:space="preserve"> taking into account: </w:t>
      </w:r>
    </w:p>
    <w:p w:rsidR="00AF0C2F" w:rsidRDefault="005756BE" w:rsidP="0036548F">
      <w:pPr>
        <w:autoSpaceDE w:val="0"/>
        <w:autoSpaceDN w:val="0"/>
        <w:adjustRightInd w:val="0"/>
        <w:spacing w:before="120" w:line="36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O</w:t>
      </w:r>
      <w:r w:rsidR="003F64AA" w:rsidRPr="00C10D10">
        <w:rPr>
          <w:rFonts w:ascii="Times New Roman" w:hAnsi="Times New Roman"/>
          <w:sz w:val="24"/>
          <w:szCs w:val="24"/>
        </w:rPr>
        <w:t xml:space="preserve">perating experience </w:t>
      </w:r>
      <w:r w:rsidR="00AF0C2F">
        <w:rPr>
          <w:rFonts w:ascii="Times New Roman" w:hAnsi="Times New Roman"/>
          <w:sz w:val="24"/>
          <w:szCs w:val="24"/>
        </w:rPr>
        <w:t>[</w:t>
      </w:r>
      <w:r w:rsidR="00050918">
        <w:rPr>
          <w:rFonts w:ascii="Times New Roman" w:hAnsi="Times New Roman"/>
          <w:sz w:val="24"/>
          <w:szCs w:val="24"/>
        </w:rPr>
        <w:t>e.g.</w:t>
      </w:r>
      <w:r w:rsidR="0067172F">
        <w:rPr>
          <w:rFonts w:ascii="Times New Roman" w:hAnsi="Times New Roman"/>
          <w:sz w:val="24"/>
          <w:szCs w:val="24"/>
        </w:rPr>
        <w:t xml:space="preserve"> changes in the characteristics of the source term</w:t>
      </w:r>
      <w:r w:rsidR="00AF0C2F">
        <w:rPr>
          <w:rFonts w:ascii="Times New Roman" w:hAnsi="Times New Roman"/>
          <w:sz w:val="24"/>
          <w:szCs w:val="24"/>
        </w:rPr>
        <w:t>];</w:t>
      </w:r>
    </w:p>
    <w:p w:rsidR="003F64AA" w:rsidRPr="00C10D10" w:rsidRDefault="00AF0C2F" w:rsidP="0036548F">
      <w:pPr>
        <w:autoSpaceDE w:val="0"/>
        <w:autoSpaceDN w:val="0"/>
        <w:adjustRightInd w:val="0"/>
        <w:spacing w:before="120" w:line="360"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w:t>
      </w:r>
      <w:r w:rsidR="003F64AA" w:rsidRPr="00C10D10">
        <w:rPr>
          <w:rFonts w:ascii="Times New Roman" w:hAnsi="Times New Roman"/>
          <w:sz w:val="24"/>
          <w:szCs w:val="24"/>
        </w:rPr>
        <w:t>ny changes in exposure pathways or in the characteristics of the representative person that could affect the assessment of doses due to the discharges</w:t>
      </w:r>
      <w:r w:rsidR="002C1CD8" w:rsidRPr="00C10D10">
        <w:rPr>
          <w:rFonts w:ascii="Times New Roman" w:hAnsi="Times New Roman"/>
          <w:sz w:val="24"/>
          <w:szCs w:val="24"/>
        </w:rPr>
        <w:t>”</w:t>
      </w:r>
      <w:r w:rsidR="0067172F">
        <w:rPr>
          <w:rFonts w:ascii="Times New Roman" w:hAnsi="Times New Roman"/>
          <w:sz w:val="24"/>
          <w:szCs w:val="24"/>
        </w:rPr>
        <w:t>.</w:t>
      </w:r>
    </w:p>
    <w:p w:rsidR="00CD2A16" w:rsidRPr="00C10D10" w:rsidRDefault="002C1CD8" w:rsidP="00793ADD">
      <w:pPr>
        <w:pStyle w:val="Heading2"/>
        <w:rPr>
          <w:caps w:val="0"/>
          <w:lang w:val="en-GB"/>
        </w:rPr>
      </w:pPr>
      <w:bookmarkStart w:id="32" w:name="_Toc452966945"/>
      <w:r w:rsidRPr="00C10D10">
        <w:rPr>
          <w:caps w:val="0"/>
          <w:lang w:val="en-GB"/>
        </w:rPr>
        <w:t xml:space="preserve">SOURCE </w:t>
      </w:r>
      <w:r w:rsidR="00B049D5" w:rsidRPr="00C10D10">
        <w:rPr>
          <w:caps w:val="0"/>
          <w:lang w:val="en-GB"/>
        </w:rPr>
        <w:t xml:space="preserve">MONITORING </w:t>
      </w:r>
      <w:r w:rsidRPr="00C10D10">
        <w:rPr>
          <w:caps w:val="0"/>
          <w:lang w:val="en-GB"/>
        </w:rPr>
        <w:t xml:space="preserve">AND </w:t>
      </w:r>
      <w:r w:rsidR="005B4E5F">
        <w:rPr>
          <w:caps w:val="0"/>
          <w:lang w:val="en-GB"/>
        </w:rPr>
        <w:t>ENVIRONMENTAL</w:t>
      </w:r>
      <w:r w:rsidR="005B4E5F" w:rsidRPr="00C10D10">
        <w:rPr>
          <w:caps w:val="0"/>
          <w:lang w:val="en-GB"/>
        </w:rPr>
        <w:t xml:space="preserve"> </w:t>
      </w:r>
      <w:r w:rsidR="00D327F9" w:rsidRPr="00C10D10">
        <w:rPr>
          <w:caps w:val="0"/>
          <w:lang w:val="en-GB"/>
        </w:rPr>
        <w:t>MONITORING</w:t>
      </w:r>
      <w:bookmarkEnd w:id="32"/>
    </w:p>
    <w:p w:rsidR="000C52C8" w:rsidRPr="00C10D10" w:rsidRDefault="00A55B0A" w:rsidP="00793ADD">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Requirement 32 </w:t>
      </w:r>
      <w:r w:rsidR="00AF0C2F" w:rsidRPr="00C10D10">
        <w:rPr>
          <w:rFonts w:ascii="Times New Roman" w:hAnsi="Times New Roman"/>
          <w:sz w:val="24"/>
          <w:szCs w:val="24"/>
        </w:rPr>
        <w:t xml:space="preserve">and para. 3.135 </w:t>
      </w:r>
      <w:r w:rsidRPr="00C10D10">
        <w:rPr>
          <w:rFonts w:ascii="Times New Roman" w:hAnsi="Times New Roman"/>
          <w:sz w:val="24"/>
          <w:szCs w:val="24"/>
        </w:rPr>
        <w:t xml:space="preserve">of GSR Part 3 </w:t>
      </w:r>
      <w:r w:rsidR="00417BFF">
        <w:rPr>
          <w:rFonts w:ascii="Times New Roman" w:hAnsi="Times New Roman"/>
          <w:sz w:val="24"/>
          <w:szCs w:val="24"/>
        </w:rPr>
        <w:t>[3]</w:t>
      </w:r>
      <w:r>
        <w:rPr>
          <w:rFonts w:ascii="Times New Roman" w:hAnsi="Times New Roman"/>
          <w:sz w:val="24"/>
          <w:szCs w:val="24"/>
        </w:rPr>
        <w:t xml:space="preserve"> </w:t>
      </w:r>
      <w:r w:rsidR="004205BC">
        <w:rPr>
          <w:rFonts w:ascii="Times New Roman" w:hAnsi="Times New Roman"/>
          <w:sz w:val="24"/>
          <w:szCs w:val="24"/>
        </w:rPr>
        <w:t xml:space="preserve">require </w:t>
      </w:r>
      <w:r w:rsidR="003F64AA" w:rsidRPr="00C10D10">
        <w:rPr>
          <w:rFonts w:ascii="Times New Roman" w:hAnsi="Times New Roman"/>
          <w:sz w:val="24"/>
          <w:szCs w:val="24"/>
        </w:rPr>
        <w:t xml:space="preserve">the regulatory body and relevant parties </w:t>
      </w:r>
      <w:r w:rsidR="00AF0C2F">
        <w:rPr>
          <w:rFonts w:ascii="Times New Roman" w:hAnsi="Times New Roman"/>
          <w:sz w:val="24"/>
          <w:szCs w:val="24"/>
        </w:rPr>
        <w:t>to</w:t>
      </w:r>
      <w:r w:rsidR="00AF0C2F" w:rsidRPr="00C10D10">
        <w:rPr>
          <w:rFonts w:ascii="Times New Roman" w:hAnsi="Times New Roman"/>
          <w:sz w:val="24"/>
          <w:szCs w:val="24"/>
        </w:rPr>
        <w:t xml:space="preserve"> </w:t>
      </w:r>
      <w:r w:rsidR="003F64AA" w:rsidRPr="00C10D10">
        <w:rPr>
          <w:rFonts w:ascii="Times New Roman" w:hAnsi="Times New Roman"/>
          <w:sz w:val="24"/>
          <w:szCs w:val="24"/>
        </w:rPr>
        <w:t>ensure that programmes for source monitoring and environmental monitoring are in place</w:t>
      </w:r>
      <w:r w:rsidR="004B38D8" w:rsidRPr="00C10D10">
        <w:rPr>
          <w:rStyle w:val="FootnoteReference"/>
          <w:rFonts w:ascii="Times New Roman" w:hAnsi="Times New Roman"/>
          <w:sz w:val="24"/>
          <w:szCs w:val="24"/>
        </w:rPr>
        <w:footnoteReference w:id="12"/>
      </w:r>
      <w:r w:rsidR="003F64AA" w:rsidRPr="00C10D10">
        <w:rPr>
          <w:rFonts w:ascii="Times New Roman" w:hAnsi="Times New Roman"/>
          <w:sz w:val="24"/>
          <w:szCs w:val="24"/>
        </w:rPr>
        <w:t>.</w:t>
      </w:r>
      <w:r w:rsidR="00793ADD" w:rsidRPr="00C10D10">
        <w:rPr>
          <w:rFonts w:ascii="Times New Roman" w:hAnsi="Times New Roman"/>
          <w:sz w:val="24"/>
          <w:szCs w:val="24"/>
        </w:rPr>
        <w:t xml:space="preserve"> The programmes </w:t>
      </w:r>
      <w:r w:rsidR="00AF0C2F">
        <w:rPr>
          <w:rFonts w:ascii="Times New Roman" w:hAnsi="Times New Roman"/>
          <w:sz w:val="24"/>
          <w:szCs w:val="24"/>
        </w:rPr>
        <w:t>are required to</w:t>
      </w:r>
      <w:r w:rsidR="00AF0C2F" w:rsidRPr="00C10D10">
        <w:rPr>
          <w:rFonts w:ascii="Times New Roman" w:hAnsi="Times New Roman"/>
          <w:sz w:val="24"/>
          <w:szCs w:val="24"/>
        </w:rPr>
        <w:t xml:space="preserve"> </w:t>
      </w:r>
      <w:r w:rsidR="00793ADD" w:rsidRPr="00C10D10">
        <w:rPr>
          <w:rFonts w:ascii="Times New Roman" w:hAnsi="Times New Roman"/>
          <w:sz w:val="24"/>
          <w:szCs w:val="24"/>
        </w:rPr>
        <w:t xml:space="preserve">be sufficient to verify compliance </w:t>
      </w:r>
      <w:r w:rsidR="004B38D8" w:rsidRPr="00C10D10">
        <w:rPr>
          <w:rFonts w:ascii="Times New Roman" w:hAnsi="Times New Roman"/>
          <w:sz w:val="24"/>
          <w:szCs w:val="24"/>
        </w:rPr>
        <w:t xml:space="preserve">with the requirements for the control of public exposures. </w:t>
      </w:r>
      <w:r w:rsidR="003F64AA" w:rsidRPr="00C10D10">
        <w:rPr>
          <w:rFonts w:ascii="Times New Roman" w:hAnsi="Times New Roman"/>
          <w:sz w:val="24"/>
          <w:szCs w:val="24"/>
        </w:rPr>
        <w:t xml:space="preserve">These requirements include </w:t>
      </w:r>
      <w:r w:rsidR="00AF0C2F">
        <w:rPr>
          <w:rFonts w:ascii="Times New Roman" w:hAnsi="Times New Roman"/>
          <w:sz w:val="24"/>
          <w:szCs w:val="24"/>
        </w:rPr>
        <w:t>“M</w:t>
      </w:r>
      <w:r w:rsidR="005A7B8E" w:rsidRPr="00C10D10">
        <w:rPr>
          <w:rFonts w:ascii="Times New Roman" w:hAnsi="Times New Roman"/>
          <w:sz w:val="24"/>
          <w:szCs w:val="24"/>
        </w:rPr>
        <w:t>aking</w:t>
      </w:r>
      <w:r w:rsidR="003F64AA" w:rsidRPr="00C10D10">
        <w:rPr>
          <w:rFonts w:ascii="Times New Roman" w:hAnsi="Times New Roman"/>
          <w:sz w:val="24"/>
          <w:szCs w:val="24"/>
        </w:rPr>
        <w:t xml:space="preserve"> provision for maintaining records of discharges, results of monitoring programmes and results of assessments of public exposure</w:t>
      </w:r>
      <w:r w:rsidR="002C1CD8" w:rsidRPr="00C10D10">
        <w:rPr>
          <w:rFonts w:ascii="Times New Roman" w:hAnsi="Times New Roman"/>
          <w:sz w:val="24"/>
          <w:szCs w:val="24"/>
        </w:rPr>
        <w:t>”</w:t>
      </w:r>
      <w:r w:rsidR="003F64AA" w:rsidRPr="00C10D10">
        <w:rPr>
          <w:rFonts w:ascii="Times New Roman" w:hAnsi="Times New Roman"/>
          <w:sz w:val="24"/>
          <w:szCs w:val="24"/>
        </w:rPr>
        <w:t>. Similar requirements are also placed on registrants and licensees (</w:t>
      </w:r>
      <w:r w:rsidR="005A3563" w:rsidRPr="00C10D10">
        <w:rPr>
          <w:rFonts w:ascii="Times New Roman" w:hAnsi="Times New Roman"/>
          <w:sz w:val="24"/>
          <w:szCs w:val="24"/>
        </w:rPr>
        <w:t>operating organization</w:t>
      </w:r>
      <w:r w:rsidR="003F64AA" w:rsidRPr="00C10D10">
        <w:rPr>
          <w:rFonts w:ascii="Times New Roman" w:hAnsi="Times New Roman"/>
          <w:sz w:val="24"/>
          <w:szCs w:val="24"/>
        </w:rPr>
        <w:t xml:space="preserve">s) including the </w:t>
      </w:r>
      <w:r w:rsidR="005A7B8E" w:rsidRPr="00C10D10">
        <w:rPr>
          <w:rFonts w:ascii="Times New Roman" w:hAnsi="Times New Roman"/>
          <w:sz w:val="24"/>
          <w:szCs w:val="24"/>
        </w:rPr>
        <w:t>requirement</w:t>
      </w:r>
      <w:r w:rsidR="003F64AA" w:rsidRPr="00C10D10">
        <w:rPr>
          <w:rFonts w:ascii="Times New Roman" w:hAnsi="Times New Roman"/>
          <w:sz w:val="24"/>
          <w:szCs w:val="24"/>
        </w:rPr>
        <w:t xml:space="preserve"> to </w:t>
      </w:r>
      <w:r w:rsidR="00AF0C2F">
        <w:rPr>
          <w:rFonts w:ascii="Times New Roman" w:hAnsi="Times New Roman"/>
          <w:sz w:val="24"/>
          <w:szCs w:val="24"/>
        </w:rPr>
        <w:t>“V</w:t>
      </w:r>
      <w:r w:rsidR="003F64AA" w:rsidRPr="00C10D10">
        <w:rPr>
          <w:rFonts w:ascii="Times New Roman" w:hAnsi="Times New Roman"/>
          <w:sz w:val="24"/>
          <w:szCs w:val="24"/>
        </w:rPr>
        <w:t xml:space="preserve">erify the adequacy of the assumptions made for the assessment of public exposure and </w:t>
      </w:r>
      <w:r w:rsidR="00AF0C2F">
        <w:rPr>
          <w:rFonts w:ascii="Times New Roman" w:hAnsi="Times New Roman"/>
          <w:sz w:val="24"/>
          <w:szCs w:val="24"/>
        </w:rPr>
        <w:t xml:space="preserve">the assessment for </w:t>
      </w:r>
      <w:r w:rsidR="003F64AA" w:rsidRPr="00C10D10">
        <w:rPr>
          <w:rFonts w:ascii="Times New Roman" w:hAnsi="Times New Roman"/>
          <w:sz w:val="24"/>
          <w:szCs w:val="24"/>
        </w:rPr>
        <w:t>radiological environmental impacts</w:t>
      </w:r>
      <w:r w:rsidR="0067172F">
        <w:rPr>
          <w:rFonts w:ascii="Times New Roman" w:hAnsi="Times New Roman"/>
          <w:sz w:val="24"/>
          <w:szCs w:val="24"/>
        </w:rPr>
        <w:t>”</w:t>
      </w:r>
      <w:r w:rsidR="00AF0C2F">
        <w:rPr>
          <w:rFonts w:ascii="Times New Roman" w:hAnsi="Times New Roman"/>
          <w:sz w:val="24"/>
          <w:szCs w:val="24"/>
        </w:rPr>
        <w:t xml:space="preserve"> (para 3.137, GSR Part 3 </w:t>
      </w:r>
      <w:r w:rsidR="00417BFF">
        <w:rPr>
          <w:rFonts w:ascii="Times New Roman" w:hAnsi="Times New Roman"/>
          <w:sz w:val="24"/>
          <w:szCs w:val="24"/>
        </w:rPr>
        <w:t>[3]</w:t>
      </w:r>
      <w:r w:rsidR="00AF0C2F">
        <w:rPr>
          <w:rFonts w:ascii="Times New Roman" w:hAnsi="Times New Roman"/>
          <w:sz w:val="24"/>
          <w:szCs w:val="24"/>
        </w:rPr>
        <w:t>)</w:t>
      </w:r>
      <w:r w:rsidR="003F64AA" w:rsidRPr="00C10D10">
        <w:rPr>
          <w:rFonts w:ascii="Times New Roman" w:hAnsi="Times New Roman"/>
          <w:sz w:val="24"/>
          <w:szCs w:val="24"/>
        </w:rPr>
        <w:t>.</w:t>
      </w:r>
    </w:p>
    <w:p w:rsidR="003F64AA" w:rsidRPr="00C10D10" w:rsidRDefault="000C52C8" w:rsidP="00D1189E">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Registrants</w:t>
      </w:r>
      <w:r w:rsidRPr="00C10D10">
        <w:rPr>
          <w:rStyle w:val="CommentReference"/>
          <w:rFonts w:ascii="Times New Roman" w:hAnsi="Times New Roman"/>
          <w:sz w:val="24"/>
          <w:szCs w:val="24"/>
        </w:rPr>
        <w:t xml:space="preserve"> </w:t>
      </w:r>
      <w:r w:rsidRPr="00C10D10">
        <w:rPr>
          <w:rFonts w:ascii="Times New Roman" w:hAnsi="Times New Roman"/>
          <w:sz w:val="24"/>
          <w:szCs w:val="24"/>
        </w:rPr>
        <w:t>and licensees</w:t>
      </w:r>
      <w:r w:rsidR="00D1189E">
        <w:rPr>
          <w:rFonts w:ascii="Times New Roman" w:hAnsi="Times New Roman"/>
          <w:sz w:val="24"/>
          <w:szCs w:val="24"/>
        </w:rPr>
        <w:t xml:space="preserve"> (</w:t>
      </w:r>
      <w:r w:rsidR="00D1189E" w:rsidRPr="00D1189E">
        <w:rPr>
          <w:rFonts w:ascii="Times New Roman" w:hAnsi="Times New Roman"/>
          <w:sz w:val="24"/>
          <w:szCs w:val="24"/>
        </w:rPr>
        <w:t>operating organization</w:t>
      </w:r>
      <w:r w:rsidR="00D1189E">
        <w:rPr>
          <w:rFonts w:ascii="Times New Roman" w:hAnsi="Times New Roman"/>
          <w:sz w:val="24"/>
          <w:szCs w:val="24"/>
        </w:rPr>
        <w:t>s)</w:t>
      </w:r>
      <w:r w:rsidRPr="00C10D10">
        <w:rPr>
          <w:rFonts w:ascii="Times New Roman" w:hAnsi="Times New Roman"/>
          <w:sz w:val="24"/>
          <w:szCs w:val="24"/>
        </w:rPr>
        <w:t xml:space="preserve"> are required by para. 3.137 of </w:t>
      </w:r>
      <w:r w:rsidR="00C657E3" w:rsidRPr="00C10D10">
        <w:rPr>
          <w:rFonts w:ascii="Times New Roman" w:hAnsi="Times New Roman"/>
          <w:sz w:val="24"/>
          <w:szCs w:val="24"/>
        </w:rPr>
        <w:t>GSR Part 3</w:t>
      </w:r>
      <w:r w:rsidRPr="00C10D10">
        <w:rPr>
          <w:rFonts w:ascii="Times New Roman" w:hAnsi="Times New Roman"/>
          <w:sz w:val="24"/>
          <w:szCs w:val="24"/>
        </w:rPr>
        <w:t xml:space="preserve"> </w:t>
      </w:r>
      <w:r w:rsidR="00417BFF">
        <w:rPr>
          <w:rFonts w:ascii="Times New Roman" w:hAnsi="Times New Roman"/>
          <w:sz w:val="24"/>
          <w:szCs w:val="24"/>
        </w:rPr>
        <w:t>[3]</w:t>
      </w:r>
      <w:r w:rsidRPr="00C10D10">
        <w:rPr>
          <w:rFonts w:ascii="Times New Roman" w:hAnsi="Times New Roman"/>
          <w:sz w:val="24"/>
          <w:szCs w:val="24"/>
        </w:rPr>
        <w:t xml:space="preserve"> to </w:t>
      </w:r>
      <w:r w:rsidR="00AF0C2F">
        <w:rPr>
          <w:rFonts w:ascii="Times New Roman" w:hAnsi="Times New Roman"/>
          <w:sz w:val="24"/>
          <w:szCs w:val="24"/>
        </w:rPr>
        <w:t>“E</w:t>
      </w:r>
      <w:r w:rsidRPr="00C10D10">
        <w:rPr>
          <w:rFonts w:ascii="Times New Roman" w:hAnsi="Times New Roman"/>
          <w:sz w:val="24"/>
          <w:szCs w:val="24"/>
        </w:rPr>
        <w:t>stablish and implement monitoring programmes to ensure that public exposure due to sources under their responsibility is adequately assessed and that the assessment is sufficient to verify and demonstrate compliance with the authorization</w:t>
      </w:r>
      <w:r w:rsidR="00AF0C2F">
        <w:rPr>
          <w:rFonts w:ascii="Times New Roman" w:hAnsi="Times New Roman"/>
          <w:sz w:val="24"/>
          <w:szCs w:val="24"/>
        </w:rPr>
        <w:t>”</w:t>
      </w:r>
      <w:r w:rsidR="003C290A" w:rsidRPr="00C10D10">
        <w:rPr>
          <w:rFonts w:ascii="Times New Roman" w:hAnsi="Times New Roman"/>
          <w:sz w:val="24"/>
          <w:szCs w:val="24"/>
        </w:rPr>
        <w:t>.</w:t>
      </w:r>
    </w:p>
    <w:p w:rsidR="00456A0B" w:rsidRPr="00C10D10" w:rsidRDefault="00D327F9" w:rsidP="004B38D8">
      <w:pPr>
        <w:pStyle w:val="Heading2"/>
        <w:rPr>
          <w:caps w:val="0"/>
          <w:lang w:val="en-GB"/>
        </w:rPr>
      </w:pPr>
      <w:bookmarkStart w:id="33" w:name="_Toc452966946"/>
      <w:r w:rsidRPr="00C10D10">
        <w:rPr>
          <w:caps w:val="0"/>
          <w:lang w:val="en-GB"/>
        </w:rPr>
        <w:lastRenderedPageBreak/>
        <w:t>GRADED APPROACH</w:t>
      </w:r>
      <w:bookmarkEnd w:id="33"/>
    </w:p>
    <w:p w:rsidR="003C290A" w:rsidRPr="00C10D10" w:rsidRDefault="00456A0B" w:rsidP="00BC171D">
      <w:pPr>
        <w:numPr>
          <w:ilvl w:val="0"/>
          <w:numId w:val="3"/>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The specific requirements relating to a graded approach are </w:t>
      </w:r>
      <w:r w:rsidR="00AF0C2F">
        <w:rPr>
          <w:rFonts w:ascii="Times New Roman" w:hAnsi="Times New Roman"/>
          <w:sz w:val="24"/>
          <w:szCs w:val="24"/>
        </w:rPr>
        <w:t>established</w:t>
      </w:r>
      <w:r w:rsidR="00AF0C2F" w:rsidRPr="00C10D10">
        <w:rPr>
          <w:rFonts w:ascii="Times New Roman" w:hAnsi="Times New Roman"/>
          <w:sz w:val="24"/>
          <w:szCs w:val="24"/>
        </w:rPr>
        <w:t xml:space="preserve"> </w:t>
      </w:r>
      <w:r w:rsidRPr="00C10D10">
        <w:rPr>
          <w:rFonts w:ascii="Times New Roman" w:hAnsi="Times New Roman"/>
          <w:sz w:val="24"/>
          <w:szCs w:val="24"/>
        </w:rPr>
        <w:t>in GSR Part 1</w:t>
      </w:r>
      <w:r w:rsidR="00397F5B" w:rsidRPr="00C10D10">
        <w:rPr>
          <w:rFonts w:ascii="Times New Roman" w:hAnsi="Times New Roman"/>
          <w:sz w:val="24"/>
          <w:szCs w:val="24"/>
        </w:rPr>
        <w:t xml:space="preserve"> </w:t>
      </w:r>
      <w:r w:rsidR="00BB3C20">
        <w:rPr>
          <w:rFonts w:ascii="Times New Roman" w:hAnsi="Times New Roman"/>
          <w:sz w:val="24"/>
          <w:szCs w:val="24"/>
        </w:rPr>
        <w:t xml:space="preserve">(Rev. 1) </w:t>
      </w:r>
      <w:r w:rsidR="00397F5B" w:rsidRPr="00C10D10">
        <w:rPr>
          <w:rFonts w:ascii="Times New Roman" w:hAnsi="Times New Roman"/>
          <w:sz w:val="24"/>
          <w:szCs w:val="24"/>
        </w:rPr>
        <w:t>[1</w:t>
      </w:r>
      <w:r w:rsidR="00BB3C20">
        <w:rPr>
          <w:rFonts w:ascii="Times New Roman" w:hAnsi="Times New Roman"/>
          <w:sz w:val="24"/>
          <w:szCs w:val="24"/>
        </w:rPr>
        <w:t>8</w:t>
      </w:r>
      <w:r w:rsidR="00397F5B" w:rsidRPr="00C10D10">
        <w:rPr>
          <w:rFonts w:ascii="Times New Roman" w:hAnsi="Times New Roman"/>
          <w:sz w:val="24"/>
          <w:szCs w:val="24"/>
        </w:rPr>
        <w:t>]</w:t>
      </w:r>
      <w:r w:rsidRPr="00C10D10">
        <w:rPr>
          <w:rFonts w:ascii="Times New Roman" w:hAnsi="Times New Roman"/>
          <w:sz w:val="24"/>
          <w:szCs w:val="24"/>
        </w:rPr>
        <w:t xml:space="preserve">, GSR Part 3 </w:t>
      </w:r>
      <w:r w:rsidR="00417BFF">
        <w:rPr>
          <w:rFonts w:ascii="Times New Roman" w:hAnsi="Times New Roman"/>
          <w:sz w:val="24"/>
          <w:szCs w:val="24"/>
        </w:rPr>
        <w:t>[3]</w:t>
      </w:r>
      <w:r w:rsidR="00397F5B" w:rsidRPr="00C10D10">
        <w:rPr>
          <w:rFonts w:ascii="Times New Roman" w:hAnsi="Times New Roman"/>
          <w:sz w:val="24"/>
          <w:szCs w:val="24"/>
        </w:rPr>
        <w:t xml:space="preserve"> </w:t>
      </w:r>
      <w:r w:rsidRPr="00C10D10">
        <w:rPr>
          <w:rFonts w:ascii="Times New Roman" w:hAnsi="Times New Roman"/>
          <w:sz w:val="24"/>
          <w:szCs w:val="24"/>
        </w:rPr>
        <w:t xml:space="preserve">and GSR Part 4 </w:t>
      </w:r>
      <w:r w:rsidR="00BB3C20">
        <w:rPr>
          <w:rFonts w:ascii="Times New Roman" w:hAnsi="Times New Roman"/>
          <w:sz w:val="24"/>
          <w:szCs w:val="24"/>
        </w:rPr>
        <w:t xml:space="preserve">(Rev. 1) </w:t>
      </w:r>
      <w:r w:rsidR="00397F5B" w:rsidRPr="00C10D10">
        <w:rPr>
          <w:rFonts w:ascii="Times New Roman" w:hAnsi="Times New Roman"/>
          <w:sz w:val="24"/>
          <w:szCs w:val="24"/>
        </w:rPr>
        <w:t>[1</w:t>
      </w:r>
      <w:r w:rsidR="00BB3C20">
        <w:rPr>
          <w:rFonts w:ascii="Times New Roman" w:hAnsi="Times New Roman"/>
          <w:sz w:val="24"/>
          <w:szCs w:val="24"/>
        </w:rPr>
        <w:t>9</w:t>
      </w:r>
      <w:r w:rsidR="00397F5B" w:rsidRPr="00C10D10">
        <w:rPr>
          <w:rFonts w:ascii="Times New Roman" w:hAnsi="Times New Roman"/>
          <w:sz w:val="24"/>
          <w:szCs w:val="24"/>
        </w:rPr>
        <w:t>]</w:t>
      </w:r>
      <w:r w:rsidRPr="00C10D10">
        <w:rPr>
          <w:rFonts w:ascii="Times New Roman" w:hAnsi="Times New Roman"/>
          <w:sz w:val="24"/>
          <w:szCs w:val="24"/>
        </w:rPr>
        <w:t xml:space="preserve">. In relation to the control of discharges, the graded approach should be reflected in the application of </w:t>
      </w:r>
      <w:r w:rsidR="000649F6">
        <w:rPr>
          <w:rFonts w:ascii="Times New Roman" w:hAnsi="Times New Roman"/>
          <w:sz w:val="24"/>
          <w:szCs w:val="24"/>
        </w:rPr>
        <w:t>R</w:t>
      </w:r>
      <w:r w:rsidRPr="00C10D10">
        <w:rPr>
          <w:rFonts w:ascii="Times New Roman" w:hAnsi="Times New Roman"/>
          <w:sz w:val="24"/>
          <w:szCs w:val="24"/>
        </w:rPr>
        <w:t xml:space="preserve">equirement </w:t>
      </w:r>
      <w:r w:rsidR="000649F6">
        <w:rPr>
          <w:rFonts w:ascii="Times New Roman" w:hAnsi="Times New Roman"/>
          <w:sz w:val="24"/>
          <w:szCs w:val="24"/>
        </w:rPr>
        <w:t xml:space="preserve">6 </w:t>
      </w:r>
      <w:r w:rsidRPr="00C10D10">
        <w:rPr>
          <w:rFonts w:ascii="Times New Roman" w:hAnsi="Times New Roman"/>
          <w:sz w:val="24"/>
          <w:szCs w:val="24"/>
        </w:rPr>
        <w:t xml:space="preserve">of </w:t>
      </w:r>
      <w:r w:rsidR="00C657E3" w:rsidRPr="00C10D10">
        <w:rPr>
          <w:rFonts w:ascii="Times New Roman" w:hAnsi="Times New Roman"/>
          <w:sz w:val="24"/>
          <w:szCs w:val="24"/>
        </w:rPr>
        <w:t>GSR Part 3</w:t>
      </w:r>
      <w:r w:rsidRPr="00C10D10">
        <w:rPr>
          <w:rFonts w:ascii="Times New Roman" w:hAnsi="Times New Roman"/>
          <w:sz w:val="24"/>
          <w:szCs w:val="24"/>
        </w:rPr>
        <w:t xml:space="preserve"> </w:t>
      </w:r>
      <w:r w:rsidR="00417BFF">
        <w:rPr>
          <w:rFonts w:ascii="Times New Roman" w:hAnsi="Times New Roman"/>
          <w:sz w:val="24"/>
          <w:szCs w:val="24"/>
        </w:rPr>
        <w:t>[3]</w:t>
      </w:r>
      <w:r w:rsidR="00AF0C2F">
        <w:rPr>
          <w:rFonts w:ascii="Times New Roman" w:hAnsi="Times New Roman"/>
          <w:sz w:val="24"/>
          <w:szCs w:val="24"/>
        </w:rPr>
        <w:t xml:space="preserve"> for</w:t>
      </w:r>
      <w:r w:rsidR="00AF0C2F" w:rsidRPr="00C10D10">
        <w:rPr>
          <w:rFonts w:ascii="Times New Roman" w:hAnsi="Times New Roman"/>
          <w:sz w:val="24"/>
          <w:szCs w:val="24"/>
        </w:rPr>
        <w:t xml:space="preserve"> </w:t>
      </w:r>
      <w:r w:rsidRPr="00C10D10">
        <w:rPr>
          <w:rFonts w:ascii="Times New Roman" w:hAnsi="Times New Roman"/>
          <w:sz w:val="24"/>
          <w:szCs w:val="24"/>
        </w:rPr>
        <w:t>planned exposure situations</w:t>
      </w:r>
      <w:r w:rsidR="00A814F1" w:rsidRPr="00C10D10">
        <w:rPr>
          <w:rFonts w:ascii="Times New Roman" w:hAnsi="Times New Roman"/>
          <w:sz w:val="24"/>
          <w:szCs w:val="24"/>
        </w:rPr>
        <w:t xml:space="preserve">, </w:t>
      </w:r>
      <w:r w:rsidR="000649F6">
        <w:rPr>
          <w:rFonts w:ascii="Times New Roman" w:hAnsi="Times New Roman"/>
          <w:sz w:val="24"/>
          <w:szCs w:val="24"/>
        </w:rPr>
        <w:t>i.e.</w:t>
      </w:r>
      <w:r w:rsidR="00A814F1" w:rsidRPr="00C10D10">
        <w:rPr>
          <w:rFonts w:ascii="Times New Roman" w:hAnsi="Times New Roman"/>
          <w:sz w:val="24"/>
          <w:szCs w:val="24"/>
        </w:rPr>
        <w:t xml:space="preserve"> t</w:t>
      </w:r>
      <w:r w:rsidR="003C290A" w:rsidRPr="00C10D10">
        <w:rPr>
          <w:rFonts w:ascii="Times New Roman" w:hAnsi="Times New Roman"/>
          <w:sz w:val="24"/>
          <w:szCs w:val="24"/>
        </w:rPr>
        <w:t xml:space="preserve">he resources devoted to </w:t>
      </w:r>
      <w:r w:rsidR="008A69AA" w:rsidRPr="00C10D10">
        <w:rPr>
          <w:rFonts w:ascii="Times New Roman" w:hAnsi="Times New Roman"/>
          <w:sz w:val="24"/>
          <w:szCs w:val="24"/>
        </w:rPr>
        <w:t>assess</w:t>
      </w:r>
      <w:r w:rsidR="00053F38">
        <w:rPr>
          <w:rFonts w:ascii="Times New Roman" w:hAnsi="Times New Roman"/>
          <w:sz w:val="24"/>
          <w:szCs w:val="24"/>
        </w:rPr>
        <w:t>ing</w:t>
      </w:r>
      <w:r w:rsidR="008A69AA" w:rsidRPr="00C10D10">
        <w:rPr>
          <w:rFonts w:ascii="Times New Roman" w:hAnsi="Times New Roman"/>
          <w:sz w:val="24"/>
          <w:szCs w:val="24"/>
        </w:rPr>
        <w:t xml:space="preserve"> and </w:t>
      </w:r>
      <w:r w:rsidR="003C290A" w:rsidRPr="00C10D10">
        <w:rPr>
          <w:rFonts w:ascii="Times New Roman" w:hAnsi="Times New Roman"/>
          <w:sz w:val="24"/>
          <w:szCs w:val="24"/>
        </w:rPr>
        <w:t>control</w:t>
      </w:r>
      <w:r w:rsidR="00053F38">
        <w:rPr>
          <w:rFonts w:ascii="Times New Roman" w:hAnsi="Times New Roman"/>
          <w:sz w:val="24"/>
          <w:szCs w:val="24"/>
        </w:rPr>
        <w:t>ling</w:t>
      </w:r>
      <w:r w:rsidR="003C290A" w:rsidRPr="00C10D10">
        <w:rPr>
          <w:rFonts w:ascii="Times New Roman" w:hAnsi="Times New Roman"/>
          <w:sz w:val="24"/>
          <w:szCs w:val="24"/>
        </w:rPr>
        <w:t xml:space="preserve"> discharges and the scope and stringency of the regulations </w:t>
      </w:r>
      <w:r w:rsidR="00AF0C2F">
        <w:rPr>
          <w:rFonts w:ascii="Times New Roman" w:hAnsi="Times New Roman"/>
          <w:sz w:val="24"/>
          <w:szCs w:val="24"/>
        </w:rPr>
        <w:t>are required to</w:t>
      </w:r>
      <w:r w:rsidR="00AF0C2F" w:rsidRPr="00C10D10">
        <w:rPr>
          <w:rFonts w:ascii="Times New Roman" w:hAnsi="Times New Roman"/>
          <w:sz w:val="24"/>
          <w:szCs w:val="24"/>
        </w:rPr>
        <w:t xml:space="preserve"> </w:t>
      </w:r>
      <w:r w:rsidR="003C290A" w:rsidRPr="00C10D10">
        <w:rPr>
          <w:rFonts w:ascii="Times New Roman" w:hAnsi="Times New Roman"/>
          <w:sz w:val="24"/>
          <w:szCs w:val="24"/>
        </w:rPr>
        <w:t xml:space="preserve">be commensurate with the magnitude of the radiation risk and </w:t>
      </w:r>
      <w:r w:rsidR="00053F38">
        <w:rPr>
          <w:rFonts w:ascii="Times New Roman" w:hAnsi="Times New Roman"/>
          <w:sz w:val="24"/>
          <w:szCs w:val="24"/>
        </w:rPr>
        <w:t>the extent to which the exposure is</w:t>
      </w:r>
      <w:r w:rsidR="00053F38" w:rsidRPr="00C10D10">
        <w:rPr>
          <w:rFonts w:ascii="Times New Roman" w:hAnsi="Times New Roman"/>
          <w:sz w:val="24"/>
          <w:szCs w:val="24"/>
        </w:rPr>
        <w:t xml:space="preserve"> </w:t>
      </w:r>
      <w:r w:rsidR="003C290A" w:rsidRPr="00C10D10">
        <w:rPr>
          <w:rFonts w:ascii="Times New Roman" w:hAnsi="Times New Roman"/>
          <w:sz w:val="24"/>
          <w:szCs w:val="24"/>
        </w:rPr>
        <w:t>amenab</w:t>
      </w:r>
      <w:r w:rsidR="00053F38">
        <w:rPr>
          <w:rFonts w:ascii="Times New Roman" w:hAnsi="Times New Roman"/>
          <w:sz w:val="24"/>
          <w:szCs w:val="24"/>
        </w:rPr>
        <w:t>le</w:t>
      </w:r>
      <w:r w:rsidR="003C290A" w:rsidRPr="00C10D10">
        <w:rPr>
          <w:rFonts w:ascii="Times New Roman" w:hAnsi="Times New Roman"/>
          <w:sz w:val="24"/>
          <w:szCs w:val="24"/>
        </w:rPr>
        <w:t xml:space="preserve"> to control.</w:t>
      </w:r>
      <w:r w:rsidR="00940C41">
        <w:rPr>
          <w:rFonts w:ascii="Times New Roman" w:hAnsi="Times New Roman"/>
          <w:sz w:val="24"/>
          <w:szCs w:val="24"/>
        </w:rPr>
        <w:t xml:space="preserve"> </w:t>
      </w:r>
    </w:p>
    <w:p w:rsidR="00EA0344" w:rsidRPr="00C10D10" w:rsidRDefault="00EA0344" w:rsidP="00E93E44">
      <w:pPr>
        <w:pStyle w:val="Heading1"/>
        <w:numPr>
          <w:ilvl w:val="0"/>
          <w:numId w:val="0"/>
        </w:numPr>
        <w:spacing w:before="120" w:after="0" w:line="360" w:lineRule="auto"/>
        <w:jc w:val="left"/>
        <w:rPr>
          <w:kern w:val="0"/>
          <w:sz w:val="24"/>
          <w:lang w:val="en-GB"/>
        </w:rPr>
      </w:pPr>
    </w:p>
    <w:p w:rsidR="00A147C1" w:rsidRPr="00B049D5" w:rsidRDefault="008F13F9" w:rsidP="00E93E44">
      <w:pPr>
        <w:pStyle w:val="Heading1"/>
        <w:tabs>
          <w:tab w:val="num" w:pos="360"/>
        </w:tabs>
        <w:spacing w:before="120" w:after="0" w:line="360" w:lineRule="auto"/>
        <w:ind w:left="0" w:firstLine="0"/>
        <w:rPr>
          <w:kern w:val="0"/>
          <w:lang w:val="en-GB"/>
        </w:rPr>
      </w:pPr>
      <w:bookmarkStart w:id="34" w:name="_Toc452966947"/>
      <w:r w:rsidRPr="00C10D10">
        <w:rPr>
          <w:kern w:val="0"/>
          <w:lang w:val="en-GB"/>
        </w:rPr>
        <w:t>ESTABLISHING THE NEED FOR</w:t>
      </w:r>
      <w:r w:rsidR="00614753" w:rsidRPr="00C10D10">
        <w:rPr>
          <w:kern w:val="0"/>
          <w:lang w:val="en-GB"/>
        </w:rPr>
        <w:t xml:space="preserve"> A</w:t>
      </w:r>
      <w:r w:rsidR="004F7D6A">
        <w:rPr>
          <w:kern w:val="0"/>
          <w:lang w:val="en-GB"/>
        </w:rPr>
        <w:t>N</w:t>
      </w:r>
      <w:r w:rsidR="002E015A">
        <w:rPr>
          <w:kern w:val="0"/>
          <w:lang w:val="en-GB"/>
        </w:rPr>
        <w:t xml:space="preserve"> </w:t>
      </w:r>
      <w:r w:rsidRPr="00B049D5">
        <w:rPr>
          <w:kern w:val="0"/>
          <w:lang w:val="en-GB"/>
        </w:rPr>
        <w:t>AUTHORIZATION</w:t>
      </w:r>
      <w:r w:rsidR="004F7D6A" w:rsidRPr="00B049D5">
        <w:rPr>
          <w:kern w:val="0"/>
          <w:lang w:val="en-GB"/>
        </w:rPr>
        <w:t xml:space="preserve"> FOR DISCHARGES</w:t>
      </w:r>
      <w:bookmarkEnd w:id="34"/>
    </w:p>
    <w:p w:rsidR="00FB464B" w:rsidRPr="00C10D10" w:rsidRDefault="00361C72" w:rsidP="0091132F">
      <w:pPr>
        <w:pStyle w:val="ListParagraph"/>
        <w:numPr>
          <w:ilvl w:val="0"/>
          <w:numId w:val="6"/>
        </w:numPr>
        <w:autoSpaceDE w:val="0"/>
        <w:autoSpaceDN w:val="0"/>
        <w:adjustRightInd w:val="0"/>
        <w:spacing w:before="120"/>
        <w:contextualSpacing w:val="0"/>
        <w:jc w:val="both"/>
        <w:rPr>
          <w:szCs w:val="24"/>
        </w:rPr>
      </w:pPr>
      <w:r w:rsidRPr="00361C72">
        <w:rPr>
          <w:szCs w:val="24"/>
        </w:rPr>
        <w:t xml:space="preserve">Figure 1 illustrates a scheme </w:t>
      </w:r>
      <w:r w:rsidR="00053F38">
        <w:rPr>
          <w:szCs w:val="24"/>
        </w:rPr>
        <w:t>for</w:t>
      </w:r>
      <w:r w:rsidR="00053F38" w:rsidRPr="00361C72">
        <w:rPr>
          <w:szCs w:val="24"/>
        </w:rPr>
        <w:t xml:space="preserve"> </w:t>
      </w:r>
      <w:r w:rsidRPr="00361C72">
        <w:rPr>
          <w:szCs w:val="24"/>
        </w:rPr>
        <w:t>decid</w:t>
      </w:r>
      <w:r w:rsidR="00053F38">
        <w:rPr>
          <w:szCs w:val="24"/>
        </w:rPr>
        <w:t>ing</w:t>
      </w:r>
      <w:r w:rsidRPr="00361C72">
        <w:rPr>
          <w:szCs w:val="24"/>
        </w:rPr>
        <w:t xml:space="preserve"> whether </w:t>
      </w:r>
      <w:r w:rsidRPr="0036548F">
        <w:rPr>
          <w:szCs w:val="24"/>
        </w:rPr>
        <w:t>a</w:t>
      </w:r>
      <w:r w:rsidR="004F7D6A" w:rsidRPr="0036548F">
        <w:rPr>
          <w:szCs w:val="24"/>
        </w:rPr>
        <w:t>n</w:t>
      </w:r>
      <w:r w:rsidRPr="0036548F">
        <w:rPr>
          <w:szCs w:val="24"/>
        </w:rPr>
        <w:t xml:space="preserve"> authorization </w:t>
      </w:r>
      <w:r w:rsidR="004F7D6A" w:rsidRPr="0036548F">
        <w:rPr>
          <w:szCs w:val="24"/>
        </w:rPr>
        <w:t>for discharges</w:t>
      </w:r>
      <w:r w:rsidR="004F7D6A">
        <w:rPr>
          <w:szCs w:val="24"/>
        </w:rPr>
        <w:t xml:space="preserve"> </w:t>
      </w:r>
      <w:r w:rsidRPr="00361C72">
        <w:rPr>
          <w:szCs w:val="24"/>
        </w:rPr>
        <w:t xml:space="preserve">is </w:t>
      </w:r>
      <w:r w:rsidR="00053F38">
        <w:rPr>
          <w:szCs w:val="24"/>
        </w:rPr>
        <w:t>necessary</w:t>
      </w:r>
      <w:r w:rsidRPr="00C10D10">
        <w:rPr>
          <w:szCs w:val="24"/>
        </w:rPr>
        <w:t>.</w:t>
      </w:r>
      <w:r>
        <w:rPr>
          <w:szCs w:val="24"/>
        </w:rPr>
        <w:t xml:space="preserve"> </w:t>
      </w:r>
      <w:r w:rsidR="00C96059">
        <w:rPr>
          <w:szCs w:val="24"/>
        </w:rPr>
        <w:t xml:space="preserve">Radioactive discharges can be </w:t>
      </w:r>
      <w:r w:rsidR="00EE23D7">
        <w:rPr>
          <w:szCs w:val="24"/>
        </w:rPr>
        <w:t xml:space="preserve">considered for </w:t>
      </w:r>
      <w:r w:rsidR="00C96059">
        <w:rPr>
          <w:szCs w:val="24"/>
        </w:rPr>
        <w:t>authoriz</w:t>
      </w:r>
      <w:r w:rsidR="00EE23D7">
        <w:rPr>
          <w:szCs w:val="24"/>
        </w:rPr>
        <w:t>ation</w:t>
      </w:r>
      <w:r w:rsidR="00C96059">
        <w:rPr>
          <w:szCs w:val="24"/>
        </w:rPr>
        <w:t xml:space="preserve"> </w:t>
      </w:r>
      <w:r w:rsidR="00251767">
        <w:rPr>
          <w:szCs w:val="24"/>
        </w:rPr>
        <w:t xml:space="preserve">only </w:t>
      </w:r>
      <w:r w:rsidR="00C96059">
        <w:rPr>
          <w:szCs w:val="24"/>
        </w:rPr>
        <w:t xml:space="preserve">if the overall practice is justified. </w:t>
      </w:r>
      <w:r w:rsidR="00251767">
        <w:rPr>
          <w:szCs w:val="24"/>
        </w:rPr>
        <w:t xml:space="preserve">In order to decide </w:t>
      </w:r>
      <w:r w:rsidR="00FB464B" w:rsidRPr="00C10D10">
        <w:rPr>
          <w:szCs w:val="24"/>
        </w:rPr>
        <w:t>whether a</w:t>
      </w:r>
      <w:r w:rsidR="00053F38">
        <w:rPr>
          <w:szCs w:val="24"/>
        </w:rPr>
        <w:t>n authorization for</w:t>
      </w:r>
      <w:r w:rsidR="00FB464B" w:rsidRPr="00C10D10">
        <w:rPr>
          <w:szCs w:val="24"/>
        </w:rPr>
        <w:t xml:space="preserve"> discharge</w:t>
      </w:r>
      <w:r w:rsidR="00053F38">
        <w:rPr>
          <w:szCs w:val="24"/>
        </w:rPr>
        <w:t>s</w:t>
      </w:r>
      <w:r w:rsidR="00FB464B" w:rsidRPr="00C10D10">
        <w:rPr>
          <w:szCs w:val="24"/>
        </w:rPr>
        <w:t xml:space="preserve"> is </w:t>
      </w:r>
      <w:r w:rsidR="00053F38">
        <w:rPr>
          <w:szCs w:val="24"/>
        </w:rPr>
        <w:t>necessary,</w:t>
      </w:r>
      <w:r w:rsidR="00251767">
        <w:rPr>
          <w:szCs w:val="24"/>
        </w:rPr>
        <w:t xml:space="preserve"> a key factor is</w:t>
      </w:r>
      <w:r w:rsidR="00FB464B" w:rsidRPr="00C10D10">
        <w:rPr>
          <w:szCs w:val="24"/>
        </w:rPr>
        <w:t xml:space="preserve"> whether the </w:t>
      </w:r>
      <w:r w:rsidR="001020AA">
        <w:rPr>
          <w:szCs w:val="24"/>
        </w:rPr>
        <w:t xml:space="preserve">exposures due to </w:t>
      </w:r>
      <w:r w:rsidR="00053F38">
        <w:rPr>
          <w:szCs w:val="24"/>
        </w:rPr>
        <w:t xml:space="preserve">the </w:t>
      </w:r>
      <w:r w:rsidR="001020AA">
        <w:rPr>
          <w:szCs w:val="24"/>
        </w:rPr>
        <w:t>discharges</w:t>
      </w:r>
      <w:r w:rsidR="00FB464B" w:rsidRPr="00C10D10">
        <w:rPr>
          <w:szCs w:val="24"/>
        </w:rPr>
        <w:t xml:space="preserve"> </w:t>
      </w:r>
      <w:r w:rsidR="00EE23D7">
        <w:rPr>
          <w:szCs w:val="24"/>
        </w:rPr>
        <w:t xml:space="preserve">are </w:t>
      </w:r>
      <w:r w:rsidR="00FB464B" w:rsidRPr="00C10D10">
        <w:rPr>
          <w:szCs w:val="24"/>
        </w:rPr>
        <w:t>excluded</w:t>
      </w:r>
      <w:r w:rsidR="00EE23D7">
        <w:rPr>
          <w:szCs w:val="24"/>
        </w:rPr>
        <w:t xml:space="preserve"> from </w:t>
      </w:r>
      <w:r w:rsidR="004D13B4">
        <w:rPr>
          <w:szCs w:val="24"/>
        </w:rPr>
        <w:t>regulatory control</w:t>
      </w:r>
      <w:r w:rsidR="00FB464B" w:rsidRPr="00C10D10">
        <w:rPr>
          <w:szCs w:val="24"/>
        </w:rPr>
        <w:t xml:space="preserve"> or </w:t>
      </w:r>
      <w:r w:rsidR="00B40A9D">
        <w:rPr>
          <w:szCs w:val="24"/>
        </w:rPr>
        <w:t xml:space="preserve">the discharges </w:t>
      </w:r>
      <w:r w:rsidR="001F1D41">
        <w:rPr>
          <w:szCs w:val="24"/>
        </w:rPr>
        <w:t xml:space="preserve">can be </w:t>
      </w:r>
      <w:r w:rsidR="00FB464B" w:rsidRPr="00C10D10">
        <w:rPr>
          <w:szCs w:val="24"/>
        </w:rPr>
        <w:t xml:space="preserve">exempted from </w:t>
      </w:r>
      <w:r w:rsidR="004D13B4">
        <w:rPr>
          <w:szCs w:val="24"/>
        </w:rPr>
        <w:t>the requirement for an authorization</w:t>
      </w:r>
      <w:r w:rsidR="00FB464B" w:rsidRPr="00C10D10">
        <w:rPr>
          <w:szCs w:val="24"/>
        </w:rPr>
        <w:t>.</w:t>
      </w:r>
    </w:p>
    <w:p w:rsidR="00E02D99" w:rsidRPr="00FC4F29" w:rsidRDefault="00252303" w:rsidP="00397F5B">
      <w:pPr>
        <w:pStyle w:val="ListParagraph"/>
        <w:numPr>
          <w:ilvl w:val="0"/>
          <w:numId w:val="6"/>
        </w:numPr>
        <w:autoSpaceDE w:val="0"/>
        <w:autoSpaceDN w:val="0"/>
        <w:adjustRightInd w:val="0"/>
        <w:spacing w:before="120"/>
        <w:contextualSpacing w:val="0"/>
        <w:jc w:val="both"/>
        <w:rPr>
          <w:szCs w:val="24"/>
        </w:rPr>
      </w:pPr>
      <w:r w:rsidRPr="0036548F">
        <w:rPr>
          <w:szCs w:val="24"/>
        </w:rPr>
        <w:t xml:space="preserve">Authorization </w:t>
      </w:r>
      <w:r w:rsidR="004F7D6A" w:rsidRPr="0036548F">
        <w:rPr>
          <w:szCs w:val="24"/>
        </w:rPr>
        <w:t>for</w:t>
      </w:r>
      <w:r w:rsidRPr="0036548F">
        <w:rPr>
          <w:szCs w:val="24"/>
        </w:rPr>
        <w:t xml:space="preserve"> discharges</w:t>
      </w:r>
      <w:r w:rsidRPr="00C10D10">
        <w:rPr>
          <w:szCs w:val="24"/>
        </w:rPr>
        <w:t xml:space="preserve"> </w:t>
      </w:r>
      <w:r w:rsidR="00FB464B">
        <w:rPr>
          <w:szCs w:val="24"/>
        </w:rPr>
        <w:t xml:space="preserve">is not </w:t>
      </w:r>
      <w:r w:rsidR="00053F38">
        <w:rPr>
          <w:szCs w:val="24"/>
        </w:rPr>
        <w:t>necessary</w:t>
      </w:r>
      <w:r w:rsidR="00FB464B">
        <w:rPr>
          <w:szCs w:val="24"/>
        </w:rPr>
        <w:t xml:space="preserve"> </w:t>
      </w:r>
      <w:r w:rsidR="00361C72">
        <w:rPr>
          <w:szCs w:val="24"/>
        </w:rPr>
        <w:t>for</w:t>
      </w:r>
      <w:r w:rsidRPr="00C10D10">
        <w:rPr>
          <w:szCs w:val="24"/>
        </w:rPr>
        <w:t xml:space="preserve"> practices </w:t>
      </w:r>
      <w:r w:rsidR="00361C72">
        <w:rPr>
          <w:szCs w:val="24"/>
        </w:rPr>
        <w:t xml:space="preserve">that </w:t>
      </w:r>
      <w:r w:rsidR="00BB3C20">
        <w:rPr>
          <w:szCs w:val="24"/>
        </w:rPr>
        <w:t xml:space="preserve">are excluded from regulatory control because they </w:t>
      </w:r>
      <w:r w:rsidR="00361C72">
        <w:rPr>
          <w:szCs w:val="24"/>
        </w:rPr>
        <w:t xml:space="preserve">result in </w:t>
      </w:r>
      <w:r w:rsidR="000B44FA">
        <w:rPr>
          <w:szCs w:val="24"/>
        </w:rPr>
        <w:t>exposures</w:t>
      </w:r>
      <w:r w:rsidR="001020AA">
        <w:rPr>
          <w:szCs w:val="24"/>
        </w:rPr>
        <w:t xml:space="preserve"> </w:t>
      </w:r>
      <w:r w:rsidR="00053F38">
        <w:rPr>
          <w:szCs w:val="24"/>
        </w:rPr>
        <w:t>of</w:t>
      </w:r>
      <w:r w:rsidR="00053F38" w:rsidRPr="00C10D10">
        <w:rPr>
          <w:szCs w:val="24"/>
        </w:rPr>
        <w:t xml:space="preserve"> </w:t>
      </w:r>
      <w:r w:rsidR="00614753" w:rsidRPr="00C10D10">
        <w:rPr>
          <w:szCs w:val="24"/>
        </w:rPr>
        <w:t xml:space="preserve">the public </w:t>
      </w:r>
      <w:r w:rsidR="00053F38">
        <w:rPr>
          <w:szCs w:val="24"/>
        </w:rPr>
        <w:t>that</w:t>
      </w:r>
      <w:r w:rsidR="00361C72">
        <w:rPr>
          <w:szCs w:val="24"/>
        </w:rPr>
        <w:t xml:space="preserve"> </w:t>
      </w:r>
      <w:r w:rsidR="000B44FA">
        <w:rPr>
          <w:szCs w:val="24"/>
        </w:rPr>
        <w:t>are</w:t>
      </w:r>
      <w:r w:rsidRPr="00C10D10">
        <w:rPr>
          <w:szCs w:val="24"/>
        </w:rPr>
        <w:t xml:space="preserve"> </w:t>
      </w:r>
      <w:r w:rsidR="0001341D" w:rsidRPr="00C10D10">
        <w:rPr>
          <w:szCs w:val="24"/>
        </w:rPr>
        <w:t>deemed to be not amenable to control</w:t>
      </w:r>
      <w:r w:rsidR="00D25E5A">
        <w:rPr>
          <w:szCs w:val="24"/>
        </w:rPr>
        <w:t>,</w:t>
      </w:r>
      <w:r w:rsidRPr="00C10D10">
        <w:rPr>
          <w:szCs w:val="24"/>
        </w:rPr>
        <w:t xml:space="preserve"> </w:t>
      </w:r>
      <w:r w:rsidR="00614753" w:rsidRPr="00C10D10">
        <w:rPr>
          <w:szCs w:val="24"/>
        </w:rPr>
        <w:t>or</w:t>
      </w:r>
      <w:r w:rsidR="0096328F" w:rsidRPr="00C10D10">
        <w:rPr>
          <w:szCs w:val="24"/>
        </w:rPr>
        <w:t xml:space="preserve"> </w:t>
      </w:r>
      <w:r w:rsidR="00053F38">
        <w:rPr>
          <w:szCs w:val="24"/>
        </w:rPr>
        <w:t>for situations where</w:t>
      </w:r>
      <w:r w:rsidR="0096328F" w:rsidRPr="00C10D10">
        <w:rPr>
          <w:szCs w:val="24"/>
        </w:rPr>
        <w:t xml:space="preserve"> the</w:t>
      </w:r>
      <w:r w:rsidR="00C505DE">
        <w:rPr>
          <w:szCs w:val="24"/>
        </w:rPr>
        <w:t xml:space="preserve"> </w:t>
      </w:r>
      <w:r w:rsidR="0001341D" w:rsidRPr="00C10D10">
        <w:rPr>
          <w:szCs w:val="24"/>
        </w:rPr>
        <w:t xml:space="preserve">criteria for exemption </w:t>
      </w:r>
      <w:r w:rsidR="00053F38">
        <w:rPr>
          <w:szCs w:val="24"/>
        </w:rPr>
        <w:t>are</w:t>
      </w:r>
      <w:r w:rsidR="00EC2F84">
        <w:rPr>
          <w:szCs w:val="24"/>
        </w:rPr>
        <w:t xml:space="preserve"> fulfilled</w:t>
      </w:r>
      <w:r w:rsidR="0096328F" w:rsidRPr="00C10D10">
        <w:rPr>
          <w:szCs w:val="24"/>
        </w:rPr>
        <w:t>.</w:t>
      </w:r>
      <w:r w:rsidR="0001341D" w:rsidRPr="00C10D10">
        <w:rPr>
          <w:szCs w:val="24"/>
        </w:rPr>
        <w:t xml:space="preserve"> The regulatory body should </w:t>
      </w:r>
      <w:r w:rsidR="00E7351C" w:rsidRPr="00C10D10">
        <w:rPr>
          <w:szCs w:val="24"/>
        </w:rPr>
        <w:t>specify</w:t>
      </w:r>
      <w:r w:rsidR="0001341D" w:rsidRPr="00C10D10">
        <w:rPr>
          <w:szCs w:val="24"/>
        </w:rPr>
        <w:t xml:space="preserve"> when the </w:t>
      </w:r>
      <w:r w:rsidR="001F1D41">
        <w:rPr>
          <w:szCs w:val="24"/>
        </w:rPr>
        <w:t xml:space="preserve">radiation </w:t>
      </w:r>
      <w:r w:rsidR="00EE23D7">
        <w:rPr>
          <w:szCs w:val="24"/>
        </w:rPr>
        <w:t xml:space="preserve">exposures </w:t>
      </w:r>
      <w:r w:rsidR="001F1D41">
        <w:rPr>
          <w:szCs w:val="24"/>
        </w:rPr>
        <w:t xml:space="preserve">due to discharges </w:t>
      </w:r>
      <w:r w:rsidR="00EE23D7">
        <w:rPr>
          <w:szCs w:val="24"/>
        </w:rPr>
        <w:t>are</w:t>
      </w:r>
      <w:r w:rsidR="00C505DE">
        <w:rPr>
          <w:szCs w:val="24"/>
        </w:rPr>
        <w:t xml:space="preserve"> </w:t>
      </w:r>
      <w:r w:rsidR="0001341D" w:rsidRPr="00C10D10">
        <w:rPr>
          <w:szCs w:val="24"/>
        </w:rPr>
        <w:t>excluded</w:t>
      </w:r>
      <w:r w:rsidR="001F1D41">
        <w:rPr>
          <w:szCs w:val="24"/>
        </w:rPr>
        <w:t xml:space="preserve"> from </w:t>
      </w:r>
      <w:r w:rsidR="004D13B4">
        <w:rPr>
          <w:szCs w:val="24"/>
        </w:rPr>
        <w:t>regulatory control</w:t>
      </w:r>
      <w:r w:rsidR="0001341D" w:rsidRPr="00C10D10">
        <w:rPr>
          <w:rStyle w:val="FootnoteReference"/>
          <w:szCs w:val="24"/>
        </w:rPr>
        <w:footnoteReference w:id="13"/>
      </w:r>
      <w:r w:rsidR="00205987">
        <w:rPr>
          <w:szCs w:val="24"/>
        </w:rPr>
        <w:t xml:space="preserve">, </w:t>
      </w:r>
      <w:r w:rsidR="0001341D" w:rsidRPr="00C10D10">
        <w:rPr>
          <w:szCs w:val="24"/>
        </w:rPr>
        <w:t xml:space="preserve">or </w:t>
      </w:r>
      <w:r w:rsidR="004D13B4">
        <w:rPr>
          <w:szCs w:val="24"/>
        </w:rPr>
        <w:t xml:space="preserve">when </w:t>
      </w:r>
      <w:r w:rsidR="00EE23D7">
        <w:rPr>
          <w:szCs w:val="24"/>
        </w:rPr>
        <w:t xml:space="preserve">the </w:t>
      </w:r>
      <w:r w:rsidR="00846CA3">
        <w:rPr>
          <w:szCs w:val="24"/>
        </w:rPr>
        <w:t>discharges are</w:t>
      </w:r>
      <w:r w:rsidR="00EE23D7">
        <w:rPr>
          <w:szCs w:val="24"/>
        </w:rPr>
        <w:t xml:space="preserve"> </w:t>
      </w:r>
      <w:r w:rsidR="0001341D" w:rsidRPr="00C10D10">
        <w:rPr>
          <w:szCs w:val="24"/>
        </w:rPr>
        <w:t>exempted</w:t>
      </w:r>
      <w:r w:rsidR="00802C1C">
        <w:rPr>
          <w:szCs w:val="24"/>
        </w:rPr>
        <w:t xml:space="preserve"> </w:t>
      </w:r>
      <w:r w:rsidR="001F1D41">
        <w:rPr>
          <w:szCs w:val="24"/>
        </w:rPr>
        <w:t xml:space="preserve">from </w:t>
      </w:r>
      <w:r w:rsidR="004D13B4">
        <w:rPr>
          <w:szCs w:val="24"/>
        </w:rPr>
        <w:t>the requirement for an authorization</w:t>
      </w:r>
      <w:r w:rsidR="00053F38">
        <w:rPr>
          <w:szCs w:val="24"/>
        </w:rPr>
        <w:t>,</w:t>
      </w:r>
      <w:r w:rsidR="001F1D41">
        <w:rPr>
          <w:szCs w:val="24"/>
        </w:rPr>
        <w:t xml:space="preserve"> </w:t>
      </w:r>
      <w:r w:rsidR="00205987">
        <w:rPr>
          <w:szCs w:val="24"/>
        </w:rPr>
        <w:t xml:space="preserve">in </w:t>
      </w:r>
      <w:r w:rsidR="00B40A9D">
        <w:rPr>
          <w:szCs w:val="24"/>
        </w:rPr>
        <w:t>accord</w:t>
      </w:r>
      <w:r w:rsidR="00205987">
        <w:rPr>
          <w:szCs w:val="24"/>
        </w:rPr>
        <w:t>ance with</w:t>
      </w:r>
      <w:r w:rsidR="00B40A9D">
        <w:rPr>
          <w:szCs w:val="24"/>
        </w:rPr>
        <w:t xml:space="preserve"> </w:t>
      </w:r>
      <w:r w:rsidR="00053F38">
        <w:rPr>
          <w:szCs w:val="24"/>
        </w:rPr>
        <w:t xml:space="preserve">the </w:t>
      </w:r>
      <w:r w:rsidR="00B40A9D">
        <w:rPr>
          <w:szCs w:val="24"/>
        </w:rPr>
        <w:t>definitions and</w:t>
      </w:r>
      <w:r w:rsidR="00802C1C">
        <w:rPr>
          <w:szCs w:val="24"/>
        </w:rPr>
        <w:t xml:space="preserve"> the criteria </w:t>
      </w:r>
      <w:r w:rsidR="00053F38">
        <w:rPr>
          <w:szCs w:val="24"/>
        </w:rPr>
        <w:t xml:space="preserve">established </w:t>
      </w:r>
      <w:r w:rsidR="00802C1C">
        <w:rPr>
          <w:szCs w:val="24"/>
        </w:rPr>
        <w:t xml:space="preserve">in </w:t>
      </w:r>
      <w:r w:rsidR="00802C1C" w:rsidRPr="00802C1C">
        <w:rPr>
          <w:szCs w:val="24"/>
        </w:rPr>
        <w:t xml:space="preserve">Schedule I </w:t>
      </w:r>
      <w:r w:rsidR="00053F38">
        <w:rPr>
          <w:szCs w:val="24"/>
        </w:rPr>
        <w:t>of</w:t>
      </w:r>
      <w:r w:rsidR="00053F38" w:rsidRPr="00802C1C">
        <w:rPr>
          <w:szCs w:val="24"/>
        </w:rPr>
        <w:t xml:space="preserve"> </w:t>
      </w:r>
      <w:r w:rsidR="00802C1C" w:rsidRPr="00802C1C">
        <w:rPr>
          <w:szCs w:val="24"/>
        </w:rPr>
        <w:t xml:space="preserve">GSR Part 3 </w:t>
      </w:r>
      <w:r w:rsidR="00417BFF">
        <w:rPr>
          <w:szCs w:val="24"/>
        </w:rPr>
        <w:t>[3]</w:t>
      </w:r>
      <w:r w:rsidR="00802C1C">
        <w:rPr>
          <w:rStyle w:val="FootnoteReference"/>
          <w:szCs w:val="24"/>
        </w:rPr>
        <w:footnoteReference w:id="14"/>
      </w:r>
      <w:r w:rsidR="00361C72">
        <w:rPr>
          <w:szCs w:val="24"/>
        </w:rPr>
        <w:t>.</w:t>
      </w:r>
    </w:p>
    <w:p w:rsidR="00397F5B" w:rsidRDefault="00FC4F29" w:rsidP="00397F5B">
      <w:pPr>
        <w:autoSpaceDE w:val="0"/>
        <w:autoSpaceDN w:val="0"/>
        <w:adjustRightInd w:val="0"/>
        <w:spacing w:before="120" w:line="360" w:lineRule="auto"/>
        <w:jc w:val="center"/>
        <w:rPr>
          <w:rFonts w:ascii="Times New Roman" w:hAnsi="Times New Roman"/>
          <w:sz w:val="24"/>
          <w:szCs w:val="24"/>
        </w:rPr>
      </w:pPr>
      <w:r>
        <w:rPr>
          <w:rFonts w:ascii="Times New Roman" w:hAnsi="Times New Roman"/>
          <w:noProof/>
          <w:sz w:val="24"/>
          <w:szCs w:val="24"/>
          <w:lang w:eastAsia="en-GB"/>
        </w:rPr>
        <w:lastRenderedPageBreak/>
        <w:drawing>
          <wp:inline distT="0" distB="0" distL="0" distR="0" wp14:anchorId="3DD0DEFB">
            <wp:extent cx="3951316" cy="312002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2884" cy="3121259"/>
                    </a:xfrm>
                    <a:prstGeom prst="rect">
                      <a:avLst/>
                    </a:prstGeom>
                    <a:noFill/>
                  </pic:spPr>
                </pic:pic>
              </a:graphicData>
            </a:graphic>
          </wp:inline>
        </w:drawing>
      </w:r>
    </w:p>
    <w:p w:rsidR="00397F5B" w:rsidRPr="00C10D10" w:rsidRDefault="00397F5B" w:rsidP="00A814F1">
      <w:pPr>
        <w:autoSpaceDE w:val="0"/>
        <w:autoSpaceDN w:val="0"/>
        <w:adjustRightInd w:val="0"/>
        <w:spacing w:before="120" w:line="360" w:lineRule="auto"/>
        <w:jc w:val="center"/>
        <w:rPr>
          <w:rFonts w:ascii="Times New Roman" w:hAnsi="Times New Roman"/>
          <w:i/>
          <w:sz w:val="24"/>
          <w:szCs w:val="24"/>
        </w:rPr>
      </w:pPr>
      <w:proofErr w:type="gramStart"/>
      <w:r w:rsidRPr="00C10D10">
        <w:rPr>
          <w:rFonts w:ascii="Times New Roman" w:hAnsi="Times New Roman"/>
          <w:i/>
          <w:sz w:val="24"/>
          <w:szCs w:val="24"/>
        </w:rPr>
        <w:t>FIG. 1.</w:t>
      </w:r>
      <w:proofErr w:type="gramEnd"/>
      <w:r w:rsidRPr="00C10D10">
        <w:rPr>
          <w:rFonts w:ascii="Times New Roman" w:hAnsi="Times New Roman"/>
          <w:i/>
          <w:sz w:val="24"/>
          <w:szCs w:val="24"/>
        </w:rPr>
        <w:t xml:space="preserve"> </w:t>
      </w:r>
      <w:r w:rsidR="00B22247">
        <w:rPr>
          <w:rFonts w:ascii="Times New Roman" w:hAnsi="Times New Roman"/>
          <w:i/>
          <w:sz w:val="24"/>
          <w:szCs w:val="24"/>
        </w:rPr>
        <w:t>Flow chart depicting a</w:t>
      </w:r>
      <w:r w:rsidR="00B22247" w:rsidRPr="00C10D10">
        <w:rPr>
          <w:rFonts w:ascii="Times New Roman" w:hAnsi="Times New Roman"/>
          <w:i/>
          <w:sz w:val="24"/>
          <w:szCs w:val="24"/>
        </w:rPr>
        <w:t xml:space="preserve"> </w:t>
      </w:r>
      <w:r w:rsidRPr="00C10D10">
        <w:rPr>
          <w:rFonts w:ascii="Times New Roman" w:hAnsi="Times New Roman"/>
          <w:i/>
          <w:sz w:val="24"/>
          <w:szCs w:val="24"/>
        </w:rPr>
        <w:t xml:space="preserve">decision process to determine the need </w:t>
      </w:r>
      <w:r w:rsidR="00B22247">
        <w:rPr>
          <w:rFonts w:ascii="Times New Roman" w:hAnsi="Times New Roman"/>
          <w:i/>
          <w:sz w:val="24"/>
          <w:szCs w:val="24"/>
        </w:rPr>
        <w:t>for</w:t>
      </w:r>
      <w:r w:rsidR="00B22247" w:rsidRPr="00C10D10">
        <w:rPr>
          <w:rFonts w:ascii="Times New Roman" w:hAnsi="Times New Roman"/>
          <w:i/>
          <w:sz w:val="24"/>
          <w:szCs w:val="24"/>
        </w:rPr>
        <w:t xml:space="preserve"> </w:t>
      </w:r>
      <w:r w:rsidRPr="00C10D10">
        <w:rPr>
          <w:rFonts w:ascii="Times New Roman" w:hAnsi="Times New Roman"/>
          <w:i/>
          <w:sz w:val="24"/>
          <w:szCs w:val="24"/>
        </w:rPr>
        <w:t>a</w:t>
      </w:r>
      <w:r w:rsidR="004F7D6A">
        <w:rPr>
          <w:rFonts w:ascii="Times New Roman" w:hAnsi="Times New Roman"/>
          <w:i/>
          <w:sz w:val="24"/>
          <w:szCs w:val="24"/>
        </w:rPr>
        <w:t>n</w:t>
      </w:r>
      <w:r w:rsidRPr="00C10D10">
        <w:rPr>
          <w:rFonts w:ascii="Times New Roman" w:hAnsi="Times New Roman"/>
          <w:i/>
          <w:sz w:val="24"/>
          <w:szCs w:val="24"/>
        </w:rPr>
        <w:t xml:space="preserve"> </w:t>
      </w:r>
      <w:r w:rsidR="004F7D6A" w:rsidRPr="00FC4F29">
        <w:rPr>
          <w:rFonts w:ascii="Times New Roman" w:hAnsi="Times New Roman"/>
          <w:i/>
          <w:sz w:val="24"/>
          <w:szCs w:val="24"/>
        </w:rPr>
        <w:t>authorization for discharges</w:t>
      </w:r>
      <w:r w:rsidRPr="00053F38">
        <w:rPr>
          <w:rFonts w:ascii="Times New Roman" w:hAnsi="Times New Roman"/>
          <w:i/>
          <w:sz w:val="24"/>
          <w:szCs w:val="24"/>
        </w:rPr>
        <w:t>.</w:t>
      </w:r>
    </w:p>
    <w:p w:rsidR="00397F5B" w:rsidRPr="00C10D10" w:rsidRDefault="00397F5B" w:rsidP="00397F5B">
      <w:pPr>
        <w:rPr>
          <w:rFonts w:ascii="Times New Roman" w:hAnsi="Times New Roman"/>
          <w:sz w:val="24"/>
          <w:szCs w:val="24"/>
        </w:rPr>
      </w:pPr>
    </w:p>
    <w:p w:rsidR="00101F32" w:rsidRPr="00C10D10" w:rsidRDefault="00A147C1" w:rsidP="0091132F">
      <w:pPr>
        <w:pStyle w:val="ListParagraph"/>
        <w:numPr>
          <w:ilvl w:val="0"/>
          <w:numId w:val="6"/>
        </w:numPr>
        <w:autoSpaceDE w:val="0"/>
        <w:autoSpaceDN w:val="0"/>
        <w:adjustRightInd w:val="0"/>
        <w:spacing w:before="120"/>
        <w:contextualSpacing w:val="0"/>
        <w:jc w:val="both"/>
        <w:rPr>
          <w:szCs w:val="24"/>
        </w:rPr>
      </w:pPr>
      <w:r w:rsidRPr="00C10D10">
        <w:rPr>
          <w:szCs w:val="24"/>
        </w:rPr>
        <w:t xml:space="preserve">Exemption </w:t>
      </w:r>
      <w:r w:rsidR="001E78D4">
        <w:rPr>
          <w:szCs w:val="24"/>
        </w:rPr>
        <w:t xml:space="preserve">from the requirement for an authorization for discharges </w:t>
      </w:r>
      <w:r w:rsidRPr="00C10D10">
        <w:rPr>
          <w:szCs w:val="24"/>
        </w:rPr>
        <w:t xml:space="preserve">may be </w:t>
      </w:r>
      <w:r w:rsidR="0084780F">
        <w:rPr>
          <w:szCs w:val="24"/>
        </w:rPr>
        <w:t>granted</w:t>
      </w:r>
      <w:r w:rsidR="0084780F" w:rsidRPr="00C10D10">
        <w:rPr>
          <w:szCs w:val="24"/>
        </w:rPr>
        <w:t xml:space="preserve"> </w:t>
      </w:r>
      <w:r w:rsidR="00623149">
        <w:rPr>
          <w:szCs w:val="24"/>
        </w:rPr>
        <w:t xml:space="preserve">generically </w:t>
      </w:r>
      <w:r w:rsidR="00E02D99">
        <w:rPr>
          <w:szCs w:val="24"/>
        </w:rPr>
        <w:t xml:space="preserve">for certain types of practice </w:t>
      </w:r>
      <w:r w:rsidR="00623149">
        <w:rPr>
          <w:szCs w:val="24"/>
        </w:rPr>
        <w:t>(e.g. certain uses of short live</w:t>
      </w:r>
      <w:r w:rsidR="00A45384">
        <w:rPr>
          <w:szCs w:val="24"/>
        </w:rPr>
        <w:t>d</w:t>
      </w:r>
      <w:r w:rsidR="00623149">
        <w:rPr>
          <w:szCs w:val="24"/>
        </w:rPr>
        <w:t xml:space="preserve"> radionuclides in medicine </w:t>
      </w:r>
      <w:r w:rsidR="00A45384">
        <w:rPr>
          <w:szCs w:val="24"/>
        </w:rPr>
        <w:t xml:space="preserve">for diagnosis </w:t>
      </w:r>
      <w:r w:rsidR="00623149">
        <w:rPr>
          <w:szCs w:val="24"/>
        </w:rPr>
        <w:t xml:space="preserve">or </w:t>
      </w:r>
      <w:r w:rsidR="00A20E64">
        <w:rPr>
          <w:szCs w:val="24"/>
        </w:rPr>
        <w:t xml:space="preserve">as radiotracers in </w:t>
      </w:r>
      <w:r w:rsidR="00623149">
        <w:rPr>
          <w:szCs w:val="24"/>
        </w:rPr>
        <w:t>small research laboratories)</w:t>
      </w:r>
      <w:r w:rsidRPr="00C10D10">
        <w:rPr>
          <w:szCs w:val="24"/>
        </w:rPr>
        <w:t xml:space="preserve"> or on a case</w:t>
      </w:r>
      <w:r w:rsidR="005526E5">
        <w:rPr>
          <w:szCs w:val="24"/>
        </w:rPr>
        <w:t xml:space="preserve"> </w:t>
      </w:r>
      <w:r w:rsidRPr="00C10D10">
        <w:rPr>
          <w:szCs w:val="24"/>
        </w:rPr>
        <w:t>by</w:t>
      </w:r>
      <w:r w:rsidR="005526E5">
        <w:rPr>
          <w:szCs w:val="24"/>
        </w:rPr>
        <w:t xml:space="preserve"> </w:t>
      </w:r>
      <w:r w:rsidRPr="00C10D10">
        <w:rPr>
          <w:szCs w:val="24"/>
        </w:rPr>
        <w:t xml:space="preserve">case basis. If </w:t>
      </w:r>
      <w:r w:rsidR="004D13B4">
        <w:rPr>
          <w:szCs w:val="24"/>
        </w:rPr>
        <w:t xml:space="preserve">exemption is to be </w:t>
      </w:r>
      <w:r w:rsidR="005526E5">
        <w:rPr>
          <w:szCs w:val="24"/>
        </w:rPr>
        <w:t>granted</w:t>
      </w:r>
      <w:r w:rsidR="005526E5" w:rsidRPr="00C10D10">
        <w:rPr>
          <w:szCs w:val="24"/>
        </w:rPr>
        <w:t xml:space="preserve"> </w:t>
      </w:r>
      <w:r w:rsidRPr="00C10D10">
        <w:rPr>
          <w:szCs w:val="24"/>
        </w:rPr>
        <w:t xml:space="preserve">generically, the regulatory body should </w:t>
      </w:r>
      <w:r w:rsidR="00623149">
        <w:rPr>
          <w:szCs w:val="24"/>
        </w:rPr>
        <w:t>specify</w:t>
      </w:r>
      <w:r w:rsidR="00623149" w:rsidRPr="00C10D10">
        <w:rPr>
          <w:szCs w:val="24"/>
        </w:rPr>
        <w:t xml:space="preserve"> </w:t>
      </w:r>
      <w:r w:rsidRPr="00C10D10">
        <w:rPr>
          <w:szCs w:val="24"/>
        </w:rPr>
        <w:t xml:space="preserve">the conditions </w:t>
      </w:r>
      <w:r w:rsidR="004D13B4">
        <w:rPr>
          <w:szCs w:val="24"/>
        </w:rPr>
        <w:t xml:space="preserve">under </w:t>
      </w:r>
      <w:r w:rsidR="00623149">
        <w:rPr>
          <w:szCs w:val="24"/>
        </w:rPr>
        <w:t>which the</w:t>
      </w:r>
      <w:r w:rsidRPr="00C10D10">
        <w:rPr>
          <w:szCs w:val="24"/>
        </w:rPr>
        <w:t xml:space="preserve"> exemption </w:t>
      </w:r>
      <w:r w:rsidR="00E02D99">
        <w:rPr>
          <w:szCs w:val="24"/>
        </w:rPr>
        <w:t>of discharge</w:t>
      </w:r>
      <w:r w:rsidR="004F7D6A">
        <w:rPr>
          <w:szCs w:val="24"/>
        </w:rPr>
        <w:t>s</w:t>
      </w:r>
      <w:r w:rsidR="004D13B4">
        <w:rPr>
          <w:szCs w:val="24"/>
        </w:rPr>
        <w:t xml:space="preserve"> is warranted</w:t>
      </w:r>
      <w:r w:rsidR="00A81D16">
        <w:rPr>
          <w:szCs w:val="24"/>
        </w:rPr>
        <w:t xml:space="preserve"> for the particular practice</w:t>
      </w:r>
      <w:r w:rsidRPr="00C10D10">
        <w:rPr>
          <w:szCs w:val="24"/>
        </w:rPr>
        <w:t xml:space="preserve">. </w:t>
      </w:r>
      <w:r w:rsidR="005526E5">
        <w:rPr>
          <w:szCs w:val="24"/>
        </w:rPr>
        <w:t>E</w:t>
      </w:r>
      <w:r w:rsidRPr="00C10D10">
        <w:rPr>
          <w:szCs w:val="24"/>
        </w:rPr>
        <w:t xml:space="preserve">xemption </w:t>
      </w:r>
      <w:r w:rsidR="005526E5">
        <w:rPr>
          <w:szCs w:val="24"/>
        </w:rPr>
        <w:t>is a decision made</w:t>
      </w:r>
      <w:r w:rsidR="005526E5" w:rsidRPr="00C10D10">
        <w:rPr>
          <w:szCs w:val="24"/>
        </w:rPr>
        <w:t xml:space="preserve"> </w:t>
      </w:r>
      <w:r w:rsidRPr="00C10D10">
        <w:rPr>
          <w:szCs w:val="24"/>
        </w:rPr>
        <w:t>within the regulatory system and the provisions for exemption may be amended by the regulatory body.</w:t>
      </w:r>
      <w:r w:rsidR="00101F32" w:rsidRPr="00C10D10">
        <w:rPr>
          <w:szCs w:val="24"/>
        </w:rPr>
        <w:t xml:space="preserve"> </w:t>
      </w:r>
      <w:r w:rsidR="00E843E1">
        <w:rPr>
          <w:szCs w:val="24"/>
        </w:rPr>
        <w:t xml:space="preserve">In cases where exemption is </w:t>
      </w:r>
      <w:r w:rsidR="00541F86">
        <w:rPr>
          <w:szCs w:val="24"/>
        </w:rPr>
        <w:t>granted</w:t>
      </w:r>
      <w:r w:rsidR="00101F32" w:rsidRPr="00C10D10">
        <w:rPr>
          <w:szCs w:val="24"/>
        </w:rPr>
        <w:t xml:space="preserve">, no </w:t>
      </w:r>
      <w:r w:rsidR="004D13B4">
        <w:rPr>
          <w:szCs w:val="24"/>
        </w:rPr>
        <w:t xml:space="preserve">authorization for </w:t>
      </w:r>
      <w:r w:rsidR="00101F32" w:rsidRPr="00C10D10">
        <w:rPr>
          <w:szCs w:val="24"/>
        </w:rPr>
        <w:t>discharge</w:t>
      </w:r>
      <w:r w:rsidR="004D13B4">
        <w:rPr>
          <w:szCs w:val="24"/>
        </w:rPr>
        <w:t>s</w:t>
      </w:r>
      <w:r w:rsidR="00101F32" w:rsidRPr="00C10D10">
        <w:rPr>
          <w:szCs w:val="24"/>
        </w:rPr>
        <w:t xml:space="preserve"> </w:t>
      </w:r>
      <w:r w:rsidR="00847B9F">
        <w:rPr>
          <w:szCs w:val="24"/>
        </w:rPr>
        <w:t>is necessary</w:t>
      </w:r>
      <w:r w:rsidR="00101F32" w:rsidRPr="00C10D10">
        <w:rPr>
          <w:szCs w:val="24"/>
        </w:rPr>
        <w:t xml:space="preserve"> and </w:t>
      </w:r>
      <w:r w:rsidR="00E02D99">
        <w:rPr>
          <w:szCs w:val="24"/>
        </w:rPr>
        <w:t xml:space="preserve">the regulatory body </w:t>
      </w:r>
      <w:r w:rsidR="001E78D4">
        <w:rPr>
          <w:szCs w:val="24"/>
        </w:rPr>
        <w:t>may decide to</w:t>
      </w:r>
      <w:r w:rsidR="00E02D99">
        <w:rPr>
          <w:szCs w:val="24"/>
        </w:rPr>
        <w:t xml:space="preserve"> verify by </w:t>
      </w:r>
      <w:r w:rsidR="00101F32" w:rsidRPr="00C10D10">
        <w:rPr>
          <w:szCs w:val="24"/>
        </w:rPr>
        <w:t xml:space="preserve">simple checks </w:t>
      </w:r>
      <w:r w:rsidR="00E02D99">
        <w:rPr>
          <w:szCs w:val="24"/>
        </w:rPr>
        <w:t xml:space="preserve">that the conditions </w:t>
      </w:r>
      <w:r w:rsidR="00BE03ED">
        <w:rPr>
          <w:szCs w:val="24"/>
        </w:rPr>
        <w:t>for</w:t>
      </w:r>
      <w:r w:rsidR="00E02D99">
        <w:rPr>
          <w:szCs w:val="24"/>
        </w:rPr>
        <w:t xml:space="preserve"> grant</w:t>
      </w:r>
      <w:r w:rsidR="00BE03ED">
        <w:rPr>
          <w:szCs w:val="24"/>
        </w:rPr>
        <w:t>ing</w:t>
      </w:r>
      <w:r w:rsidR="00E02D99">
        <w:rPr>
          <w:szCs w:val="24"/>
        </w:rPr>
        <w:t xml:space="preserve"> exemption to the discharges still apply</w:t>
      </w:r>
      <w:r w:rsidR="00101F32" w:rsidRPr="00C10D10">
        <w:rPr>
          <w:szCs w:val="24"/>
        </w:rPr>
        <w:t xml:space="preserve">, for example, from </w:t>
      </w:r>
      <w:r w:rsidR="00623149">
        <w:rPr>
          <w:szCs w:val="24"/>
        </w:rPr>
        <w:t xml:space="preserve">records </w:t>
      </w:r>
      <w:r w:rsidR="00A20E64">
        <w:rPr>
          <w:szCs w:val="24"/>
        </w:rPr>
        <w:t>o</w:t>
      </w:r>
      <w:r w:rsidR="0026700D">
        <w:rPr>
          <w:szCs w:val="24"/>
        </w:rPr>
        <w:t>n</w:t>
      </w:r>
      <w:r w:rsidR="00A20E64">
        <w:rPr>
          <w:szCs w:val="24"/>
        </w:rPr>
        <w:t xml:space="preserve"> acquisition</w:t>
      </w:r>
      <w:r w:rsidR="0026700D">
        <w:rPr>
          <w:szCs w:val="24"/>
        </w:rPr>
        <w:t>s</w:t>
      </w:r>
      <w:r w:rsidR="00A20E64">
        <w:rPr>
          <w:szCs w:val="24"/>
        </w:rPr>
        <w:t xml:space="preserve"> of radionuclides </w:t>
      </w:r>
      <w:r w:rsidR="00623149">
        <w:rPr>
          <w:szCs w:val="24"/>
        </w:rPr>
        <w:t xml:space="preserve">that </w:t>
      </w:r>
      <w:r w:rsidR="00BE03ED">
        <w:rPr>
          <w:szCs w:val="24"/>
        </w:rPr>
        <w:t>permit the</w:t>
      </w:r>
      <w:r w:rsidR="00101F32" w:rsidRPr="00C10D10">
        <w:rPr>
          <w:szCs w:val="24"/>
        </w:rPr>
        <w:t xml:space="preserve"> activity </w:t>
      </w:r>
      <w:r w:rsidR="00BE03ED">
        <w:rPr>
          <w:szCs w:val="24"/>
        </w:rPr>
        <w:t>released to the environment to be estimated</w:t>
      </w:r>
      <w:r w:rsidR="00101F32" w:rsidRPr="00C10D10">
        <w:rPr>
          <w:szCs w:val="24"/>
        </w:rPr>
        <w:t>.</w:t>
      </w:r>
    </w:p>
    <w:p w:rsidR="00A147C1" w:rsidRPr="00E4546E" w:rsidRDefault="00E4546E" w:rsidP="0091132F">
      <w:pPr>
        <w:pStyle w:val="ListParagraph"/>
        <w:numPr>
          <w:ilvl w:val="0"/>
          <w:numId w:val="6"/>
        </w:numPr>
        <w:autoSpaceDE w:val="0"/>
        <w:autoSpaceDN w:val="0"/>
        <w:adjustRightInd w:val="0"/>
        <w:spacing w:before="120"/>
        <w:contextualSpacing w:val="0"/>
        <w:jc w:val="both"/>
        <w:rPr>
          <w:szCs w:val="24"/>
        </w:rPr>
      </w:pPr>
      <w:r>
        <w:rPr>
          <w:szCs w:val="24"/>
        </w:rPr>
        <w:t xml:space="preserve">In some cases, the regulatory body could decide that </w:t>
      </w:r>
      <w:r w:rsidR="004A4BDC">
        <w:rPr>
          <w:szCs w:val="24"/>
        </w:rPr>
        <w:t xml:space="preserve">a practice and </w:t>
      </w:r>
      <w:r>
        <w:rPr>
          <w:szCs w:val="24"/>
        </w:rPr>
        <w:t xml:space="preserve">the </w:t>
      </w:r>
      <w:r w:rsidR="004A4BDC">
        <w:rPr>
          <w:szCs w:val="24"/>
        </w:rPr>
        <w:t xml:space="preserve">associated </w:t>
      </w:r>
      <w:r>
        <w:rPr>
          <w:szCs w:val="24"/>
        </w:rPr>
        <w:t>discharges need only notification</w:t>
      </w:r>
      <w:r w:rsidR="004A4BDC">
        <w:rPr>
          <w:szCs w:val="24"/>
        </w:rPr>
        <w:t xml:space="preserve"> (and no</w:t>
      </w:r>
      <w:r w:rsidR="004D13B4">
        <w:rPr>
          <w:szCs w:val="24"/>
        </w:rPr>
        <w:t>t</w:t>
      </w:r>
      <w:r w:rsidR="004A4BDC">
        <w:rPr>
          <w:szCs w:val="24"/>
        </w:rPr>
        <w:t xml:space="preserve"> authorization)</w:t>
      </w:r>
      <w:r>
        <w:rPr>
          <w:szCs w:val="24"/>
        </w:rPr>
        <w:t xml:space="preserve">. </w:t>
      </w:r>
      <w:r w:rsidR="00A147C1" w:rsidRPr="00CA6FF4">
        <w:rPr>
          <w:szCs w:val="24"/>
        </w:rPr>
        <w:t xml:space="preserve">Notification </w:t>
      </w:r>
      <w:r w:rsidR="0021120B">
        <w:rPr>
          <w:szCs w:val="24"/>
        </w:rPr>
        <w:t xml:space="preserve">alone </w:t>
      </w:r>
      <w:r w:rsidR="00A147C1" w:rsidRPr="00CA6FF4">
        <w:rPr>
          <w:szCs w:val="24"/>
        </w:rPr>
        <w:t xml:space="preserve">should be used </w:t>
      </w:r>
      <w:r w:rsidR="00BE03ED" w:rsidRPr="00CA6FF4">
        <w:rPr>
          <w:szCs w:val="24"/>
        </w:rPr>
        <w:t xml:space="preserve">only </w:t>
      </w:r>
      <w:r w:rsidR="00A147C1" w:rsidRPr="00CA6FF4">
        <w:rPr>
          <w:szCs w:val="24"/>
        </w:rPr>
        <w:t xml:space="preserve">when the doses </w:t>
      </w:r>
      <w:r w:rsidR="00541F86" w:rsidRPr="00CA6FF4">
        <w:rPr>
          <w:szCs w:val="24"/>
        </w:rPr>
        <w:t xml:space="preserve">to the public </w:t>
      </w:r>
      <w:r w:rsidR="00CA6FF4" w:rsidRPr="00CA6FF4">
        <w:rPr>
          <w:szCs w:val="24"/>
        </w:rPr>
        <w:t xml:space="preserve">expected from normal operation </w:t>
      </w:r>
      <w:r w:rsidR="00A147C1" w:rsidRPr="00CA6FF4">
        <w:rPr>
          <w:szCs w:val="24"/>
        </w:rPr>
        <w:t xml:space="preserve">are low </w:t>
      </w:r>
      <w:r w:rsidR="00CA6FF4" w:rsidRPr="00CA6FF4">
        <w:rPr>
          <w:szCs w:val="24"/>
        </w:rPr>
        <w:t xml:space="preserve">(e.g. a small fraction of the relevant </w:t>
      </w:r>
      <w:r w:rsidR="001E78D4">
        <w:rPr>
          <w:szCs w:val="24"/>
        </w:rPr>
        <w:t xml:space="preserve">dose </w:t>
      </w:r>
      <w:r w:rsidR="00C83F9A">
        <w:rPr>
          <w:szCs w:val="24"/>
        </w:rPr>
        <w:t>constraint)</w:t>
      </w:r>
      <w:r w:rsidR="00CA6FF4">
        <w:rPr>
          <w:szCs w:val="24"/>
        </w:rPr>
        <w:t>,</w:t>
      </w:r>
      <w:r w:rsidR="00CA6FF4" w:rsidRPr="00CA6FF4">
        <w:rPr>
          <w:szCs w:val="24"/>
        </w:rPr>
        <w:t xml:space="preserve"> the likelihood and </w:t>
      </w:r>
      <w:r w:rsidR="0021120B">
        <w:rPr>
          <w:szCs w:val="24"/>
        </w:rPr>
        <w:t xml:space="preserve">magnitude </w:t>
      </w:r>
      <w:r w:rsidR="00CA6FF4" w:rsidRPr="00CA6FF4">
        <w:rPr>
          <w:szCs w:val="24"/>
        </w:rPr>
        <w:t>of potenti</w:t>
      </w:r>
      <w:r w:rsidR="00CA6FF4" w:rsidRPr="0021120B">
        <w:rPr>
          <w:szCs w:val="24"/>
        </w:rPr>
        <w:t xml:space="preserve">al exposures are negligible </w:t>
      </w:r>
      <w:r w:rsidR="00A147C1" w:rsidRPr="0021120B">
        <w:rPr>
          <w:szCs w:val="24"/>
        </w:rPr>
        <w:t xml:space="preserve">and the regulatory body does not consider exemption to be appropriate. </w:t>
      </w:r>
      <w:r w:rsidR="00CA6FF4" w:rsidRPr="0021120B">
        <w:rPr>
          <w:szCs w:val="24"/>
        </w:rPr>
        <w:t xml:space="preserve">This can usually be </w:t>
      </w:r>
      <w:r w:rsidR="00BE03ED">
        <w:rPr>
          <w:szCs w:val="24"/>
        </w:rPr>
        <w:t>determined</w:t>
      </w:r>
      <w:r w:rsidR="00CA6FF4" w:rsidRPr="0021120B">
        <w:rPr>
          <w:szCs w:val="24"/>
        </w:rPr>
        <w:t xml:space="preserve"> on</w:t>
      </w:r>
      <w:r w:rsidR="00CA6FF4">
        <w:rPr>
          <w:szCs w:val="24"/>
        </w:rPr>
        <w:t xml:space="preserve"> </w:t>
      </w:r>
      <w:r w:rsidR="00CA6FF4" w:rsidRPr="00CA6FF4">
        <w:rPr>
          <w:szCs w:val="24"/>
        </w:rPr>
        <w:t xml:space="preserve">the basis of previous experience or </w:t>
      </w:r>
      <w:r w:rsidR="00BE03ED">
        <w:rPr>
          <w:szCs w:val="24"/>
        </w:rPr>
        <w:t xml:space="preserve">by means of </w:t>
      </w:r>
      <w:r w:rsidR="00CA6FF4" w:rsidRPr="00CA6FF4">
        <w:rPr>
          <w:szCs w:val="24"/>
        </w:rPr>
        <w:t>a preliminary qualitative assessment</w:t>
      </w:r>
      <w:r w:rsidR="00CA6FF4">
        <w:rPr>
          <w:szCs w:val="24"/>
        </w:rPr>
        <w:t>.</w:t>
      </w:r>
      <w:r w:rsidR="00CA6FF4" w:rsidRPr="00CA6FF4">
        <w:rPr>
          <w:szCs w:val="24"/>
        </w:rPr>
        <w:t xml:space="preserve"> </w:t>
      </w:r>
      <w:r w:rsidR="00A147C1" w:rsidRPr="00CA6FF4">
        <w:rPr>
          <w:szCs w:val="24"/>
        </w:rPr>
        <w:t xml:space="preserve">Notification makes the regulatory body aware of the discharges and </w:t>
      </w:r>
      <w:r w:rsidR="00A147C1" w:rsidRPr="00CA6FF4">
        <w:rPr>
          <w:szCs w:val="24"/>
        </w:rPr>
        <w:lastRenderedPageBreak/>
        <w:t xml:space="preserve">provides </w:t>
      </w:r>
      <w:r w:rsidR="00CB5616">
        <w:rPr>
          <w:szCs w:val="24"/>
        </w:rPr>
        <w:t>an</w:t>
      </w:r>
      <w:r w:rsidR="00CB5616" w:rsidRPr="00CA6FF4">
        <w:rPr>
          <w:szCs w:val="24"/>
        </w:rPr>
        <w:t xml:space="preserve"> </w:t>
      </w:r>
      <w:r w:rsidR="00A147C1" w:rsidRPr="00CA6FF4">
        <w:rPr>
          <w:szCs w:val="24"/>
        </w:rPr>
        <w:t xml:space="preserve">opportunity for the regulatory body to keep </w:t>
      </w:r>
      <w:r w:rsidR="00CB5616">
        <w:rPr>
          <w:szCs w:val="24"/>
        </w:rPr>
        <w:t>the discharges</w:t>
      </w:r>
      <w:r w:rsidR="00CB5616" w:rsidRPr="00CA6FF4">
        <w:rPr>
          <w:szCs w:val="24"/>
        </w:rPr>
        <w:t xml:space="preserve"> </w:t>
      </w:r>
      <w:r w:rsidR="00A147C1" w:rsidRPr="00CA6FF4">
        <w:rPr>
          <w:szCs w:val="24"/>
        </w:rPr>
        <w:t xml:space="preserve">under review. </w:t>
      </w:r>
      <w:r w:rsidR="00A147C1" w:rsidRPr="0021120B">
        <w:rPr>
          <w:szCs w:val="24"/>
        </w:rPr>
        <w:t xml:space="preserve">If notification is to be used, the regulatory body should consider developing clear criteria </w:t>
      </w:r>
      <w:r w:rsidR="00827E07" w:rsidRPr="0021120B">
        <w:rPr>
          <w:szCs w:val="24"/>
        </w:rPr>
        <w:t>based, for example,</w:t>
      </w:r>
      <w:r w:rsidR="00097DE2" w:rsidRPr="009169A7">
        <w:rPr>
          <w:szCs w:val="24"/>
        </w:rPr>
        <w:t xml:space="preserve"> </w:t>
      </w:r>
      <w:r w:rsidR="00827E07" w:rsidRPr="009169A7">
        <w:rPr>
          <w:szCs w:val="24"/>
        </w:rPr>
        <w:t>on</w:t>
      </w:r>
      <w:r w:rsidR="00A147C1" w:rsidRPr="00CA6FF4">
        <w:rPr>
          <w:szCs w:val="24"/>
        </w:rPr>
        <w:t xml:space="preserve"> the radionuclides </w:t>
      </w:r>
      <w:r w:rsidR="00827E07" w:rsidRPr="00E4546E">
        <w:rPr>
          <w:szCs w:val="24"/>
        </w:rPr>
        <w:t>involved or</w:t>
      </w:r>
      <w:r w:rsidR="00A147C1" w:rsidRPr="00E4546E">
        <w:rPr>
          <w:szCs w:val="24"/>
        </w:rPr>
        <w:t xml:space="preserve"> the maximum activities that </w:t>
      </w:r>
      <w:r w:rsidR="00CB5616">
        <w:rPr>
          <w:szCs w:val="24"/>
        </w:rPr>
        <w:t>are permitted to</w:t>
      </w:r>
      <w:r w:rsidR="00CB5616" w:rsidRPr="00E4546E">
        <w:rPr>
          <w:szCs w:val="24"/>
        </w:rPr>
        <w:t xml:space="preserve"> </w:t>
      </w:r>
      <w:r w:rsidR="00A147C1" w:rsidRPr="00E4546E">
        <w:rPr>
          <w:szCs w:val="24"/>
        </w:rPr>
        <w:t xml:space="preserve">be </w:t>
      </w:r>
      <w:r w:rsidR="00A81D16" w:rsidRPr="00E4546E">
        <w:rPr>
          <w:szCs w:val="24"/>
        </w:rPr>
        <w:t xml:space="preserve">acquired </w:t>
      </w:r>
      <w:r w:rsidR="00A147C1" w:rsidRPr="00E4546E">
        <w:rPr>
          <w:szCs w:val="24"/>
        </w:rPr>
        <w:t>in a given time period.</w:t>
      </w:r>
    </w:p>
    <w:p w:rsidR="00F37A98" w:rsidRPr="00C10D10" w:rsidRDefault="003643CD" w:rsidP="00B71D38">
      <w:pPr>
        <w:pStyle w:val="Heading1"/>
        <w:spacing w:before="120" w:after="0" w:line="360" w:lineRule="auto"/>
        <w:ind w:left="0" w:firstLine="0"/>
        <w:rPr>
          <w:kern w:val="0"/>
          <w:lang w:val="en-GB"/>
        </w:rPr>
      </w:pPr>
      <w:bookmarkStart w:id="35" w:name="_Toc396128259"/>
      <w:bookmarkStart w:id="36" w:name="_Toc396128872"/>
      <w:r w:rsidRPr="00C10D10">
        <w:rPr>
          <w:kern w:val="0"/>
          <w:sz w:val="24"/>
          <w:lang w:val="en-GB"/>
        </w:rPr>
        <w:br w:type="page"/>
      </w:r>
      <w:r w:rsidR="00CD0C68">
        <w:rPr>
          <w:kern w:val="0"/>
          <w:lang w:val="en-GB"/>
        </w:rPr>
        <w:lastRenderedPageBreak/>
        <w:t xml:space="preserve"> </w:t>
      </w:r>
      <w:bookmarkStart w:id="37" w:name="_Toc452966948"/>
      <w:r w:rsidR="007324FC">
        <w:rPr>
          <w:kern w:val="0"/>
          <w:lang w:val="en-GB"/>
        </w:rPr>
        <w:t xml:space="preserve">THE </w:t>
      </w:r>
      <w:r w:rsidR="006935C3">
        <w:rPr>
          <w:kern w:val="0"/>
          <w:lang w:val="en-GB"/>
        </w:rPr>
        <w:t xml:space="preserve">PROCESS FOR </w:t>
      </w:r>
      <w:r w:rsidR="00CD0C68">
        <w:rPr>
          <w:kern w:val="0"/>
          <w:lang w:val="en-GB"/>
        </w:rPr>
        <w:t>A</w:t>
      </w:r>
      <w:r w:rsidR="00F37A98" w:rsidRPr="00C10D10">
        <w:rPr>
          <w:kern w:val="0"/>
          <w:lang w:val="en-GB"/>
        </w:rPr>
        <w:t>UTHORIZATION</w:t>
      </w:r>
      <w:r w:rsidR="00B123FD" w:rsidRPr="00C10D10">
        <w:rPr>
          <w:kern w:val="0"/>
          <w:lang w:val="en-GB"/>
        </w:rPr>
        <w:t xml:space="preserve"> </w:t>
      </w:r>
      <w:bookmarkEnd w:id="35"/>
      <w:bookmarkEnd w:id="36"/>
      <w:r w:rsidR="007D22E5">
        <w:rPr>
          <w:kern w:val="0"/>
          <w:lang w:val="en-GB"/>
        </w:rPr>
        <w:t>OF DISCHARGES</w:t>
      </w:r>
      <w:bookmarkEnd w:id="37"/>
    </w:p>
    <w:p w:rsidR="00650688" w:rsidRPr="00C10D10" w:rsidRDefault="001924B2" w:rsidP="0091132F">
      <w:pPr>
        <w:pStyle w:val="ListParagraph"/>
        <w:numPr>
          <w:ilvl w:val="0"/>
          <w:numId w:val="7"/>
        </w:numPr>
        <w:autoSpaceDE w:val="0"/>
        <w:autoSpaceDN w:val="0"/>
        <w:adjustRightInd w:val="0"/>
        <w:spacing w:before="120"/>
        <w:contextualSpacing w:val="0"/>
        <w:jc w:val="both"/>
        <w:rPr>
          <w:szCs w:val="24"/>
        </w:rPr>
      </w:pPr>
      <w:r w:rsidRPr="00C10D10">
        <w:rPr>
          <w:szCs w:val="24"/>
        </w:rPr>
        <w:t>A</w:t>
      </w:r>
      <w:r w:rsidR="009E1F08" w:rsidRPr="00C10D10">
        <w:rPr>
          <w:szCs w:val="24"/>
        </w:rPr>
        <w:t xml:space="preserve">uthorization is defined in the </w:t>
      </w:r>
      <w:r w:rsidR="00C657E3" w:rsidRPr="00C10D10">
        <w:rPr>
          <w:szCs w:val="24"/>
        </w:rPr>
        <w:t>GSR Part 3</w:t>
      </w:r>
      <w:r w:rsidR="009E1F08" w:rsidRPr="00C10D10">
        <w:rPr>
          <w:szCs w:val="24"/>
        </w:rPr>
        <w:t xml:space="preserve"> </w:t>
      </w:r>
      <w:r w:rsidR="00417BFF">
        <w:rPr>
          <w:szCs w:val="24"/>
        </w:rPr>
        <w:t>[3]</w:t>
      </w:r>
      <w:r w:rsidR="0092679B" w:rsidRPr="00C10D10">
        <w:rPr>
          <w:szCs w:val="24"/>
        </w:rPr>
        <w:t xml:space="preserve"> </w:t>
      </w:r>
      <w:r w:rsidR="009E1F08" w:rsidRPr="00C10D10">
        <w:rPr>
          <w:szCs w:val="24"/>
        </w:rPr>
        <w:t xml:space="preserve">as </w:t>
      </w:r>
      <w:r w:rsidR="006935C3">
        <w:rPr>
          <w:szCs w:val="24"/>
        </w:rPr>
        <w:t>the granting</w:t>
      </w:r>
      <w:r w:rsidR="009E1F08" w:rsidRPr="00C10D10">
        <w:rPr>
          <w:szCs w:val="24"/>
        </w:rPr>
        <w:t xml:space="preserve"> by a regulatory body or other governmental body </w:t>
      </w:r>
      <w:r w:rsidR="006935C3">
        <w:rPr>
          <w:szCs w:val="24"/>
        </w:rPr>
        <w:t>of</w:t>
      </w:r>
      <w:r w:rsidR="006935C3" w:rsidRPr="00C10D10">
        <w:rPr>
          <w:szCs w:val="24"/>
        </w:rPr>
        <w:t xml:space="preserve"> </w:t>
      </w:r>
      <w:r w:rsidR="009E1F08" w:rsidRPr="00C10D10">
        <w:rPr>
          <w:szCs w:val="24"/>
        </w:rPr>
        <w:t>written permission</w:t>
      </w:r>
      <w:r w:rsidR="006B22C3">
        <w:rPr>
          <w:szCs w:val="24"/>
        </w:rPr>
        <w:t xml:space="preserve"> </w:t>
      </w:r>
      <w:r w:rsidR="006935C3">
        <w:rPr>
          <w:szCs w:val="24"/>
        </w:rPr>
        <w:t xml:space="preserve">for a person or organization </w:t>
      </w:r>
      <w:r w:rsidR="006B22C3">
        <w:rPr>
          <w:szCs w:val="24"/>
        </w:rPr>
        <w:t xml:space="preserve">to </w:t>
      </w:r>
      <w:r w:rsidR="00097DE2">
        <w:rPr>
          <w:szCs w:val="24"/>
        </w:rPr>
        <w:t xml:space="preserve">operate a facility or </w:t>
      </w:r>
      <w:r w:rsidR="006B22C3">
        <w:rPr>
          <w:szCs w:val="24"/>
        </w:rPr>
        <w:t>conduct specified activities.</w:t>
      </w:r>
      <w:r w:rsidR="00D26736">
        <w:rPr>
          <w:szCs w:val="24"/>
        </w:rPr>
        <w:t xml:space="preserve"> </w:t>
      </w:r>
      <w:r w:rsidR="00435265" w:rsidRPr="00C10D10">
        <w:rPr>
          <w:szCs w:val="24"/>
        </w:rPr>
        <w:t xml:space="preserve">The control of discharges is one </w:t>
      </w:r>
      <w:r w:rsidR="00435265">
        <w:rPr>
          <w:szCs w:val="24"/>
        </w:rPr>
        <w:t xml:space="preserve">important </w:t>
      </w:r>
      <w:r w:rsidR="00435265" w:rsidRPr="00C10D10">
        <w:rPr>
          <w:szCs w:val="24"/>
        </w:rPr>
        <w:t xml:space="preserve">aspect </w:t>
      </w:r>
      <w:r w:rsidR="001354A8">
        <w:rPr>
          <w:szCs w:val="24"/>
        </w:rPr>
        <w:t>that</w:t>
      </w:r>
      <w:r w:rsidR="00435265">
        <w:rPr>
          <w:szCs w:val="24"/>
        </w:rPr>
        <w:t xml:space="preserve"> should be </w:t>
      </w:r>
      <w:r w:rsidR="001354A8">
        <w:rPr>
          <w:szCs w:val="24"/>
        </w:rPr>
        <w:t>addressed</w:t>
      </w:r>
      <w:r w:rsidR="00435265">
        <w:rPr>
          <w:szCs w:val="24"/>
        </w:rPr>
        <w:t xml:space="preserve"> within the authorization process</w:t>
      </w:r>
      <w:r w:rsidR="006935C3">
        <w:rPr>
          <w:szCs w:val="24"/>
        </w:rPr>
        <w:t xml:space="preserve"> for a facility or activity</w:t>
      </w:r>
      <w:r w:rsidR="00435265">
        <w:rPr>
          <w:szCs w:val="24"/>
        </w:rPr>
        <w:t xml:space="preserve"> and at different stages </w:t>
      </w:r>
      <w:r w:rsidR="00435265" w:rsidRPr="00C10D10">
        <w:rPr>
          <w:szCs w:val="24"/>
        </w:rPr>
        <w:t>throughout the lifetime of the facility</w:t>
      </w:r>
      <w:r w:rsidR="00435265">
        <w:rPr>
          <w:szCs w:val="24"/>
        </w:rPr>
        <w:t xml:space="preserve"> or activity.</w:t>
      </w:r>
      <w:r w:rsidR="00380037">
        <w:rPr>
          <w:szCs w:val="24"/>
        </w:rPr>
        <w:t xml:space="preserve"> Authorization applies to practices </w:t>
      </w:r>
      <w:r w:rsidR="007D22E5">
        <w:rPr>
          <w:szCs w:val="24"/>
        </w:rPr>
        <w:t>for which</w:t>
      </w:r>
      <w:r w:rsidR="00380037">
        <w:rPr>
          <w:szCs w:val="24"/>
        </w:rPr>
        <w:t xml:space="preserve"> exemption cannot be granted and notification is not sufficient. </w:t>
      </w:r>
    </w:p>
    <w:p w:rsidR="00890F3F" w:rsidRDefault="00547D17"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regulatory body should </w:t>
      </w:r>
      <w:r w:rsidR="006935C3">
        <w:rPr>
          <w:szCs w:val="24"/>
        </w:rPr>
        <w:t>establish</w:t>
      </w:r>
      <w:r w:rsidR="006935C3" w:rsidRPr="00C10D10">
        <w:rPr>
          <w:szCs w:val="24"/>
        </w:rPr>
        <w:t xml:space="preserve"> </w:t>
      </w:r>
      <w:r w:rsidRPr="00C10D10">
        <w:rPr>
          <w:szCs w:val="24"/>
        </w:rPr>
        <w:t xml:space="preserve">the authorization process for facilities and activities, including </w:t>
      </w:r>
      <w:r w:rsidR="005903B9" w:rsidRPr="00C10D10">
        <w:rPr>
          <w:szCs w:val="24"/>
        </w:rPr>
        <w:t xml:space="preserve">provisions </w:t>
      </w:r>
      <w:r w:rsidRPr="00C10D10">
        <w:rPr>
          <w:szCs w:val="24"/>
        </w:rPr>
        <w:t>for discharges, using the concept of a graded approach</w:t>
      </w:r>
      <w:r w:rsidR="00435265">
        <w:rPr>
          <w:szCs w:val="24"/>
        </w:rPr>
        <w:t>,</w:t>
      </w:r>
      <w:r w:rsidR="00435265" w:rsidRPr="00435265">
        <w:rPr>
          <w:szCs w:val="24"/>
        </w:rPr>
        <w:t xml:space="preserve"> </w:t>
      </w:r>
      <w:r w:rsidR="007D22E5">
        <w:rPr>
          <w:szCs w:val="24"/>
        </w:rPr>
        <w:t xml:space="preserve">in </w:t>
      </w:r>
      <w:r w:rsidR="00435265" w:rsidRPr="00C10D10">
        <w:rPr>
          <w:szCs w:val="24"/>
        </w:rPr>
        <w:t>accord</w:t>
      </w:r>
      <w:r w:rsidR="007D22E5">
        <w:rPr>
          <w:szCs w:val="24"/>
        </w:rPr>
        <w:t>ance</w:t>
      </w:r>
      <w:r w:rsidR="00435265" w:rsidRPr="00C10D10">
        <w:rPr>
          <w:szCs w:val="24"/>
        </w:rPr>
        <w:t xml:space="preserve"> </w:t>
      </w:r>
      <w:r w:rsidR="007D22E5">
        <w:rPr>
          <w:szCs w:val="24"/>
        </w:rPr>
        <w:t>with</w:t>
      </w:r>
      <w:r w:rsidR="00435265" w:rsidRPr="00C10D10">
        <w:rPr>
          <w:szCs w:val="24"/>
        </w:rPr>
        <w:t xml:space="preserve"> the expected radiological impact </w:t>
      </w:r>
      <w:r w:rsidR="00B86BD8">
        <w:rPr>
          <w:szCs w:val="24"/>
        </w:rPr>
        <w:t>on</w:t>
      </w:r>
      <w:r w:rsidR="006935C3">
        <w:rPr>
          <w:szCs w:val="24"/>
        </w:rPr>
        <w:t xml:space="preserve"> the</w:t>
      </w:r>
      <w:r w:rsidR="00435265" w:rsidRPr="00C10D10">
        <w:rPr>
          <w:szCs w:val="24"/>
        </w:rPr>
        <w:t xml:space="preserve"> public and the environment</w:t>
      </w:r>
      <w:r w:rsidR="0095724E">
        <w:rPr>
          <w:rStyle w:val="FootnoteReference"/>
          <w:szCs w:val="24"/>
        </w:rPr>
        <w:footnoteReference w:id="15"/>
      </w:r>
      <w:r w:rsidRPr="00C10D10">
        <w:rPr>
          <w:szCs w:val="24"/>
        </w:rPr>
        <w:t>.</w:t>
      </w:r>
    </w:p>
    <w:p w:rsidR="00240ED5" w:rsidRPr="00C10D10" w:rsidRDefault="00240ED5" w:rsidP="0091132F">
      <w:pPr>
        <w:pStyle w:val="ListParagraph"/>
        <w:numPr>
          <w:ilvl w:val="0"/>
          <w:numId w:val="7"/>
        </w:numPr>
        <w:autoSpaceDE w:val="0"/>
        <w:autoSpaceDN w:val="0"/>
        <w:adjustRightInd w:val="0"/>
        <w:spacing w:before="120"/>
        <w:contextualSpacing w:val="0"/>
        <w:jc w:val="both"/>
        <w:rPr>
          <w:szCs w:val="24"/>
        </w:rPr>
      </w:pPr>
      <w:r>
        <w:rPr>
          <w:szCs w:val="24"/>
        </w:rPr>
        <w:t xml:space="preserve">An authorization </w:t>
      </w:r>
      <w:r w:rsidRPr="00C10D10">
        <w:rPr>
          <w:szCs w:val="24"/>
        </w:rPr>
        <w:t xml:space="preserve">can be </w:t>
      </w:r>
      <w:r>
        <w:rPr>
          <w:szCs w:val="24"/>
        </w:rPr>
        <w:t xml:space="preserve">granted </w:t>
      </w:r>
      <w:r w:rsidRPr="00C10D10">
        <w:rPr>
          <w:szCs w:val="24"/>
        </w:rPr>
        <w:t xml:space="preserve">by means of registration or licensing. Depending on national arrangements, the choice should depend on the level of </w:t>
      </w:r>
      <w:r w:rsidR="00991B05">
        <w:rPr>
          <w:szCs w:val="24"/>
        </w:rPr>
        <w:t>exposure</w:t>
      </w:r>
      <w:r w:rsidR="00991B05" w:rsidRPr="00C10D10">
        <w:rPr>
          <w:szCs w:val="24"/>
        </w:rPr>
        <w:t xml:space="preserve"> </w:t>
      </w:r>
      <w:r w:rsidRPr="00C10D10">
        <w:rPr>
          <w:szCs w:val="24"/>
        </w:rPr>
        <w:t xml:space="preserve">associated with the facility or activity and the likelihood and possible consequences of </w:t>
      </w:r>
      <w:r w:rsidR="009D7806">
        <w:rPr>
          <w:szCs w:val="24"/>
        </w:rPr>
        <w:t xml:space="preserve">an </w:t>
      </w:r>
      <w:r>
        <w:rPr>
          <w:szCs w:val="24"/>
        </w:rPr>
        <w:t xml:space="preserve">accidental </w:t>
      </w:r>
      <w:r w:rsidRPr="00C10D10">
        <w:rPr>
          <w:szCs w:val="24"/>
        </w:rPr>
        <w:t xml:space="preserve">release of radioactive material to the environment. </w:t>
      </w:r>
    </w:p>
    <w:p w:rsidR="00240ED5" w:rsidRPr="00C10D10" w:rsidRDefault="00240ED5"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Authorization </w:t>
      </w:r>
      <w:r w:rsidR="00A723B0">
        <w:rPr>
          <w:szCs w:val="24"/>
        </w:rPr>
        <w:t>by means of</w:t>
      </w:r>
      <w:r w:rsidR="00A723B0" w:rsidRPr="00C10D10">
        <w:rPr>
          <w:szCs w:val="24"/>
        </w:rPr>
        <w:t xml:space="preserve"> </w:t>
      </w:r>
      <w:r w:rsidRPr="00C10D10">
        <w:rPr>
          <w:szCs w:val="24"/>
        </w:rPr>
        <w:t xml:space="preserve">registration should be used </w:t>
      </w:r>
      <w:r w:rsidR="00A723B0">
        <w:rPr>
          <w:szCs w:val="24"/>
        </w:rPr>
        <w:t>for facilities and activities for which</w:t>
      </w:r>
      <w:r w:rsidRPr="00C10D10">
        <w:rPr>
          <w:szCs w:val="24"/>
        </w:rPr>
        <w:t>:</w:t>
      </w:r>
    </w:p>
    <w:p w:rsidR="00240ED5" w:rsidRPr="00A34B43" w:rsidRDefault="00240ED5" w:rsidP="0091132F">
      <w:pPr>
        <w:pStyle w:val="ListNumber2"/>
        <w:numPr>
          <w:ilvl w:val="0"/>
          <w:numId w:val="25"/>
        </w:numPr>
        <w:ind w:left="567" w:hanging="567"/>
      </w:pPr>
      <w:r>
        <w:t>S</w:t>
      </w:r>
      <w:r w:rsidRPr="00A34B43">
        <w:t>afety can largely be ensured by the design of the facilit</w:t>
      </w:r>
      <w:r w:rsidR="00A723B0">
        <w:t>y</w:t>
      </w:r>
      <w:r w:rsidRPr="00A34B43">
        <w:t xml:space="preserve"> and </w:t>
      </w:r>
      <w:r w:rsidR="00A723B0">
        <w:t xml:space="preserve">the </w:t>
      </w:r>
      <w:r w:rsidRPr="00A34B43">
        <w:t>equipment;</w:t>
      </w:r>
    </w:p>
    <w:p w:rsidR="00240ED5" w:rsidRPr="00A34B43" w:rsidRDefault="00240ED5" w:rsidP="0091132F">
      <w:pPr>
        <w:pStyle w:val="ListNumber2"/>
        <w:numPr>
          <w:ilvl w:val="0"/>
          <w:numId w:val="25"/>
        </w:numPr>
        <w:ind w:left="567" w:hanging="567"/>
      </w:pPr>
      <w:r>
        <w:t>T</w:t>
      </w:r>
      <w:r w:rsidRPr="00A34B43">
        <w:t>he operating procedures are simple;</w:t>
      </w:r>
    </w:p>
    <w:p w:rsidR="00240ED5" w:rsidRPr="00A34B43" w:rsidRDefault="00240ED5" w:rsidP="0091132F">
      <w:pPr>
        <w:pStyle w:val="ListNumber2"/>
        <w:numPr>
          <w:ilvl w:val="0"/>
          <w:numId w:val="25"/>
        </w:numPr>
        <w:ind w:left="567" w:hanging="567"/>
      </w:pPr>
      <w:r>
        <w:t>T</w:t>
      </w:r>
      <w:r w:rsidRPr="00A34B43">
        <w:t>he</w:t>
      </w:r>
      <w:r w:rsidR="00A723B0">
        <w:t xml:space="preserve"> </w:t>
      </w:r>
      <w:r w:rsidR="0026700D">
        <w:t>need</w:t>
      </w:r>
      <w:r w:rsidR="0095724E">
        <w:t xml:space="preserve"> </w:t>
      </w:r>
      <w:r w:rsidR="00A723B0">
        <w:t>for training on</w:t>
      </w:r>
      <w:r w:rsidRPr="00A34B43">
        <w:t xml:space="preserve"> safety </w:t>
      </w:r>
      <w:r w:rsidR="0026700D">
        <w:t>is</w:t>
      </w:r>
      <w:r w:rsidR="0026700D" w:rsidRPr="00A34B43">
        <w:t xml:space="preserve"> </w:t>
      </w:r>
      <w:r w:rsidRPr="00A34B43">
        <w:t xml:space="preserve">minimal; </w:t>
      </w:r>
    </w:p>
    <w:p w:rsidR="00240ED5" w:rsidRPr="00A34B43" w:rsidRDefault="00A723B0" w:rsidP="0091132F">
      <w:pPr>
        <w:pStyle w:val="ListNumber2"/>
        <w:numPr>
          <w:ilvl w:val="0"/>
          <w:numId w:val="25"/>
        </w:numPr>
        <w:ind w:left="567" w:hanging="567"/>
      </w:pPr>
      <w:r>
        <w:t xml:space="preserve">Past </w:t>
      </w:r>
      <w:r w:rsidR="00240ED5" w:rsidRPr="00B92C7A">
        <w:t>experience</w:t>
      </w:r>
      <w:r>
        <w:t xml:space="preserve"> has shown that</w:t>
      </w:r>
      <w:r w:rsidR="00240ED5" w:rsidRPr="00B92C7A">
        <w:t xml:space="preserve"> there are few problems with safety in </w:t>
      </w:r>
      <w:r>
        <w:t>such</w:t>
      </w:r>
      <w:r w:rsidRPr="00B92C7A">
        <w:t xml:space="preserve"> </w:t>
      </w:r>
      <w:r w:rsidR="00240ED5" w:rsidRPr="00B92C7A">
        <w:t>types of operation</w:t>
      </w:r>
      <w:r w:rsidR="00240ED5">
        <w:t xml:space="preserve"> </w:t>
      </w:r>
      <w:r w:rsidR="00417BFF">
        <w:t>[3]</w:t>
      </w:r>
      <w:r w:rsidR="00240ED5" w:rsidRPr="00A34B43">
        <w:t xml:space="preserve">. </w:t>
      </w:r>
    </w:p>
    <w:p w:rsidR="00240ED5" w:rsidRPr="00C10D10" w:rsidRDefault="00240ED5" w:rsidP="00240ED5">
      <w:p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Registrations are usually expressed in generic terms but may have specific conditions or limit</w:t>
      </w:r>
      <w:r w:rsidR="00991B05">
        <w:rPr>
          <w:rFonts w:ascii="Times New Roman" w:hAnsi="Times New Roman"/>
          <w:sz w:val="24"/>
          <w:szCs w:val="24"/>
        </w:rPr>
        <w:t xml:space="preserve">s </w:t>
      </w:r>
      <w:r w:rsidRPr="00C10D10">
        <w:rPr>
          <w:rFonts w:ascii="Times New Roman" w:hAnsi="Times New Roman"/>
          <w:sz w:val="24"/>
          <w:szCs w:val="24"/>
        </w:rPr>
        <w:t xml:space="preserve">attached. Registration is best suited to those practices for which the risk of exposure is very low and operations do not vary significantly. </w:t>
      </w:r>
      <w:r>
        <w:rPr>
          <w:rFonts w:ascii="Times New Roman" w:hAnsi="Times New Roman"/>
          <w:sz w:val="24"/>
          <w:szCs w:val="24"/>
        </w:rPr>
        <w:t xml:space="preserve">Examples of practices for which registration may be adequate are those </w:t>
      </w:r>
      <w:r w:rsidR="00A723B0">
        <w:rPr>
          <w:rFonts w:ascii="Times New Roman" w:hAnsi="Times New Roman"/>
          <w:sz w:val="24"/>
          <w:szCs w:val="24"/>
        </w:rPr>
        <w:t xml:space="preserve">in which </w:t>
      </w:r>
      <w:r>
        <w:rPr>
          <w:rFonts w:ascii="Times New Roman" w:hAnsi="Times New Roman"/>
          <w:sz w:val="24"/>
          <w:szCs w:val="24"/>
        </w:rPr>
        <w:t>small quantities of short</w:t>
      </w:r>
      <w:r w:rsidR="00991B05">
        <w:rPr>
          <w:rFonts w:ascii="Times New Roman" w:hAnsi="Times New Roman"/>
          <w:sz w:val="24"/>
          <w:szCs w:val="24"/>
        </w:rPr>
        <w:t xml:space="preserve"> </w:t>
      </w:r>
      <w:r>
        <w:rPr>
          <w:rFonts w:ascii="Times New Roman" w:hAnsi="Times New Roman"/>
          <w:sz w:val="24"/>
          <w:szCs w:val="24"/>
        </w:rPr>
        <w:t xml:space="preserve">lived radionuclides are used for standardized bioassays (e.g. radioimmunoassay). </w:t>
      </w:r>
      <w:r w:rsidRPr="00C10D10">
        <w:rPr>
          <w:rFonts w:ascii="Times New Roman" w:hAnsi="Times New Roman"/>
          <w:sz w:val="24"/>
          <w:szCs w:val="24"/>
        </w:rPr>
        <w:t xml:space="preserve">The regulatory body should specify the practices </w:t>
      </w:r>
      <w:r w:rsidR="00A723B0">
        <w:rPr>
          <w:rFonts w:ascii="Times New Roman" w:hAnsi="Times New Roman"/>
          <w:sz w:val="24"/>
          <w:szCs w:val="24"/>
        </w:rPr>
        <w:t>that</w:t>
      </w:r>
      <w:r w:rsidR="00A723B0" w:rsidRPr="00C10D10">
        <w:rPr>
          <w:rFonts w:ascii="Times New Roman" w:hAnsi="Times New Roman"/>
          <w:sz w:val="24"/>
          <w:szCs w:val="24"/>
        </w:rPr>
        <w:t xml:space="preserve"> </w:t>
      </w:r>
      <w:r w:rsidRPr="00C10D10">
        <w:rPr>
          <w:rFonts w:ascii="Times New Roman" w:hAnsi="Times New Roman"/>
          <w:sz w:val="24"/>
          <w:szCs w:val="24"/>
        </w:rPr>
        <w:t xml:space="preserve">may be authorized </w:t>
      </w:r>
      <w:r>
        <w:rPr>
          <w:rFonts w:ascii="Times New Roman" w:hAnsi="Times New Roman"/>
          <w:sz w:val="24"/>
          <w:szCs w:val="24"/>
        </w:rPr>
        <w:t>through</w:t>
      </w:r>
      <w:r w:rsidRPr="00C10D10">
        <w:rPr>
          <w:rFonts w:ascii="Times New Roman" w:hAnsi="Times New Roman"/>
          <w:sz w:val="24"/>
          <w:szCs w:val="24"/>
        </w:rPr>
        <w:t xml:space="preserve"> registration.</w:t>
      </w:r>
    </w:p>
    <w:p w:rsidR="00240ED5" w:rsidRPr="00C10D10" w:rsidRDefault="00240ED5" w:rsidP="0091132F">
      <w:pPr>
        <w:pStyle w:val="ListParagraph"/>
        <w:numPr>
          <w:ilvl w:val="0"/>
          <w:numId w:val="7"/>
        </w:numPr>
        <w:autoSpaceDE w:val="0"/>
        <w:autoSpaceDN w:val="0"/>
        <w:adjustRightInd w:val="0"/>
        <w:spacing w:before="120"/>
        <w:contextualSpacing w:val="0"/>
        <w:jc w:val="both"/>
        <w:rPr>
          <w:szCs w:val="24"/>
        </w:rPr>
      </w:pPr>
      <w:r>
        <w:rPr>
          <w:szCs w:val="24"/>
        </w:rPr>
        <w:lastRenderedPageBreak/>
        <w:t xml:space="preserve">Authorization </w:t>
      </w:r>
      <w:r w:rsidR="00991B05">
        <w:rPr>
          <w:szCs w:val="24"/>
        </w:rPr>
        <w:t xml:space="preserve">by means of </w:t>
      </w:r>
      <w:r>
        <w:rPr>
          <w:szCs w:val="24"/>
        </w:rPr>
        <w:t>licensing</w:t>
      </w:r>
      <w:r w:rsidRPr="00C10D10">
        <w:rPr>
          <w:szCs w:val="24"/>
        </w:rPr>
        <w:t xml:space="preserve"> should be applied in all other cases, with the stringency of the </w:t>
      </w:r>
      <w:r w:rsidR="00E51591">
        <w:rPr>
          <w:szCs w:val="24"/>
        </w:rPr>
        <w:t xml:space="preserve">associated </w:t>
      </w:r>
      <w:r w:rsidR="00161040">
        <w:rPr>
          <w:szCs w:val="24"/>
        </w:rPr>
        <w:t xml:space="preserve">operational </w:t>
      </w:r>
      <w:r w:rsidR="00161040" w:rsidRPr="00161040">
        <w:rPr>
          <w:szCs w:val="24"/>
        </w:rPr>
        <w:t xml:space="preserve">limits and </w:t>
      </w:r>
      <w:r w:rsidRPr="00C10D10">
        <w:rPr>
          <w:szCs w:val="24"/>
        </w:rPr>
        <w:t xml:space="preserve">conditions graded </w:t>
      </w:r>
      <w:r w:rsidR="00277522">
        <w:rPr>
          <w:szCs w:val="24"/>
        </w:rPr>
        <w:t xml:space="preserve">in </w:t>
      </w:r>
      <w:r w:rsidRPr="00C10D10">
        <w:rPr>
          <w:szCs w:val="24"/>
        </w:rPr>
        <w:t>accord</w:t>
      </w:r>
      <w:r w:rsidR="00277522">
        <w:rPr>
          <w:szCs w:val="24"/>
        </w:rPr>
        <w:t>ance with</w:t>
      </w:r>
      <w:r w:rsidRPr="00C10D10">
        <w:rPr>
          <w:szCs w:val="24"/>
        </w:rPr>
        <w:t xml:space="preserve"> the </w:t>
      </w:r>
      <w:r>
        <w:rPr>
          <w:szCs w:val="24"/>
        </w:rPr>
        <w:t xml:space="preserve">expected </w:t>
      </w:r>
      <w:r w:rsidR="00991B05">
        <w:rPr>
          <w:szCs w:val="24"/>
        </w:rPr>
        <w:t>exposure of</w:t>
      </w:r>
      <w:r w:rsidR="00277522">
        <w:rPr>
          <w:szCs w:val="24"/>
        </w:rPr>
        <w:t xml:space="preserve"> the </w:t>
      </w:r>
      <w:r>
        <w:rPr>
          <w:szCs w:val="24"/>
        </w:rPr>
        <w:t xml:space="preserve">public </w:t>
      </w:r>
      <w:r w:rsidR="00991B05">
        <w:rPr>
          <w:szCs w:val="24"/>
        </w:rPr>
        <w:t xml:space="preserve">in normal operation </w:t>
      </w:r>
      <w:r w:rsidR="00483A19">
        <w:rPr>
          <w:szCs w:val="24"/>
        </w:rPr>
        <w:t xml:space="preserve">and </w:t>
      </w:r>
      <w:r w:rsidR="00277522">
        <w:rPr>
          <w:szCs w:val="24"/>
        </w:rPr>
        <w:t xml:space="preserve">the </w:t>
      </w:r>
      <w:r w:rsidR="00483A19">
        <w:rPr>
          <w:szCs w:val="24"/>
        </w:rPr>
        <w:t>likelihood and magnitude of potential exposures</w:t>
      </w:r>
      <w:r>
        <w:rPr>
          <w:szCs w:val="24"/>
        </w:rPr>
        <w:t>, evaluated on the basis of a prospective assessment</w:t>
      </w:r>
      <w:r w:rsidRPr="00C10D10">
        <w:rPr>
          <w:szCs w:val="24"/>
        </w:rPr>
        <w:t xml:space="preserve">. The regulatory body should establish the level of stringency of the </w:t>
      </w:r>
      <w:r w:rsidR="00161040">
        <w:rPr>
          <w:szCs w:val="24"/>
        </w:rPr>
        <w:t xml:space="preserve">operational </w:t>
      </w:r>
      <w:r w:rsidR="00161040" w:rsidRPr="00161040">
        <w:rPr>
          <w:szCs w:val="24"/>
        </w:rPr>
        <w:t xml:space="preserve">limits and </w:t>
      </w:r>
      <w:r w:rsidRPr="00C10D10">
        <w:rPr>
          <w:szCs w:val="24"/>
        </w:rPr>
        <w:t xml:space="preserve">conditions </w:t>
      </w:r>
      <w:r w:rsidR="00991B05">
        <w:rPr>
          <w:szCs w:val="24"/>
        </w:rPr>
        <w:t>attached to</w:t>
      </w:r>
      <w:r w:rsidR="00E51591" w:rsidRPr="00C10D10">
        <w:rPr>
          <w:szCs w:val="24"/>
        </w:rPr>
        <w:t xml:space="preserve"> </w:t>
      </w:r>
      <w:r w:rsidRPr="00C10D10">
        <w:rPr>
          <w:szCs w:val="24"/>
        </w:rPr>
        <w:t xml:space="preserve">the </w:t>
      </w:r>
      <w:r w:rsidR="00A87C7C">
        <w:rPr>
          <w:szCs w:val="24"/>
        </w:rPr>
        <w:t xml:space="preserve">authorization for </w:t>
      </w:r>
      <w:r w:rsidRPr="00C10D10">
        <w:rPr>
          <w:szCs w:val="24"/>
        </w:rPr>
        <w:t>discharge</w:t>
      </w:r>
      <w:r w:rsidR="00A87C7C">
        <w:rPr>
          <w:szCs w:val="24"/>
        </w:rPr>
        <w:t>s</w:t>
      </w:r>
      <w:r w:rsidR="00E51591">
        <w:rPr>
          <w:szCs w:val="24"/>
        </w:rPr>
        <w:t>,</w:t>
      </w:r>
      <w:r w:rsidRPr="00C10D10">
        <w:rPr>
          <w:szCs w:val="24"/>
        </w:rPr>
        <w:t xml:space="preserve"> taking into account the likelihood and expected magnitude of exposures, the characteristics of the facility</w:t>
      </w:r>
      <w:r w:rsidR="00161040">
        <w:rPr>
          <w:szCs w:val="24"/>
        </w:rPr>
        <w:t xml:space="preserve"> or activity</w:t>
      </w:r>
      <w:r w:rsidRPr="00C10D10">
        <w:rPr>
          <w:szCs w:val="24"/>
        </w:rPr>
        <w:t xml:space="preserve"> and a number of additional factors </w:t>
      </w:r>
      <w:r w:rsidR="00A87C7C">
        <w:rPr>
          <w:szCs w:val="24"/>
        </w:rPr>
        <w:t>such as</w:t>
      </w:r>
      <w:r w:rsidRPr="00C10D10">
        <w:rPr>
          <w:szCs w:val="24"/>
        </w:rPr>
        <w:t xml:space="preserve"> the characteristics of the source term, the level of expected </w:t>
      </w:r>
      <w:r w:rsidR="00991B05">
        <w:rPr>
          <w:szCs w:val="24"/>
        </w:rPr>
        <w:t>exposures</w:t>
      </w:r>
      <w:r w:rsidRPr="00C10D10">
        <w:rPr>
          <w:szCs w:val="24"/>
        </w:rPr>
        <w:t>, the safety characteristics of the activity or facility</w:t>
      </w:r>
      <w:r w:rsidR="00B054DC">
        <w:rPr>
          <w:szCs w:val="24"/>
        </w:rPr>
        <w:t>, such as the t</w:t>
      </w:r>
      <w:r w:rsidR="00B054DC" w:rsidRPr="00B054DC">
        <w:rPr>
          <w:szCs w:val="24"/>
        </w:rPr>
        <w:t>ypes of safety barriers and engineering features present in the design</w:t>
      </w:r>
      <w:r w:rsidR="00B054DC">
        <w:rPr>
          <w:szCs w:val="24"/>
        </w:rPr>
        <w:t>,</w:t>
      </w:r>
      <w:r w:rsidRPr="00C10D10">
        <w:rPr>
          <w:szCs w:val="24"/>
        </w:rPr>
        <w:t xml:space="preserve"> and the characteristics of the location.</w:t>
      </w:r>
    </w:p>
    <w:p w:rsidR="0034798F" w:rsidRPr="00C10D10" w:rsidRDefault="0034798F" w:rsidP="0091132F">
      <w:pPr>
        <w:pStyle w:val="ListParagraph"/>
        <w:numPr>
          <w:ilvl w:val="0"/>
          <w:numId w:val="7"/>
        </w:numPr>
        <w:autoSpaceDE w:val="0"/>
        <w:autoSpaceDN w:val="0"/>
        <w:adjustRightInd w:val="0"/>
        <w:spacing w:before="120"/>
        <w:contextualSpacing w:val="0"/>
        <w:jc w:val="both"/>
        <w:rPr>
          <w:szCs w:val="24"/>
        </w:rPr>
      </w:pPr>
      <w:r w:rsidRPr="00C10D10">
        <w:rPr>
          <w:szCs w:val="24"/>
        </w:rPr>
        <w:t>For simple</w:t>
      </w:r>
      <w:r w:rsidR="00C40643" w:rsidRPr="00C10D10">
        <w:rPr>
          <w:szCs w:val="24"/>
        </w:rPr>
        <w:t xml:space="preserve"> </w:t>
      </w:r>
      <w:r w:rsidR="00D32193" w:rsidRPr="00C10D10">
        <w:rPr>
          <w:szCs w:val="24"/>
        </w:rPr>
        <w:t>facilities or activities,</w:t>
      </w:r>
      <w:r w:rsidR="00547D17" w:rsidRPr="00C10D10">
        <w:rPr>
          <w:szCs w:val="24"/>
        </w:rPr>
        <w:t xml:space="preserve"> </w:t>
      </w:r>
      <w:r w:rsidR="00A87C7C">
        <w:rPr>
          <w:szCs w:val="24"/>
        </w:rPr>
        <w:t>such as</w:t>
      </w:r>
      <w:r w:rsidR="00A87C7C" w:rsidRPr="00C10D10">
        <w:rPr>
          <w:szCs w:val="24"/>
        </w:rPr>
        <w:t xml:space="preserve"> </w:t>
      </w:r>
      <w:r w:rsidR="00547D17" w:rsidRPr="00C10D10">
        <w:rPr>
          <w:szCs w:val="24"/>
        </w:rPr>
        <w:t xml:space="preserve">those with limited amounts of radionuclides with </w:t>
      </w:r>
      <w:r w:rsidR="00A87C7C">
        <w:rPr>
          <w:szCs w:val="24"/>
        </w:rPr>
        <w:t xml:space="preserve">a </w:t>
      </w:r>
      <w:r w:rsidR="00547D17" w:rsidRPr="00C10D10">
        <w:rPr>
          <w:szCs w:val="24"/>
        </w:rPr>
        <w:t xml:space="preserve">potential </w:t>
      </w:r>
      <w:r w:rsidR="00A87C7C">
        <w:rPr>
          <w:szCs w:val="24"/>
        </w:rPr>
        <w:t xml:space="preserve">of </w:t>
      </w:r>
      <w:r w:rsidR="0026700D">
        <w:rPr>
          <w:szCs w:val="24"/>
        </w:rPr>
        <w:t>causing</w:t>
      </w:r>
      <w:r w:rsidR="00B054DC">
        <w:rPr>
          <w:szCs w:val="24"/>
        </w:rPr>
        <w:t xml:space="preserve"> </w:t>
      </w:r>
      <w:r w:rsidR="0026700D">
        <w:rPr>
          <w:szCs w:val="24"/>
        </w:rPr>
        <w:t xml:space="preserve">a </w:t>
      </w:r>
      <w:r w:rsidR="00B054DC">
        <w:rPr>
          <w:szCs w:val="24"/>
        </w:rPr>
        <w:t xml:space="preserve">significant radiological impact </w:t>
      </w:r>
      <w:r w:rsidR="0026700D">
        <w:rPr>
          <w:szCs w:val="24"/>
        </w:rPr>
        <w:t>on</w:t>
      </w:r>
      <w:r w:rsidR="00B054DC">
        <w:rPr>
          <w:szCs w:val="24"/>
        </w:rPr>
        <w:t xml:space="preserve"> the members of the public and the </w:t>
      </w:r>
      <w:proofErr w:type="gramStart"/>
      <w:r w:rsidR="00B054DC">
        <w:rPr>
          <w:szCs w:val="24"/>
        </w:rPr>
        <w:t>environment</w:t>
      </w:r>
      <w:r w:rsidR="001F23B9">
        <w:rPr>
          <w:szCs w:val="24"/>
        </w:rPr>
        <w:t xml:space="preserve"> </w:t>
      </w:r>
      <w:r w:rsidR="00547D17" w:rsidRPr="00C10D10">
        <w:rPr>
          <w:szCs w:val="24"/>
        </w:rPr>
        <w:t>,</w:t>
      </w:r>
      <w:proofErr w:type="gramEnd"/>
      <w:r w:rsidR="00D32193" w:rsidRPr="00C10D10">
        <w:rPr>
          <w:szCs w:val="24"/>
        </w:rPr>
        <w:t xml:space="preserve"> the </w:t>
      </w:r>
      <w:r w:rsidRPr="00C10D10">
        <w:rPr>
          <w:szCs w:val="24"/>
        </w:rPr>
        <w:t xml:space="preserve">authorization process should </w:t>
      </w:r>
      <w:r w:rsidR="00101F32" w:rsidRPr="00C10D10">
        <w:rPr>
          <w:szCs w:val="24"/>
        </w:rPr>
        <w:t xml:space="preserve">normally </w:t>
      </w:r>
      <w:r w:rsidRPr="00C10D10">
        <w:rPr>
          <w:szCs w:val="24"/>
        </w:rPr>
        <w:t>consist</w:t>
      </w:r>
      <w:r w:rsidR="00D32193" w:rsidRPr="00C10D10">
        <w:rPr>
          <w:szCs w:val="24"/>
        </w:rPr>
        <w:t xml:space="preserve"> of </w:t>
      </w:r>
      <w:r w:rsidR="00A87C7C">
        <w:rPr>
          <w:szCs w:val="24"/>
        </w:rPr>
        <w:t>a single</w:t>
      </w:r>
      <w:r w:rsidR="00A87C7C" w:rsidRPr="00C10D10">
        <w:rPr>
          <w:szCs w:val="24"/>
        </w:rPr>
        <w:t xml:space="preserve"> </w:t>
      </w:r>
      <w:r w:rsidR="00D32193" w:rsidRPr="00C10D10">
        <w:rPr>
          <w:szCs w:val="24"/>
        </w:rPr>
        <w:t xml:space="preserve">stage. </w:t>
      </w:r>
      <w:r w:rsidR="00617699">
        <w:rPr>
          <w:szCs w:val="24"/>
        </w:rPr>
        <w:t>T</w:t>
      </w:r>
      <w:r w:rsidR="00617699" w:rsidRPr="00617699">
        <w:rPr>
          <w:szCs w:val="24"/>
        </w:rPr>
        <w:t xml:space="preserve">he regulatory body </w:t>
      </w:r>
      <w:r w:rsidR="00B054DC">
        <w:rPr>
          <w:szCs w:val="24"/>
        </w:rPr>
        <w:t>c</w:t>
      </w:r>
      <w:r w:rsidR="00617699" w:rsidRPr="00617699">
        <w:rPr>
          <w:szCs w:val="24"/>
        </w:rPr>
        <w:t xml:space="preserve">ould provide generic guidance identifying the necessary elements </w:t>
      </w:r>
      <w:r w:rsidR="00A87C7C">
        <w:rPr>
          <w:szCs w:val="24"/>
        </w:rPr>
        <w:t>to</w:t>
      </w:r>
      <w:r w:rsidR="00617699" w:rsidRPr="00617699">
        <w:rPr>
          <w:szCs w:val="24"/>
        </w:rPr>
        <w:t xml:space="preserve"> be included in the </w:t>
      </w:r>
      <w:r w:rsidR="00B054DC">
        <w:rPr>
          <w:szCs w:val="24"/>
        </w:rPr>
        <w:t>process</w:t>
      </w:r>
      <w:r w:rsidR="00B054DC" w:rsidRPr="00617699">
        <w:rPr>
          <w:szCs w:val="24"/>
        </w:rPr>
        <w:t xml:space="preserve"> </w:t>
      </w:r>
      <w:r w:rsidR="00617699">
        <w:rPr>
          <w:szCs w:val="24"/>
        </w:rPr>
        <w:t xml:space="preserve">to determine the discharge limits </w:t>
      </w:r>
      <w:r w:rsidR="00617699" w:rsidRPr="00617699">
        <w:rPr>
          <w:szCs w:val="24"/>
        </w:rPr>
        <w:t xml:space="preserve">and, where possible, </w:t>
      </w:r>
      <w:r w:rsidR="00991B05">
        <w:rPr>
          <w:szCs w:val="24"/>
        </w:rPr>
        <w:t xml:space="preserve">should provide </w:t>
      </w:r>
      <w:r w:rsidR="00617699" w:rsidRPr="00617699">
        <w:rPr>
          <w:szCs w:val="24"/>
        </w:rPr>
        <w:t xml:space="preserve">the methodology for the </w:t>
      </w:r>
      <w:r w:rsidR="00B054DC">
        <w:rPr>
          <w:szCs w:val="24"/>
        </w:rPr>
        <w:t xml:space="preserve">necessary </w:t>
      </w:r>
      <w:r w:rsidR="00617699" w:rsidRPr="00617699">
        <w:rPr>
          <w:szCs w:val="24"/>
        </w:rPr>
        <w:t>assessment</w:t>
      </w:r>
      <w:r w:rsidR="00B054DC">
        <w:rPr>
          <w:szCs w:val="24"/>
        </w:rPr>
        <w:t>s</w:t>
      </w:r>
      <w:r w:rsidR="001F23B9">
        <w:rPr>
          <w:szCs w:val="24"/>
        </w:rPr>
        <w:t>.</w:t>
      </w:r>
    </w:p>
    <w:p w:rsidR="00101F32" w:rsidRPr="00C10D10" w:rsidRDefault="00D32193"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For </w:t>
      </w:r>
      <w:r w:rsidR="0034798F" w:rsidRPr="00C10D10">
        <w:rPr>
          <w:szCs w:val="24"/>
        </w:rPr>
        <w:t xml:space="preserve">complex </w:t>
      </w:r>
      <w:r w:rsidRPr="00C10D10">
        <w:rPr>
          <w:szCs w:val="24"/>
        </w:rPr>
        <w:t>facilities</w:t>
      </w:r>
      <w:r w:rsidR="00101F32" w:rsidRPr="00C10D10">
        <w:rPr>
          <w:szCs w:val="24"/>
        </w:rPr>
        <w:t>,</w:t>
      </w:r>
      <w:r w:rsidRPr="00C10D10">
        <w:rPr>
          <w:szCs w:val="24"/>
        </w:rPr>
        <w:t xml:space="preserve"> </w:t>
      </w:r>
      <w:r w:rsidR="00A87C7C">
        <w:rPr>
          <w:szCs w:val="24"/>
        </w:rPr>
        <w:t>such as</w:t>
      </w:r>
      <w:r w:rsidR="00A87C7C" w:rsidRPr="00C10D10">
        <w:rPr>
          <w:szCs w:val="24"/>
        </w:rPr>
        <w:t xml:space="preserve"> </w:t>
      </w:r>
      <w:r w:rsidR="00F630E8" w:rsidRPr="00C10D10">
        <w:rPr>
          <w:szCs w:val="24"/>
        </w:rPr>
        <w:t xml:space="preserve">nuclear </w:t>
      </w:r>
      <w:r w:rsidR="00085F3B">
        <w:rPr>
          <w:szCs w:val="24"/>
        </w:rPr>
        <w:t>installations</w:t>
      </w:r>
      <w:r w:rsidRPr="00C10D10">
        <w:rPr>
          <w:szCs w:val="24"/>
        </w:rPr>
        <w:t xml:space="preserve">, there may </w:t>
      </w:r>
      <w:r w:rsidR="00650688" w:rsidRPr="00C10D10">
        <w:rPr>
          <w:szCs w:val="24"/>
        </w:rPr>
        <w:t>be multiple</w:t>
      </w:r>
      <w:r w:rsidRPr="00C10D10">
        <w:rPr>
          <w:szCs w:val="24"/>
        </w:rPr>
        <w:t xml:space="preserve"> stages </w:t>
      </w:r>
      <w:r w:rsidR="00991B05">
        <w:rPr>
          <w:szCs w:val="24"/>
        </w:rPr>
        <w:t>in</w:t>
      </w:r>
      <w:r w:rsidR="00991B05" w:rsidRPr="00C10D10">
        <w:rPr>
          <w:szCs w:val="24"/>
        </w:rPr>
        <w:t xml:space="preserve"> </w:t>
      </w:r>
      <w:r w:rsidRPr="00C10D10">
        <w:rPr>
          <w:szCs w:val="24"/>
        </w:rPr>
        <w:t>the full authorization process</w:t>
      </w:r>
      <w:r w:rsidR="00A87C7C">
        <w:rPr>
          <w:szCs w:val="24"/>
        </w:rPr>
        <w:t>,</w:t>
      </w:r>
      <w:r w:rsidRPr="00C10D10">
        <w:rPr>
          <w:szCs w:val="24"/>
        </w:rPr>
        <w:t xml:space="preserve"> associated with </w:t>
      </w:r>
      <w:r w:rsidR="00A87C7C">
        <w:rPr>
          <w:szCs w:val="24"/>
        </w:rPr>
        <w:t xml:space="preserve">the </w:t>
      </w:r>
      <w:r w:rsidRPr="00C10D10">
        <w:rPr>
          <w:szCs w:val="24"/>
        </w:rPr>
        <w:t xml:space="preserve">different </w:t>
      </w:r>
      <w:r w:rsidR="00A87C7C">
        <w:rPr>
          <w:szCs w:val="24"/>
        </w:rPr>
        <w:t>stages in</w:t>
      </w:r>
      <w:r w:rsidRPr="00C10D10">
        <w:rPr>
          <w:szCs w:val="24"/>
        </w:rPr>
        <w:t xml:space="preserve"> the life</w:t>
      </w:r>
      <w:r w:rsidR="005E39CD" w:rsidRPr="00C10D10">
        <w:rPr>
          <w:szCs w:val="24"/>
        </w:rPr>
        <w:t>time</w:t>
      </w:r>
      <w:r w:rsidRPr="00C10D10">
        <w:rPr>
          <w:szCs w:val="24"/>
        </w:rPr>
        <w:t xml:space="preserve"> of the facility</w:t>
      </w:r>
      <w:r w:rsidR="00483A19">
        <w:rPr>
          <w:szCs w:val="24"/>
        </w:rPr>
        <w:t>,</w:t>
      </w:r>
      <w:r w:rsidRPr="00C10D10">
        <w:rPr>
          <w:szCs w:val="24"/>
        </w:rPr>
        <w:t xml:space="preserve"> from siting and site evaluation to decommissioning and release from regulatory control</w:t>
      </w:r>
      <w:r w:rsidR="00101F32" w:rsidRPr="00C10D10">
        <w:rPr>
          <w:szCs w:val="24"/>
        </w:rPr>
        <w:t>.</w:t>
      </w:r>
      <w:r w:rsidR="00B71D38" w:rsidRPr="00C10D10">
        <w:rPr>
          <w:szCs w:val="24"/>
        </w:rPr>
        <w:t xml:space="preserve"> </w:t>
      </w:r>
      <w:r w:rsidR="00FC40B1" w:rsidRPr="00C10D10">
        <w:rPr>
          <w:szCs w:val="24"/>
        </w:rPr>
        <w:t xml:space="preserve">Figure </w:t>
      </w:r>
      <w:r w:rsidR="00101F32" w:rsidRPr="00C10D10">
        <w:rPr>
          <w:szCs w:val="24"/>
        </w:rPr>
        <w:t>2</w:t>
      </w:r>
      <w:r w:rsidR="003672B9">
        <w:rPr>
          <w:szCs w:val="24"/>
        </w:rPr>
        <w:t xml:space="preserve">, which is </w:t>
      </w:r>
      <w:r w:rsidR="00D913CE" w:rsidRPr="00C10D10">
        <w:rPr>
          <w:szCs w:val="24"/>
        </w:rPr>
        <w:t xml:space="preserve">adapted from </w:t>
      </w:r>
      <w:r w:rsidR="00B049D5">
        <w:rPr>
          <w:szCs w:val="24"/>
        </w:rPr>
        <w:t>f</w:t>
      </w:r>
      <w:r w:rsidR="003672B9">
        <w:rPr>
          <w:szCs w:val="24"/>
        </w:rPr>
        <w:t xml:space="preserve">igure 1 in SSG-12 </w:t>
      </w:r>
      <w:r w:rsidR="00D913CE" w:rsidRPr="00C10D10">
        <w:rPr>
          <w:szCs w:val="24"/>
        </w:rPr>
        <w:t>[</w:t>
      </w:r>
      <w:r w:rsidR="00991B05">
        <w:rPr>
          <w:szCs w:val="24"/>
        </w:rPr>
        <w:t>4</w:t>
      </w:r>
      <w:r w:rsidR="00D913CE" w:rsidRPr="00C10D10">
        <w:rPr>
          <w:szCs w:val="24"/>
        </w:rPr>
        <w:t>]</w:t>
      </w:r>
      <w:r w:rsidR="003672B9">
        <w:rPr>
          <w:szCs w:val="24"/>
        </w:rPr>
        <w:t>,</w:t>
      </w:r>
      <w:r w:rsidR="00D913CE" w:rsidRPr="00C10D10">
        <w:rPr>
          <w:szCs w:val="24"/>
        </w:rPr>
        <w:t xml:space="preserve"> </w:t>
      </w:r>
      <w:r w:rsidR="00101F32" w:rsidRPr="00C10D10">
        <w:rPr>
          <w:szCs w:val="24"/>
        </w:rPr>
        <w:t>describe</w:t>
      </w:r>
      <w:r w:rsidR="0084056A" w:rsidRPr="00C10D10">
        <w:rPr>
          <w:szCs w:val="24"/>
        </w:rPr>
        <w:t>s</w:t>
      </w:r>
      <w:r w:rsidR="00101F32" w:rsidRPr="00C10D10">
        <w:rPr>
          <w:szCs w:val="24"/>
        </w:rPr>
        <w:t xml:space="preserve"> </w:t>
      </w:r>
      <w:r w:rsidR="00B71D38" w:rsidRPr="00C10D10">
        <w:rPr>
          <w:szCs w:val="24"/>
        </w:rPr>
        <w:t xml:space="preserve">schematically </w:t>
      </w:r>
      <w:r w:rsidR="00101F32" w:rsidRPr="00C10D10">
        <w:rPr>
          <w:szCs w:val="24"/>
        </w:rPr>
        <w:t>the stages in the</w:t>
      </w:r>
      <w:r w:rsidR="00607CE7" w:rsidRPr="00C10D10">
        <w:rPr>
          <w:szCs w:val="24"/>
        </w:rPr>
        <w:t xml:space="preserve"> lifetime of a complex facility, </w:t>
      </w:r>
      <w:r w:rsidR="003672B9">
        <w:rPr>
          <w:szCs w:val="24"/>
        </w:rPr>
        <w:t xml:space="preserve">such </w:t>
      </w:r>
      <w:r w:rsidR="00607CE7" w:rsidRPr="00C10D10">
        <w:rPr>
          <w:szCs w:val="24"/>
        </w:rPr>
        <w:t>a</w:t>
      </w:r>
      <w:r w:rsidR="004873E0">
        <w:rPr>
          <w:szCs w:val="24"/>
        </w:rPr>
        <w:t>s</w:t>
      </w:r>
      <w:r w:rsidR="00607CE7" w:rsidRPr="00C10D10">
        <w:rPr>
          <w:szCs w:val="24"/>
        </w:rPr>
        <w:t xml:space="preserve"> </w:t>
      </w:r>
      <w:r w:rsidR="00A87C7C">
        <w:rPr>
          <w:szCs w:val="24"/>
        </w:rPr>
        <w:t xml:space="preserve">a </w:t>
      </w:r>
      <w:r w:rsidR="00607CE7" w:rsidRPr="00C10D10">
        <w:rPr>
          <w:szCs w:val="24"/>
        </w:rPr>
        <w:t xml:space="preserve">nuclear installation, </w:t>
      </w:r>
      <w:r w:rsidR="00101F32" w:rsidRPr="00C10D10">
        <w:rPr>
          <w:szCs w:val="24"/>
        </w:rPr>
        <w:t xml:space="preserve">and </w:t>
      </w:r>
      <w:r w:rsidR="00991B05">
        <w:rPr>
          <w:szCs w:val="24"/>
        </w:rPr>
        <w:t xml:space="preserve">the points </w:t>
      </w:r>
      <w:r w:rsidR="00A87C7C">
        <w:rPr>
          <w:szCs w:val="24"/>
        </w:rPr>
        <w:t>at which the</w:t>
      </w:r>
      <w:r w:rsidR="00A87C7C" w:rsidRPr="00C10D10">
        <w:rPr>
          <w:szCs w:val="24"/>
        </w:rPr>
        <w:t xml:space="preserve"> </w:t>
      </w:r>
      <w:r w:rsidR="00101F32" w:rsidRPr="00C10D10">
        <w:rPr>
          <w:szCs w:val="24"/>
        </w:rPr>
        <w:t>control of discharges should be considered</w:t>
      </w:r>
      <w:r w:rsidR="00101F32" w:rsidRPr="00991AF9">
        <w:rPr>
          <w:szCs w:val="24"/>
        </w:rPr>
        <w:t>.</w:t>
      </w:r>
      <w:r w:rsidR="00991AF9" w:rsidRPr="006F1F9D">
        <w:rPr>
          <w:szCs w:val="24"/>
        </w:rPr>
        <w:t xml:space="preserve"> </w:t>
      </w:r>
      <w:r w:rsidR="003672B9" w:rsidRPr="00785E9D">
        <w:rPr>
          <w:szCs w:val="24"/>
        </w:rPr>
        <w:t xml:space="preserve">The horizontal arrow indicates the evolution of time. </w:t>
      </w:r>
      <w:r w:rsidR="00991AF9" w:rsidRPr="00785E9D">
        <w:rPr>
          <w:szCs w:val="24"/>
        </w:rPr>
        <w:t xml:space="preserve">The vertical </w:t>
      </w:r>
      <w:r w:rsidR="003672B9">
        <w:rPr>
          <w:szCs w:val="24"/>
        </w:rPr>
        <w:t xml:space="preserve">full </w:t>
      </w:r>
      <w:r w:rsidR="00991AF9" w:rsidRPr="00785E9D">
        <w:rPr>
          <w:szCs w:val="24"/>
        </w:rPr>
        <w:t>arrows indicate the stage</w:t>
      </w:r>
      <w:r w:rsidR="00133B8C" w:rsidRPr="00785E9D">
        <w:rPr>
          <w:szCs w:val="24"/>
        </w:rPr>
        <w:t xml:space="preserve">s </w:t>
      </w:r>
      <w:r w:rsidR="00991AF9" w:rsidRPr="00785E9D">
        <w:rPr>
          <w:szCs w:val="24"/>
        </w:rPr>
        <w:t xml:space="preserve">at which the </w:t>
      </w:r>
      <w:r w:rsidR="003969E5" w:rsidRPr="00785E9D">
        <w:rPr>
          <w:szCs w:val="24"/>
        </w:rPr>
        <w:t>control of discharges</w:t>
      </w:r>
      <w:r w:rsidR="00991AF9" w:rsidRPr="00785E9D">
        <w:rPr>
          <w:szCs w:val="24"/>
        </w:rPr>
        <w:t xml:space="preserve"> may be </w:t>
      </w:r>
      <w:r w:rsidR="003672B9">
        <w:rPr>
          <w:szCs w:val="24"/>
        </w:rPr>
        <w:t xml:space="preserve">part of the </w:t>
      </w:r>
      <w:r w:rsidR="00532A46">
        <w:rPr>
          <w:szCs w:val="24"/>
        </w:rPr>
        <w:t xml:space="preserve">preliminary </w:t>
      </w:r>
      <w:r w:rsidR="00991AF9" w:rsidRPr="00785E9D">
        <w:rPr>
          <w:szCs w:val="24"/>
        </w:rPr>
        <w:t>discuss</w:t>
      </w:r>
      <w:r w:rsidR="00532A46">
        <w:rPr>
          <w:szCs w:val="24"/>
        </w:rPr>
        <w:t>ions</w:t>
      </w:r>
      <w:r w:rsidR="00991AF9" w:rsidRPr="00785E9D">
        <w:rPr>
          <w:szCs w:val="24"/>
        </w:rPr>
        <w:t xml:space="preserve"> with the regulatory body</w:t>
      </w:r>
      <w:r w:rsidR="00A87C7C">
        <w:rPr>
          <w:szCs w:val="24"/>
        </w:rPr>
        <w:t>,</w:t>
      </w:r>
      <w:r w:rsidR="00991AF9" w:rsidRPr="00785E9D">
        <w:rPr>
          <w:szCs w:val="24"/>
        </w:rPr>
        <w:t xml:space="preserve"> </w:t>
      </w:r>
      <w:r w:rsidR="00532A46">
        <w:rPr>
          <w:szCs w:val="24"/>
        </w:rPr>
        <w:t xml:space="preserve">up to </w:t>
      </w:r>
      <w:r w:rsidR="00991AF9" w:rsidRPr="00785E9D">
        <w:rPr>
          <w:szCs w:val="24"/>
        </w:rPr>
        <w:t xml:space="preserve">when the </w:t>
      </w:r>
      <w:r w:rsidR="003969E5" w:rsidRPr="00785E9D">
        <w:rPr>
          <w:szCs w:val="24"/>
        </w:rPr>
        <w:t xml:space="preserve">discharge limits are </w:t>
      </w:r>
      <w:r w:rsidR="00A87C7C">
        <w:rPr>
          <w:szCs w:val="24"/>
        </w:rPr>
        <w:t>set</w:t>
      </w:r>
      <w:r w:rsidR="00050CD1">
        <w:rPr>
          <w:szCs w:val="24"/>
        </w:rPr>
        <w:t xml:space="preserve"> by the regulatory body</w:t>
      </w:r>
      <w:r w:rsidR="00532A46">
        <w:rPr>
          <w:szCs w:val="24"/>
        </w:rPr>
        <w:t>, prior to operation</w:t>
      </w:r>
      <w:r w:rsidR="003969E5" w:rsidRPr="00785E9D">
        <w:rPr>
          <w:szCs w:val="24"/>
        </w:rPr>
        <w:t xml:space="preserve">. </w:t>
      </w:r>
      <w:r w:rsidR="00991AF9" w:rsidRPr="00785E9D">
        <w:rPr>
          <w:szCs w:val="24"/>
        </w:rPr>
        <w:t xml:space="preserve">The vertical dashed </w:t>
      </w:r>
      <w:r w:rsidR="003B179A" w:rsidRPr="00785E9D">
        <w:rPr>
          <w:szCs w:val="24"/>
        </w:rPr>
        <w:t>arrows</w:t>
      </w:r>
      <w:r w:rsidR="00991AF9" w:rsidRPr="00785E9D">
        <w:rPr>
          <w:szCs w:val="24"/>
        </w:rPr>
        <w:t xml:space="preserve"> indicate where </w:t>
      </w:r>
      <w:r w:rsidR="00133B8C" w:rsidRPr="00785E9D">
        <w:rPr>
          <w:szCs w:val="24"/>
        </w:rPr>
        <w:t>a</w:t>
      </w:r>
      <w:r w:rsidR="00532A46">
        <w:rPr>
          <w:szCs w:val="24"/>
        </w:rPr>
        <w:t xml:space="preserve"> review </w:t>
      </w:r>
      <w:r w:rsidR="00133B8C" w:rsidRPr="00785E9D">
        <w:rPr>
          <w:szCs w:val="24"/>
        </w:rPr>
        <w:t>of the discharge limits can be considered, as a result of operating experience</w:t>
      </w:r>
      <w:r w:rsidR="00991AF9" w:rsidRPr="00785E9D">
        <w:rPr>
          <w:szCs w:val="24"/>
        </w:rPr>
        <w:t xml:space="preserve"> if significant changes have occurred during the operational stage. </w:t>
      </w:r>
      <w:r w:rsidR="006F1F9D" w:rsidRPr="00785E9D">
        <w:rPr>
          <w:szCs w:val="24"/>
        </w:rPr>
        <w:t xml:space="preserve">In </w:t>
      </w:r>
      <w:r w:rsidR="006F1F9D" w:rsidRPr="003969E5">
        <w:rPr>
          <w:szCs w:val="24"/>
        </w:rPr>
        <w:t>some cases</w:t>
      </w:r>
      <w:r w:rsidR="00A87C7C">
        <w:rPr>
          <w:szCs w:val="24"/>
        </w:rPr>
        <w:t>, the</w:t>
      </w:r>
      <w:r w:rsidR="006F1F9D" w:rsidRPr="003969E5">
        <w:rPr>
          <w:szCs w:val="24"/>
        </w:rPr>
        <w:t xml:space="preserve"> regulatory bod</w:t>
      </w:r>
      <w:r w:rsidR="00A87C7C">
        <w:rPr>
          <w:szCs w:val="24"/>
        </w:rPr>
        <w:t>y</w:t>
      </w:r>
      <w:r w:rsidR="006F1F9D" w:rsidRPr="003969E5">
        <w:rPr>
          <w:szCs w:val="24"/>
        </w:rPr>
        <w:t xml:space="preserve"> </w:t>
      </w:r>
      <w:r w:rsidR="004873E0">
        <w:rPr>
          <w:szCs w:val="24"/>
        </w:rPr>
        <w:t>may</w:t>
      </w:r>
      <w:r w:rsidR="00532A46">
        <w:rPr>
          <w:szCs w:val="24"/>
        </w:rPr>
        <w:t xml:space="preserve"> </w:t>
      </w:r>
      <w:r w:rsidR="006F1F9D" w:rsidRPr="003969E5">
        <w:rPr>
          <w:szCs w:val="24"/>
        </w:rPr>
        <w:t xml:space="preserve">consider a generic design </w:t>
      </w:r>
      <w:r w:rsidR="00483A19">
        <w:rPr>
          <w:szCs w:val="24"/>
        </w:rPr>
        <w:t xml:space="preserve">proposed by </w:t>
      </w:r>
      <w:r w:rsidR="00050CD1">
        <w:rPr>
          <w:szCs w:val="24"/>
        </w:rPr>
        <w:t xml:space="preserve">a </w:t>
      </w:r>
      <w:r w:rsidR="00A87C7C">
        <w:rPr>
          <w:szCs w:val="24"/>
        </w:rPr>
        <w:t xml:space="preserve">designer of </w:t>
      </w:r>
      <w:r w:rsidR="00991B05">
        <w:rPr>
          <w:szCs w:val="24"/>
        </w:rPr>
        <w:t>the</w:t>
      </w:r>
      <w:r w:rsidR="00A87C7C">
        <w:rPr>
          <w:szCs w:val="24"/>
        </w:rPr>
        <w:t xml:space="preserve"> </w:t>
      </w:r>
      <w:r w:rsidR="00483A19">
        <w:rPr>
          <w:szCs w:val="24"/>
        </w:rPr>
        <w:t xml:space="preserve">facility (e.g. </w:t>
      </w:r>
      <w:r w:rsidR="00991B05">
        <w:rPr>
          <w:szCs w:val="24"/>
        </w:rPr>
        <w:t xml:space="preserve">the </w:t>
      </w:r>
      <w:r w:rsidR="00050CD1">
        <w:rPr>
          <w:szCs w:val="24"/>
        </w:rPr>
        <w:t xml:space="preserve">nuclear power plant </w:t>
      </w:r>
      <w:r w:rsidR="0026700D">
        <w:rPr>
          <w:szCs w:val="24"/>
        </w:rPr>
        <w:t>vendor</w:t>
      </w:r>
      <w:r w:rsidR="00483A19">
        <w:rPr>
          <w:szCs w:val="24"/>
        </w:rPr>
        <w:t xml:space="preserve">) </w:t>
      </w:r>
      <w:r w:rsidR="00A87C7C">
        <w:rPr>
          <w:szCs w:val="24"/>
        </w:rPr>
        <w:t xml:space="preserve">to </w:t>
      </w:r>
      <w:r w:rsidR="00050CD1">
        <w:rPr>
          <w:szCs w:val="24"/>
        </w:rPr>
        <w:t>set generic pr</w:t>
      </w:r>
      <w:r w:rsidR="0026700D">
        <w:rPr>
          <w:szCs w:val="24"/>
        </w:rPr>
        <w:t>ovisional</w:t>
      </w:r>
      <w:r w:rsidR="00050CD1">
        <w:rPr>
          <w:szCs w:val="24"/>
        </w:rPr>
        <w:t xml:space="preserve"> discharge limits </w:t>
      </w:r>
      <w:r w:rsidR="006F1F9D" w:rsidRPr="003969E5">
        <w:rPr>
          <w:szCs w:val="24"/>
        </w:rPr>
        <w:t xml:space="preserve">prior to </w:t>
      </w:r>
      <w:r w:rsidR="00A87C7C">
        <w:rPr>
          <w:szCs w:val="24"/>
        </w:rPr>
        <w:t xml:space="preserve">a </w:t>
      </w:r>
      <w:r w:rsidR="006F1F9D" w:rsidRPr="003969E5">
        <w:rPr>
          <w:szCs w:val="24"/>
        </w:rPr>
        <w:t xml:space="preserve">specific site being identified. This would help </w:t>
      </w:r>
      <w:r w:rsidR="00991B05">
        <w:rPr>
          <w:szCs w:val="24"/>
        </w:rPr>
        <w:t xml:space="preserve">to </w:t>
      </w:r>
      <w:r w:rsidR="006F1F9D" w:rsidRPr="003969E5">
        <w:rPr>
          <w:szCs w:val="24"/>
        </w:rPr>
        <w:t>make a subsequent site</w:t>
      </w:r>
      <w:r w:rsidR="00A87C7C">
        <w:rPr>
          <w:szCs w:val="24"/>
        </w:rPr>
        <w:t xml:space="preserve"> </w:t>
      </w:r>
      <w:r w:rsidR="006F1F9D" w:rsidRPr="003969E5">
        <w:rPr>
          <w:szCs w:val="24"/>
        </w:rPr>
        <w:t xml:space="preserve">specific authorization process more efficient, especially if the </w:t>
      </w:r>
      <w:r w:rsidR="00532A46">
        <w:rPr>
          <w:szCs w:val="24"/>
        </w:rPr>
        <w:t xml:space="preserve">same type of facility </w:t>
      </w:r>
      <w:r w:rsidR="006F1F9D" w:rsidRPr="003969E5">
        <w:rPr>
          <w:szCs w:val="24"/>
        </w:rPr>
        <w:t xml:space="preserve">is to be </w:t>
      </w:r>
      <w:r w:rsidR="00532A46">
        <w:rPr>
          <w:szCs w:val="24"/>
        </w:rPr>
        <w:t>built</w:t>
      </w:r>
      <w:r w:rsidR="006F1F9D" w:rsidRPr="003969E5">
        <w:rPr>
          <w:szCs w:val="24"/>
        </w:rPr>
        <w:t xml:space="preserve"> </w:t>
      </w:r>
      <w:r w:rsidR="00A87C7C">
        <w:rPr>
          <w:szCs w:val="24"/>
        </w:rPr>
        <w:t>on</w:t>
      </w:r>
      <w:r w:rsidR="00A87C7C" w:rsidRPr="003969E5">
        <w:rPr>
          <w:szCs w:val="24"/>
        </w:rPr>
        <w:t xml:space="preserve"> </w:t>
      </w:r>
      <w:r w:rsidR="006F1F9D" w:rsidRPr="003969E5">
        <w:rPr>
          <w:szCs w:val="24"/>
        </w:rPr>
        <w:t>a number of sites.</w:t>
      </w:r>
    </w:p>
    <w:p w:rsidR="0087591D" w:rsidRPr="00C10D10" w:rsidRDefault="00650688"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During the siting, design and construction </w:t>
      </w:r>
      <w:r w:rsidR="00A87C7C">
        <w:rPr>
          <w:szCs w:val="24"/>
        </w:rPr>
        <w:t>stages</w:t>
      </w:r>
      <w:r w:rsidR="00A87C7C" w:rsidRPr="00C10D10">
        <w:rPr>
          <w:szCs w:val="24"/>
        </w:rPr>
        <w:t xml:space="preserve"> </w:t>
      </w:r>
      <w:r w:rsidR="003B179A">
        <w:rPr>
          <w:szCs w:val="24"/>
        </w:rPr>
        <w:t>of a complex facility</w:t>
      </w:r>
      <w:r w:rsidR="00A87C7C">
        <w:rPr>
          <w:szCs w:val="24"/>
        </w:rPr>
        <w:t>,</w:t>
      </w:r>
      <w:r w:rsidR="003B179A">
        <w:rPr>
          <w:szCs w:val="24"/>
        </w:rPr>
        <w:t xml:space="preserve"> </w:t>
      </w:r>
      <w:r w:rsidR="00FC40B1" w:rsidRPr="00C10D10">
        <w:rPr>
          <w:szCs w:val="24"/>
        </w:rPr>
        <w:t xml:space="preserve">the </w:t>
      </w:r>
      <w:r w:rsidR="00101F32" w:rsidRPr="00C10D10">
        <w:rPr>
          <w:szCs w:val="24"/>
        </w:rPr>
        <w:t>applicant</w:t>
      </w:r>
      <w:r w:rsidRPr="00C10D10">
        <w:rPr>
          <w:szCs w:val="24"/>
        </w:rPr>
        <w:t xml:space="preserve"> should </w:t>
      </w:r>
      <w:r w:rsidR="00FC40B1" w:rsidRPr="00C10D10">
        <w:rPr>
          <w:szCs w:val="24"/>
        </w:rPr>
        <w:t xml:space="preserve">provide </w:t>
      </w:r>
      <w:r w:rsidR="00A87C7C">
        <w:rPr>
          <w:szCs w:val="24"/>
        </w:rPr>
        <w:t xml:space="preserve">the regulatory body with </w:t>
      </w:r>
      <w:r w:rsidR="00FC40B1" w:rsidRPr="00C10D10">
        <w:rPr>
          <w:szCs w:val="24"/>
        </w:rPr>
        <w:t xml:space="preserve">information </w:t>
      </w:r>
      <w:r w:rsidR="001139AA" w:rsidRPr="00C10D10">
        <w:rPr>
          <w:szCs w:val="24"/>
        </w:rPr>
        <w:t xml:space="preserve">relevant to the optimization of protection </w:t>
      </w:r>
      <w:r w:rsidR="001139AA" w:rsidRPr="00C10D10">
        <w:rPr>
          <w:szCs w:val="24"/>
        </w:rPr>
        <w:lastRenderedPageBreak/>
        <w:t xml:space="preserve">of the public, </w:t>
      </w:r>
      <w:r w:rsidR="00A87C7C">
        <w:rPr>
          <w:szCs w:val="24"/>
        </w:rPr>
        <w:t>such as</w:t>
      </w:r>
      <w:r w:rsidR="00991B05">
        <w:rPr>
          <w:szCs w:val="24"/>
        </w:rPr>
        <w:t xml:space="preserve"> information on</w:t>
      </w:r>
      <w:r w:rsidR="00FC40B1" w:rsidRPr="00C10D10">
        <w:rPr>
          <w:szCs w:val="24"/>
        </w:rPr>
        <w:t xml:space="preserve"> possible discharges to atmosphere and to </w:t>
      </w:r>
      <w:r w:rsidR="003E342A" w:rsidRPr="00C10D10">
        <w:rPr>
          <w:szCs w:val="24"/>
        </w:rPr>
        <w:t xml:space="preserve">surface </w:t>
      </w:r>
      <w:r w:rsidR="00FC40B1" w:rsidRPr="00C10D10">
        <w:rPr>
          <w:szCs w:val="24"/>
        </w:rPr>
        <w:t>water bodies</w:t>
      </w:r>
      <w:r w:rsidR="001139AA" w:rsidRPr="00C10D10">
        <w:rPr>
          <w:szCs w:val="24"/>
        </w:rPr>
        <w:t xml:space="preserve"> and </w:t>
      </w:r>
      <w:r w:rsidR="00A87C7C">
        <w:rPr>
          <w:szCs w:val="24"/>
        </w:rPr>
        <w:t>the</w:t>
      </w:r>
      <w:r w:rsidR="00991B05">
        <w:rPr>
          <w:szCs w:val="24"/>
        </w:rPr>
        <w:t>ir</w:t>
      </w:r>
      <w:r w:rsidR="00A87C7C" w:rsidRPr="00C10D10">
        <w:rPr>
          <w:szCs w:val="24"/>
        </w:rPr>
        <w:t xml:space="preserve"> </w:t>
      </w:r>
      <w:r w:rsidR="00101F32" w:rsidRPr="00C10D10">
        <w:rPr>
          <w:szCs w:val="24"/>
        </w:rPr>
        <w:t xml:space="preserve">radiological </w:t>
      </w:r>
      <w:r w:rsidR="001139AA" w:rsidRPr="00C10D10">
        <w:rPr>
          <w:szCs w:val="24"/>
        </w:rPr>
        <w:t>impact on the public</w:t>
      </w:r>
      <w:r w:rsidR="00417650" w:rsidRPr="00C10D10">
        <w:rPr>
          <w:szCs w:val="24"/>
        </w:rPr>
        <w:t xml:space="preserve"> and the environment</w:t>
      </w:r>
      <w:r w:rsidR="00FC40B1" w:rsidRPr="00C10D10">
        <w:rPr>
          <w:szCs w:val="24"/>
        </w:rPr>
        <w:t xml:space="preserve">, </w:t>
      </w:r>
      <w:r w:rsidR="00991B05">
        <w:rPr>
          <w:szCs w:val="24"/>
        </w:rPr>
        <w:t xml:space="preserve">on </w:t>
      </w:r>
      <w:r w:rsidR="00A87C7C">
        <w:rPr>
          <w:szCs w:val="24"/>
        </w:rPr>
        <w:t xml:space="preserve">the </w:t>
      </w:r>
      <w:r w:rsidRPr="00C10D10">
        <w:rPr>
          <w:szCs w:val="24"/>
        </w:rPr>
        <w:t xml:space="preserve">generation of waste, and </w:t>
      </w:r>
      <w:r w:rsidR="00991B05">
        <w:rPr>
          <w:szCs w:val="24"/>
        </w:rPr>
        <w:t xml:space="preserve">on </w:t>
      </w:r>
      <w:r w:rsidRPr="00C10D10">
        <w:rPr>
          <w:szCs w:val="24"/>
        </w:rPr>
        <w:t xml:space="preserve">waste </w:t>
      </w:r>
      <w:r w:rsidR="00FC40B1" w:rsidRPr="00C10D10">
        <w:rPr>
          <w:szCs w:val="24"/>
        </w:rPr>
        <w:t>management</w:t>
      </w:r>
      <w:r w:rsidR="001139AA" w:rsidRPr="00C10D10">
        <w:rPr>
          <w:szCs w:val="24"/>
        </w:rPr>
        <w:t xml:space="preserve"> </w:t>
      </w:r>
      <w:r w:rsidR="00B13101">
        <w:rPr>
          <w:szCs w:val="24"/>
        </w:rPr>
        <w:t>on</w:t>
      </w:r>
      <w:r w:rsidR="0026700D">
        <w:rPr>
          <w:szCs w:val="24"/>
        </w:rPr>
        <w:t xml:space="preserve"> the</w:t>
      </w:r>
      <w:r w:rsidR="00B13101">
        <w:rPr>
          <w:szCs w:val="24"/>
        </w:rPr>
        <w:t xml:space="preserve"> site </w:t>
      </w:r>
      <w:r w:rsidR="001139AA" w:rsidRPr="00C10D10">
        <w:rPr>
          <w:szCs w:val="24"/>
        </w:rPr>
        <w:t xml:space="preserve">and its impact </w:t>
      </w:r>
      <w:r w:rsidR="0034047E">
        <w:rPr>
          <w:szCs w:val="24"/>
        </w:rPr>
        <w:t>on</w:t>
      </w:r>
      <w:r w:rsidR="001139AA" w:rsidRPr="00C10D10">
        <w:rPr>
          <w:szCs w:val="24"/>
        </w:rPr>
        <w:t xml:space="preserve"> workers</w:t>
      </w:r>
      <w:r w:rsidR="00FC40B1" w:rsidRPr="00C10D10">
        <w:rPr>
          <w:szCs w:val="24"/>
        </w:rPr>
        <w:t xml:space="preserve">. </w:t>
      </w:r>
      <w:r w:rsidR="004207A5" w:rsidRPr="00C10D10">
        <w:rPr>
          <w:szCs w:val="24"/>
        </w:rPr>
        <w:t xml:space="preserve">This information should be sufficient to allow the regulatory body to form an opinion about the suitability of the optimization </w:t>
      </w:r>
      <w:r w:rsidR="00281688" w:rsidRPr="00C10D10">
        <w:rPr>
          <w:szCs w:val="24"/>
        </w:rPr>
        <w:t>procedure</w:t>
      </w:r>
      <w:r w:rsidR="001139AA" w:rsidRPr="00C10D10">
        <w:rPr>
          <w:szCs w:val="24"/>
        </w:rPr>
        <w:t>.</w:t>
      </w:r>
    </w:p>
    <w:p w:rsidR="00397F5B" w:rsidRPr="00C10D10" w:rsidRDefault="00397F5B" w:rsidP="00397F5B">
      <w:pPr>
        <w:autoSpaceDE w:val="0"/>
        <w:autoSpaceDN w:val="0"/>
        <w:adjustRightInd w:val="0"/>
        <w:spacing w:before="120" w:line="360" w:lineRule="auto"/>
        <w:jc w:val="both"/>
        <w:rPr>
          <w:rFonts w:ascii="Times New Roman" w:hAnsi="Times New Roman"/>
          <w:sz w:val="24"/>
          <w:szCs w:val="24"/>
          <w:lang w:eastAsia="ru-RU"/>
        </w:rPr>
      </w:pPr>
    </w:p>
    <w:p w:rsidR="00397F5B" w:rsidRPr="00C10D10" w:rsidRDefault="00F501BF" w:rsidP="00397F5B">
      <w:pPr>
        <w:autoSpaceDE w:val="0"/>
        <w:autoSpaceDN w:val="0"/>
        <w:adjustRightInd w:val="0"/>
        <w:spacing w:before="120" w:line="360" w:lineRule="auto"/>
        <w:jc w:val="center"/>
        <w:rPr>
          <w:rFonts w:ascii="Times New Roman" w:hAnsi="Times New Roman"/>
          <w:sz w:val="24"/>
          <w:szCs w:val="24"/>
        </w:rPr>
      </w:pPr>
      <w:r>
        <w:rPr>
          <w:rFonts w:ascii="Times New Roman" w:hAnsi="Times New Roman"/>
          <w:noProof/>
          <w:sz w:val="24"/>
          <w:szCs w:val="24"/>
          <w:lang w:eastAsia="en-GB"/>
        </w:rPr>
        <w:drawing>
          <wp:inline distT="0" distB="0" distL="0" distR="0" wp14:anchorId="6F954569" wp14:editId="4C94BBD0">
            <wp:extent cx="4661383" cy="2896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1214" cy="2902929"/>
                    </a:xfrm>
                    <a:prstGeom prst="rect">
                      <a:avLst/>
                    </a:prstGeom>
                    <a:noFill/>
                  </pic:spPr>
                </pic:pic>
              </a:graphicData>
            </a:graphic>
          </wp:inline>
        </w:drawing>
      </w:r>
    </w:p>
    <w:p w:rsidR="00397F5B" w:rsidRPr="00C10D10" w:rsidRDefault="00397F5B" w:rsidP="00397F5B">
      <w:pPr>
        <w:autoSpaceDE w:val="0"/>
        <w:autoSpaceDN w:val="0"/>
        <w:adjustRightInd w:val="0"/>
        <w:spacing w:before="120" w:line="360" w:lineRule="auto"/>
        <w:jc w:val="both"/>
        <w:rPr>
          <w:rFonts w:ascii="Times New Roman" w:hAnsi="Times New Roman"/>
          <w:i/>
          <w:sz w:val="24"/>
          <w:szCs w:val="24"/>
        </w:rPr>
      </w:pPr>
      <w:proofErr w:type="gramStart"/>
      <w:r w:rsidRPr="00C10D10">
        <w:rPr>
          <w:rFonts w:ascii="Times New Roman" w:hAnsi="Times New Roman"/>
          <w:i/>
          <w:sz w:val="24"/>
          <w:szCs w:val="24"/>
        </w:rPr>
        <w:t>FIG. 2.</w:t>
      </w:r>
      <w:proofErr w:type="gramEnd"/>
      <w:r w:rsidRPr="00C10D10">
        <w:rPr>
          <w:rFonts w:ascii="Times New Roman" w:hAnsi="Times New Roman"/>
          <w:i/>
          <w:sz w:val="24"/>
          <w:szCs w:val="24"/>
        </w:rPr>
        <w:t xml:space="preserve"> </w:t>
      </w:r>
      <w:proofErr w:type="gramStart"/>
      <w:r w:rsidRPr="00C10D10">
        <w:rPr>
          <w:rFonts w:ascii="Times New Roman" w:hAnsi="Times New Roman"/>
          <w:i/>
          <w:sz w:val="24"/>
          <w:szCs w:val="24"/>
        </w:rPr>
        <w:t xml:space="preserve">Example of stages in the lifetime of a facility </w:t>
      </w:r>
      <w:r w:rsidR="0083556E">
        <w:rPr>
          <w:rFonts w:ascii="Times New Roman" w:hAnsi="Times New Roman"/>
          <w:i/>
          <w:sz w:val="24"/>
          <w:szCs w:val="24"/>
        </w:rPr>
        <w:t xml:space="preserve">and the points </w:t>
      </w:r>
      <w:r w:rsidR="00A87C7C">
        <w:rPr>
          <w:rFonts w:ascii="Times New Roman" w:hAnsi="Times New Roman"/>
          <w:i/>
          <w:sz w:val="24"/>
          <w:szCs w:val="24"/>
        </w:rPr>
        <w:t>at which</w:t>
      </w:r>
      <w:r w:rsidR="00A87C7C" w:rsidRPr="00C10D10">
        <w:rPr>
          <w:rFonts w:ascii="Times New Roman" w:hAnsi="Times New Roman"/>
          <w:i/>
          <w:sz w:val="24"/>
          <w:szCs w:val="24"/>
        </w:rPr>
        <w:t xml:space="preserve"> </w:t>
      </w:r>
      <w:r w:rsidR="00A87C7C">
        <w:rPr>
          <w:rFonts w:ascii="Times New Roman" w:hAnsi="Times New Roman"/>
          <w:i/>
          <w:sz w:val="24"/>
          <w:szCs w:val="24"/>
        </w:rPr>
        <w:t xml:space="preserve">the </w:t>
      </w:r>
      <w:r w:rsidRPr="00C10D10">
        <w:rPr>
          <w:rFonts w:ascii="Times New Roman" w:hAnsi="Times New Roman"/>
          <w:i/>
          <w:sz w:val="24"/>
          <w:szCs w:val="24"/>
        </w:rPr>
        <w:t>control of discharges should be considered.</w:t>
      </w:r>
      <w:proofErr w:type="gramEnd"/>
    </w:p>
    <w:p w:rsidR="00397F5B" w:rsidRPr="00240ED5" w:rsidRDefault="00397F5B" w:rsidP="00397F5B">
      <w:pPr>
        <w:autoSpaceDE w:val="0"/>
        <w:autoSpaceDN w:val="0"/>
        <w:adjustRightInd w:val="0"/>
        <w:spacing w:before="120" w:line="360" w:lineRule="auto"/>
        <w:jc w:val="both"/>
        <w:rPr>
          <w:rFonts w:ascii="Times New Roman" w:hAnsi="Times New Roman"/>
          <w:sz w:val="24"/>
          <w:szCs w:val="24"/>
        </w:rPr>
      </w:pPr>
    </w:p>
    <w:p w:rsidR="00101F32" w:rsidRPr="00C10D10" w:rsidRDefault="004349DA" w:rsidP="0091132F">
      <w:pPr>
        <w:pStyle w:val="ListParagraph"/>
        <w:numPr>
          <w:ilvl w:val="0"/>
          <w:numId w:val="7"/>
        </w:numPr>
        <w:autoSpaceDE w:val="0"/>
        <w:autoSpaceDN w:val="0"/>
        <w:adjustRightInd w:val="0"/>
        <w:spacing w:before="120"/>
        <w:contextualSpacing w:val="0"/>
        <w:jc w:val="both"/>
        <w:rPr>
          <w:szCs w:val="24"/>
        </w:rPr>
      </w:pPr>
      <w:r w:rsidRPr="00240ED5">
        <w:rPr>
          <w:szCs w:val="24"/>
        </w:rPr>
        <w:t xml:space="preserve">GSR </w:t>
      </w:r>
      <w:r w:rsidR="00417650" w:rsidRPr="00240ED5">
        <w:rPr>
          <w:szCs w:val="24"/>
        </w:rPr>
        <w:t xml:space="preserve">Part 3 </w:t>
      </w:r>
      <w:r w:rsidR="00417BFF">
        <w:rPr>
          <w:szCs w:val="24"/>
        </w:rPr>
        <w:t>[3]</w:t>
      </w:r>
      <w:r w:rsidR="00DB0F8A">
        <w:rPr>
          <w:szCs w:val="24"/>
        </w:rPr>
        <w:t xml:space="preserve"> </w:t>
      </w:r>
      <w:r w:rsidR="00A87C7C">
        <w:rPr>
          <w:szCs w:val="24"/>
        </w:rPr>
        <w:t>states</w:t>
      </w:r>
      <w:r w:rsidR="00A87C7C" w:rsidRPr="00240ED5">
        <w:rPr>
          <w:szCs w:val="24"/>
        </w:rPr>
        <w:t xml:space="preserve"> </w:t>
      </w:r>
      <w:r w:rsidR="00417650" w:rsidRPr="00240ED5">
        <w:rPr>
          <w:szCs w:val="24"/>
        </w:rPr>
        <w:t>that</w:t>
      </w:r>
      <w:r w:rsidR="00A87C7C">
        <w:rPr>
          <w:szCs w:val="24"/>
        </w:rPr>
        <w:t>,</w:t>
      </w:r>
      <w:r w:rsidR="00417650" w:rsidRPr="00240ED5">
        <w:rPr>
          <w:szCs w:val="24"/>
        </w:rPr>
        <w:t xml:space="preserve"> for setting discharge limits, the results of </w:t>
      </w:r>
      <w:r w:rsidR="00C238A0" w:rsidRPr="00240ED5">
        <w:rPr>
          <w:szCs w:val="24"/>
        </w:rPr>
        <w:t>a</w:t>
      </w:r>
      <w:r w:rsidR="00962632">
        <w:rPr>
          <w:szCs w:val="24"/>
        </w:rPr>
        <w:t xml:space="preserve"> prospective</w:t>
      </w:r>
      <w:r w:rsidR="00C238A0" w:rsidRPr="00240ED5">
        <w:rPr>
          <w:szCs w:val="24"/>
        </w:rPr>
        <w:t xml:space="preserve"> </w:t>
      </w:r>
      <w:r w:rsidR="00417650" w:rsidRPr="00240ED5">
        <w:rPr>
          <w:szCs w:val="24"/>
        </w:rPr>
        <w:t xml:space="preserve">radiological environmental impact assessment </w:t>
      </w:r>
      <w:r w:rsidR="00770E57" w:rsidRPr="00240ED5">
        <w:rPr>
          <w:szCs w:val="24"/>
        </w:rPr>
        <w:t xml:space="preserve">conducted in accordance with the requirements of the regulatory body </w:t>
      </w:r>
      <w:r w:rsidR="00A87C7C">
        <w:rPr>
          <w:szCs w:val="24"/>
        </w:rPr>
        <w:t>are required to</w:t>
      </w:r>
      <w:r w:rsidR="00A87C7C" w:rsidRPr="00240ED5">
        <w:rPr>
          <w:szCs w:val="24"/>
        </w:rPr>
        <w:t xml:space="preserve"> </w:t>
      </w:r>
      <w:r w:rsidR="00417650" w:rsidRPr="00240ED5">
        <w:rPr>
          <w:szCs w:val="24"/>
        </w:rPr>
        <w:t xml:space="preserve">be considered. </w:t>
      </w:r>
      <w:r w:rsidR="00E84FD9" w:rsidRPr="00240ED5">
        <w:rPr>
          <w:szCs w:val="24"/>
        </w:rPr>
        <w:t>Guidance on</w:t>
      </w:r>
      <w:r w:rsidR="00417650" w:rsidRPr="00240ED5">
        <w:rPr>
          <w:szCs w:val="24"/>
        </w:rPr>
        <w:t xml:space="preserve"> </w:t>
      </w:r>
      <w:r w:rsidR="00517462" w:rsidRPr="00240ED5">
        <w:rPr>
          <w:szCs w:val="24"/>
        </w:rPr>
        <w:t xml:space="preserve">prospective </w:t>
      </w:r>
      <w:r w:rsidR="00417650" w:rsidRPr="00240ED5">
        <w:rPr>
          <w:szCs w:val="24"/>
        </w:rPr>
        <w:t xml:space="preserve">radiological environmental impact assessment for facilities and activities </w:t>
      </w:r>
      <w:r w:rsidR="00A87C7C">
        <w:rPr>
          <w:szCs w:val="24"/>
        </w:rPr>
        <w:t>that</w:t>
      </w:r>
      <w:r w:rsidR="00A87C7C" w:rsidRPr="00240ED5">
        <w:rPr>
          <w:szCs w:val="24"/>
        </w:rPr>
        <w:t xml:space="preserve"> </w:t>
      </w:r>
      <w:r w:rsidR="00517462" w:rsidRPr="00240ED5">
        <w:rPr>
          <w:szCs w:val="24"/>
        </w:rPr>
        <w:t xml:space="preserve">should be conducted during or prior to </w:t>
      </w:r>
      <w:r w:rsidR="00A87C7C">
        <w:rPr>
          <w:szCs w:val="24"/>
        </w:rPr>
        <w:t xml:space="preserve">the </w:t>
      </w:r>
      <w:r w:rsidR="00517462" w:rsidRPr="00240ED5">
        <w:rPr>
          <w:szCs w:val="24"/>
        </w:rPr>
        <w:t xml:space="preserve">siting, design and construction </w:t>
      </w:r>
      <w:r w:rsidR="00A87C7C">
        <w:rPr>
          <w:szCs w:val="24"/>
        </w:rPr>
        <w:t>stages</w:t>
      </w:r>
      <w:r w:rsidR="00A87C7C" w:rsidRPr="00240ED5">
        <w:rPr>
          <w:szCs w:val="24"/>
        </w:rPr>
        <w:t xml:space="preserve"> </w:t>
      </w:r>
      <w:r w:rsidR="00E84FD9" w:rsidRPr="00240ED5">
        <w:rPr>
          <w:szCs w:val="24"/>
        </w:rPr>
        <w:t xml:space="preserve">is presented </w:t>
      </w:r>
      <w:r w:rsidR="00417650" w:rsidRPr="00240ED5">
        <w:rPr>
          <w:szCs w:val="24"/>
        </w:rPr>
        <w:t xml:space="preserve">in </w:t>
      </w:r>
      <w:r w:rsidR="00C238A0" w:rsidRPr="00240ED5">
        <w:rPr>
          <w:szCs w:val="24"/>
        </w:rPr>
        <w:t>DS427</w:t>
      </w:r>
      <w:r w:rsidR="00A87C7C">
        <w:rPr>
          <w:szCs w:val="24"/>
        </w:rPr>
        <w:t xml:space="preserve"> </w:t>
      </w:r>
      <w:r w:rsidR="00417650" w:rsidRPr="00240ED5">
        <w:rPr>
          <w:szCs w:val="24"/>
        </w:rPr>
        <w:t>[</w:t>
      </w:r>
      <w:r w:rsidR="0083556E">
        <w:rPr>
          <w:szCs w:val="24"/>
        </w:rPr>
        <w:t>7</w:t>
      </w:r>
      <w:r w:rsidR="00517462" w:rsidRPr="00240ED5">
        <w:rPr>
          <w:szCs w:val="24"/>
        </w:rPr>
        <w:t>]</w:t>
      </w:r>
      <w:r w:rsidR="00417650" w:rsidRPr="00240ED5">
        <w:rPr>
          <w:szCs w:val="24"/>
        </w:rPr>
        <w:t>.</w:t>
      </w:r>
      <w:r w:rsidR="00417650" w:rsidRPr="00C10D10">
        <w:rPr>
          <w:szCs w:val="24"/>
        </w:rPr>
        <w:t xml:space="preserve"> </w:t>
      </w:r>
    </w:p>
    <w:p w:rsidR="0089115F" w:rsidRPr="00C10D10" w:rsidRDefault="00DB0F8A" w:rsidP="0091132F">
      <w:pPr>
        <w:pStyle w:val="ListParagraph"/>
        <w:numPr>
          <w:ilvl w:val="0"/>
          <w:numId w:val="7"/>
        </w:numPr>
        <w:autoSpaceDE w:val="0"/>
        <w:autoSpaceDN w:val="0"/>
        <w:adjustRightInd w:val="0"/>
        <w:spacing w:before="120"/>
        <w:contextualSpacing w:val="0"/>
        <w:jc w:val="both"/>
        <w:rPr>
          <w:szCs w:val="24"/>
        </w:rPr>
      </w:pPr>
      <w:r>
        <w:rPr>
          <w:szCs w:val="24"/>
        </w:rPr>
        <w:t>The</w:t>
      </w:r>
      <w:r w:rsidR="00A87C7C">
        <w:rPr>
          <w:szCs w:val="24"/>
        </w:rPr>
        <w:t xml:space="preserve"> authorization for</w:t>
      </w:r>
      <w:r w:rsidR="00650688" w:rsidRPr="00C10D10">
        <w:rPr>
          <w:szCs w:val="24"/>
        </w:rPr>
        <w:t xml:space="preserve"> discharge</w:t>
      </w:r>
      <w:r w:rsidR="00A87C7C">
        <w:rPr>
          <w:szCs w:val="24"/>
        </w:rPr>
        <w:t>s</w:t>
      </w:r>
      <w:r w:rsidR="00650688" w:rsidRPr="00C10D10">
        <w:rPr>
          <w:szCs w:val="24"/>
        </w:rPr>
        <w:t xml:space="preserve"> should be reviewed</w:t>
      </w:r>
      <w:r>
        <w:rPr>
          <w:szCs w:val="24"/>
        </w:rPr>
        <w:t xml:space="preserve"> </w:t>
      </w:r>
      <w:r w:rsidR="00F70BDA">
        <w:rPr>
          <w:szCs w:val="24"/>
        </w:rPr>
        <w:t>during</w:t>
      </w:r>
      <w:r>
        <w:rPr>
          <w:szCs w:val="24"/>
        </w:rPr>
        <w:t xml:space="preserve"> the operation stage</w:t>
      </w:r>
      <w:r w:rsidR="006F2743" w:rsidRPr="00C10D10">
        <w:rPr>
          <w:szCs w:val="24"/>
        </w:rPr>
        <w:t xml:space="preserve">, </w:t>
      </w:r>
      <w:r w:rsidR="007E3B9C">
        <w:rPr>
          <w:szCs w:val="24"/>
        </w:rPr>
        <w:t xml:space="preserve">for example </w:t>
      </w:r>
      <w:r w:rsidR="006F2743" w:rsidRPr="00C10D10">
        <w:rPr>
          <w:szCs w:val="24"/>
        </w:rPr>
        <w:t xml:space="preserve">as part of </w:t>
      </w:r>
      <w:r w:rsidR="006B69B2">
        <w:rPr>
          <w:szCs w:val="24"/>
        </w:rPr>
        <w:t>a</w:t>
      </w:r>
      <w:r w:rsidR="006F2743" w:rsidRPr="00C10D10">
        <w:rPr>
          <w:szCs w:val="24"/>
        </w:rPr>
        <w:t xml:space="preserve"> periodic safety review</w:t>
      </w:r>
      <w:r w:rsidR="00FB3296" w:rsidRPr="00C10D10">
        <w:rPr>
          <w:szCs w:val="24"/>
        </w:rPr>
        <w:t xml:space="preserve"> </w:t>
      </w:r>
      <w:r w:rsidR="006B69B2">
        <w:rPr>
          <w:szCs w:val="24"/>
        </w:rPr>
        <w:t xml:space="preserve">of the facility or activity </w:t>
      </w:r>
      <w:r w:rsidR="00417BFF">
        <w:rPr>
          <w:szCs w:val="24"/>
        </w:rPr>
        <w:t>[3]</w:t>
      </w:r>
      <w:r w:rsidR="006437BA" w:rsidRPr="00C10D10">
        <w:rPr>
          <w:szCs w:val="24"/>
        </w:rPr>
        <w:t>.</w:t>
      </w:r>
      <w:r w:rsidR="005903B9" w:rsidRPr="00C10D10">
        <w:rPr>
          <w:szCs w:val="24"/>
        </w:rPr>
        <w:t xml:space="preserve"> </w:t>
      </w:r>
      <w:r w:rsidR="00DB3DF5" w:rsidRPr="00C10D10">
        <w:rPr>
          <w:szCs w:val="24"/>
        </w:rPr>
        <w:t xml:space="preserve">Significant </w:t>
      </w:r>
      <w:r w:rsidR="00B8724A" w:rsidRPr="00C10D10">
        <w:rPr>
          <w:szCs w:val="24"/>
        </w:rPr>
        <w:t>changes</w:t>
      </w:r>
      <w:r w:rsidR="0089115F" w:rsidRPr="00C10D10">
        <w:rPr>
          <w:szCs w:val="24"/>
        </w:rPr>
        <w:t xml:space="preserve"> in any condition that could affect public exposure should be taken into account during the review of an existing authorization. </w:t>
      </w:r>
      <w:r w:rsidR="00F73CB8">
        <w:rPr>
          <w:szCs w:val="24"/>
        </w:rPr>
        <w:t>Such</w:t>
      </w:r>
      <w:r w:rsidR="00F73CB8" w:rsidRPr="00C10D10">
        <w:rPr>
          <w:szCs w:val="24"/>
        </w:rPr>
        <w:t xml:space="preserve"> </w:t>
      </w:r>
      <w:r w:rsidR="00F630E8" w:rsidRPr="00C10D10">
        <w:rPr>
          <w:szCs w:val="24"/>
        </w:rPr>
        <w:t xml:space="preserve">significant changes could </w:t>
      </w:r>
      <w:r w:rsidR="006B69B2">
        <w:rPr>
          <w:szCs w:val="24"/>
        </w:rPr>
        <w:t>include</w:t>
      </w:r>
      <w:r w:rsidR="00F73CB8">
        <w:rPr>
          <w:szCs w:val="24"/>
        </w:rPr>
        <w:t xml:space="preserve"> changes</w:t>
      </w:r>
      <w:r w:rsidR="0089115F" w:rsidRPr="00C10D10">
        <w:rPr>
          <w:szCs w:val="24"/>
        </w:rPr>
        <w:t xml:space="preserve"> in the characteristics and operation of the </w:t>
      </w:r>
      <w:r w:rsidR="006B69B2">
        <w:rPr>
          <w:szCs w:val="24"/>
        </w:rPr>
        <w:t>facility</w:t>
      </w:r>
      <w:r w:rsidR="0089115F" w:rsidRPr="00C10D10">
        <w:rPr>
          <w:szCs w:val="24"/>
        </w:rPr>
        <w:t xml:space="preserve">, changes in the </w:t>
      </w:r>
      <w:r w:rsidR="0083556E">
        <w:rPr>
          <w:szCs w:val="24"/>
        </w:rPr>
        <w:t>characteristics</w:t>
      </w:r>
      <w:r w:rsidR="0083556E" w:rsidRPr="00C10D10">
        <w:rPr>
          <w:szCs w:val="24"/>
        </w:rPr>
        <w:t xml:space="preserve"> </w:t>
      </w:r>
      <w:r w:rsidR="0089115F" w:rsidRPr="00C10D10">
        <w:rPr>
          <w:szCs w:val="24"/>
        </w:rPr>
        <w:t>of</w:t>
      </w:r>
      <w:r w:rsidR="0083556E">
        <w:rPr>
          <w:szCs w:val="24"/>
        </w:rPr>
        <w:t xml:space="preserve"> the</w:t>
      </w:r>
      <w:r w:rsidR="0089115F" w:rsidRPr="00C10D10">
        <w:rPr>
          <w:szCs w:val="24"/>
        </w:rPr>
        <w:t xml:space="preserve"> discharges, </w:t>
      </w:r>
      <w:r w:rsidR="00D9309A">
        <w:rPr>
          <w:szCs w:val="24"/>
        </w:rPr>
        <w:t xml:space="preserve">changes in </w:t>
      </w:r>
      <w:r w:rsidR="006B69B2">
        <w:rPr>
          <w:szCs w:val="24"/>
        </w:rPr>
        <w:t>the</w:t>
      </w:r>
      <w:r w:rsidR="00D9309A">
        <w:rPr>
          <w:szCs w:val="24"/>
        </w:rPr>
        <w:t xml:space="preserve"> </w:t>
      </w:r>
      <w:r w:rsidR="00760701">
        <w:rPr>
          <w:szCs w:val="24"/>
        </w:rPr>
        <w:t xml:space="preserve">parameters </w:t>
      </w:r>
      <w:r w:rsidR="0026700D">
        <w:rPr>
          <w:szCs w:val="24"/>
        </w:rPr>
        <w:t>that</w:t>
      </w:r>
      <w:r w:rsidR="00760701">
        <w:rPr>
          <w:szCs w:val="24"/>
        </w:rPr>
        <w:t xml:space="preserve"> are input to the </w:t>
      </w:r>
      <w:r w:rsidR="00D9309A">
        <w:rPr>
          <w:szCs w:val="24"/>
        </w:rPr>
        <w:t>models</w:t>
      </w:r>
      <w:r w:rsidR="006B69B2">
        <w:rPr>
          <w:szCs w:val="24"/>
        </w:rPr>
        <w:t xml:space="preserve"> used to calculate doses</w:t>
      </w:r>
      <w:r w:rsidR="00D9309A">
        <w:rPr>
          <w:szCs w:val="24"/>
        </w:rPr>
        <w:t xml:space="preserve">, </w:t>
      </w:r>
      <w:r w:rsidR="0089115F" w:rsidRPr="00C10D10">
        <w:rPr>
          <w:szCs w:val="24"/>
        </w:rPr>
        <w:t xml:space="preserve">changes in the habits or </w:t>
      </w:r>
      <w:r w:rsidR="006B69B2">
        <w:rPr>
          <w:szCs w:val="24"/>
        </w:rPr>
        <w:t>location</w:t>
      </w:r>
      <w:r w:rsidR="006B69B2" w:rsidRPr="00C10D10">
        <w:rPr>
          <w:szCs w:val="24"/>
        </w:rPr>
        <w:t xml:space="preserve"> </w:t>
      </w:r>
      <w:r w:rsidR="0089115F" w:rsidRPr="00C10D10">
        <w:rPr>
          <w:szCs w:val="24"/>
        </w:rPr>
        <w:t>of the population or changes in the environmental dispersion conditions.</w:t>
      </w:r>
    </w:p>
    <w:p w:rsidR="00FB3296" w:rsidRPr="00C10D10" w:rsidRDefault="0089115F" w:rsidP="0091132F">
      <w:pPr>
        <w:pStyle w:val="ListParagraph"/>
        <w:numPr>
          <w:ilvl w:val="0"/>
          <w:numId w:val="7"/>
        </w:numPr>
        <w:autoSpaceDE w:val="0"/>
        <w:autoSpaceDN w:val="0"/>
        <w:adjustRightInd w:val="0"/>
        <w:spacing w:before="120"/>
        <w:contextualSpacing w:val="0"/>
        <w:jc w:val="both"/>
        <w:rPr>
          <w:szCs w:val="24"/>
        </w:rPr>
      </w:pPr>
      <w:r w:rsidRPr="00C10D10">
        <w:rPr>
          <w:szCs w:val="24"/>
        </w:rPr>
        <w:lastRenderedPageBreak/>
        <w:t xml:space="preserve">A </w:t>
      </w:r>
      <w:r w:rsidR="00FB3296" w:rsidRPr="00C10D10">
        <w:rPr>
          <w:szCs w:val="24"/>
        </w:rPr>
        <w:t>new</w:t>
      </w:r>
      <w:r w:rsidR="008721CB">
        <w:rPr>
          <w:szCs w:val="24"/>
        </w:rPr>
        <w:t>, or revised,</w:t>
      </w:r>
      <w:r w:rsidR="00FB3296" w:rsidRPr="00C10D10">
        <w:rPr>
          <w:szCs w:val="24"/>
        </w:rPr>
        <w:t xml:space="preserve"> </w:t>
      </w:r>
      <w:r w:rsidR="00A87C7C">
        <w:rPr>
          <w:szCs w:val="24"/>
        </w:rPr>
        <w:t>authorization for discharges</w:t>
      </w:r>
      <w:r w:rsidR="00FB3296" w:rsidRPr="00C10D10">
        <w:rPr>
          <w:szCs w:val="24"/>
        </w:rPr>
        <w:t xml:space="preserve"> </w:t>
      </w:r>
      <w:r w:rsidR="008721CB">
        <w:rPr>
          <w:szCs w:val="24"/>
        </w:rPr>
        <w:t>may</w:t>
      </w:r>
      <w:r w:rsidR="00FB3296" w:rsidRPr="00C10D10">
        <w:rPr>
          <w:szCs w:val="24"/>
        </w:rPr>
        <w:t xml:space="preserve"> be required when </w:t>
      </w:r>
      <w:r w:rsidR="0019683C">
        <w:rPr>
          <w:szCs w:val="24"/>
        </w:rPr>
        <w:t xml:space="preserve">the </w:t>
      </w:r>
      <w:r w:rsidR="00FB3296" w:rsidRPr="00C10D10">
        <w:rPr>
          <w:szCs w:val="24"/>
        </w:rPr>
        <w:t>operation</w:t>
      </w:r>
      <w:r w:rsidR="0019683C">
        <w:rPr>
          <w:szCs w:val="24"/>
        </w:rPr>
        <w:t xml:space="preserve">al </w:t>
      </w:r>
      <w:r w:rsidR="00F73CB8">
        <w:rPr>
          <w:szCs w:val="24"/>
        </w:rPr>
        <w:t>stage</w:t>
      </w:r>
      <w:r w:rsidR="00F73CB8" w:rsidRPr="00C10D10">
        <w:rPr>
          <w:szCs w:val="24"/>
        </w:rPr>
        <w:t xml:space="preserve"> </w:t>
      </w:r>
      <w:r w:rsidR="0019683C">
        <w:rPr>
          <w:szCs w:val="24"/>
        </w:rPr>
        <w:t>end</w:t>
      </w:r>
      <w:r w:rsidR="00FB3296" w:rsidRPr="00C10D10">
        <w:rPr>
          <w:szCs w:val="24"/>
        </w:rPr>
        <w:t>s</w:t>
      </w:r>
      <w:r w:rsidR="00F70BDA">
        <w:rPr>
          <w:szCs w:val="24"/>
        </w:rPr>
        <w:t>,</w:t>
      </w:r>
      <w:r w:rsidR="00FB3296" w:rsidRPr="00C10D10">
        <w:rPr>
          <w:szCs w:val="24"/>
        </w:rPr>
        <w:t xml:space="preserve"> </w:t>
      </w:r>
      <w:r w:rsidR="00F73CB8">
        <w:rPr>
          <w:szCs w:val="24"/>
        </w:rPr>
        <w:t xml:space="preserve">in order </w:t>
      </w:r>
      <w:r w:rsidR="00FB3296" w:rsidRPr="00C10D10">
        <w:rPr>
          <w:szCs w:val="24"/>
        </w:rPr>
        <w:t xml:space="preserve">to take </w:t>
      </w:r>
      <w:r w:rsidR="00F70BDA">
        <w:rPr>
          <w:szCs w:val="24"/>
        </w:rPr>
        <w:t xml:space="preserve">into </w:t>
      </w:r>
      <w:r w:rsidR="00FB3296" w:rsidRPr="00C10D10">
        <w:rPr>
          <w:szCs w:val="24"/>
        </w:rPr>
        <w:t xml:space="preserve">account the likely changes to the discharges during the decommissioning process. </w:t>
      </w:r>
      <w:r w:rsidR="00F73CB8">
        <w:rPr>
          <w:szCs w:val="24"/>
        </w:rPr>
        <w:t>N</w:t>
      </w:r>
      <w:r w:rsidR="00FB3296" w:rsidRPr="00C10D10">
        <w:rPr>
          <w:szCs w:val="24"/>
        </w:rPr>
        <w:t xml:space="preserve">ew discharge limits </w:t>
      </w:r>
      <w:r w:rsidR="00F73CB8">
        <w:rPr>
          <w:szCs w:val="24"/>
        </w:rPr>
        <w:t xml:space="preserve">should be established </w:t>
      </w:r>
      <w:r w:rsidR="00773C68" w:rsidRPr="00C10D10">
        <w:rPr>
          <w:szCs w:val="24"/>
        </w:rPr>
        <w:t xml:space="preserve">prior </w:t>
      </w:r>
      <w:r w:rsidR="00FB3296" w:rsidRPr="00C10D10">
        <w:rPr>
          <w:szCs w:val="24"/>
        </w:rPr>
        <w:t>to the start of the decommissioning activities.</w:t>
      </w:r>
      <w:r w:rsidR="00B33FF1" w:rsidRPr="00C10D10">
        <w:rPr>
          <w:szCs w:val="24"/>
        </w:rPr>
        <w:t xml:space="preserve"> In some situations, operation and decommission</w:t>
      </w:r>
      <w:r w:rsidR="00DB0F8A">
        <w:rPr>
          <w:szCs w:val="24"/>
        </w:rPr>
        <w:t>ing</w:t>
      </w:r>
      <w:r w:rsidR="00B33FF1" w:rsidRPr="00C10D10">
        <w:rPr>
          <w:szCs w:val="24"/>
        </w:rPr>
        <w:t xml:space="preserve"> activities may overlap</w:t>
      </w:r>
      <w:r w:rsidR="0019683C">
        <w:rPr>
          <w:szCs w:val="24"/>
        </w:rPr>
        <w:t>; due</w:t>
      </w:r>
      <w:r w:rsidR="00B33FF1" w:rsidRPr="00C10D10">
        <w:rPr>
          <w:szCs w:val="24"/>
        </w:rPr>
        <w:t xml:space="preserve"> consideration </w:t>
      </w:r>
      <w:r w:rsidR="0019683C">
        <w:rPr>
          <w:szCs w:val="24"/>
        </w:rPr>
        <w:t>should be given to this eventuality when</w:t>
      </w:r>
      <w:r w:rsidR="00B33FF1" w:rsidRPr="00C10D10">
        <w:rPr>
          <w:szCs w:val="24"/>
        </w:rPr>
        <w:t xml:space="preserve"> relevant discharge limits</w:t>
      </w:r>
      <w:r w:rsidR="0019683C">
        <w:rPr>
          <w:szCs w:val="24"/>
        </w:rPr>
        <w:t xml:space="preserve"> are </w:t>
      </w:r>
      <w:r w:rsidR="00F70BDA">
        <w:rPr>
          <w:szCs w:val="24"/>
        </w:rPr>
        <w:t>set</w:t>
      </w:r>
      <w:r w:rsidR="00B33FF1" w:rsidRPr="00C10D10">
        <w:rPr>
          <w:szCs w:val="24"/>
        </w:rPr>
        <w:t>.</w:t>
      </w:r>
    </w:p>
    <w:p w:rsidR="0051564D" w:rsidRPr="007C6239" w:rsidRDefault="004B5272" w:rsidP="0091132F">
      <w:pPr>
        <w:pStyle w:val="ListParagraph"/>
        <w:numPr>
          <w:ilvl w:val="0"/>
          <w:numId w:val="7"/>
        </w:numPr>
        <w:autoSpaceDE w:val="0"/>
        <w:autoSpaceDN w:val="0"/>
        <w:adjustRightInd w:val="0"/>
        <w:spacing w:before="120"/>
        <w:contextualSpacing w:val="0"/>
        <w:jc w:val="both"/>
        <w:rPr>
          <w:szCs w:val="24"/>
        </w:rPr>
      </w:pPr>
      <w:r w:rsidRPr="007C6239">
        <w:rPr>
          <w:szCs w:val="24"/>
        </w:rPr>
        <w:t>The release of a facility from regulatory control after decommissioning depend</w:t>
      </w:r>
      <w:r w:rsidR="0019683C">
        <w:rPr>
          <w:szCs w:val="24"/>
        </w:rPr>
        <w:t>s</w:t>
      </w:r>
      <w:r w:rsidRPr="007C6239">
        <w:rPr>
          <w:szCs w:val="24"/>
        </w:rPr>
        <w:t>, in part, upon whether a</w:t>
      </w:r>
      <w:r w:rsidR="00F70BDA">
        <w:rPr>
          <w:szCs w:val="24"/>
        </w:rPr>
        <w:t>n authorization for</w:t>
      </w:r>
      <w:r w:rsidRPr="007C6239">
        <w:rPr>
          <w:szCs w:val="24"/>
        </w:rPr>
        <w:t xml:space="preserve"> discharge</w:t>
      </w:r>
      <w:r w:rsidR="00F70BDA">
        <w:rPr>
          <w:szCs w:val="24"/>
        </w:rPr>
        <w:t>s</w:t>
      </w:r>
      <w:r w:rsidRPr="007C6239">
        <w:rPr>
          <w:szCs w:val="24"/>
        </w:rPr>
        <w:t xml:space="preserve"> is still </w:t>
      </w:r>
      <w:r w:rsidR="00F70BDA">
        <w:rPr>
          <w:szCs w:val="24"/>
        </w:rPr>
        <w:t>necessary</w:t>
      </w:r>
      <w:r w:rsidRPr="007C6239">
        <w:rPr>
          <w:szCs w:val="24"/>
        </w:rPr>
        <w:t>.</w:t>
      </w:r>
      <w:r w:rsidR="00B8724A" w:rsidRPr="007C6239">
        <w:rPr>
          <w:szCs w:val="24"/>
        </w:rPr>
        <w:t xml:space="preserve"> </w:t>
      </w:r>
      <w:r w:rsidR="00CF7FD4">
        <w:rPr>
          <w:szCs w:val="24"/>
        </w:rPr>
        <w:t>For s</w:t>
      </w:r>
      <w:r w:rsidRPr="004B5272">
        <w:rPr>
          <w:szCs w:val="24"/>
        </w:rPr>
        <w:t>ome</w:t>
      </w:r>
      <w:r w:rsidR="00B8724A" w:rsidRPr="007C6239">
        <w:rPr>
          <w:szCs w:val="24"/>
        </w:rPr>
        <w:t xml:space="preserve"> practices</w:t>
      </w:r>
      <w:r w:rsidR="0019683C">
        <w:rPr>
          <w:szCs w:val="24"/>
        </w:rPr>
        <w:t xml:space="preserve"> (e.g.</w:t>
      </w:r>
      <w:r w:rsidR="008C3055">
        <w:rPr>
          <w:szCs w:val="24"/>
        </w:rPr>
        <w:t xml:space="preserve"> </w:t>
      </w:r>
      <w:r w:rsidR="0019683C">
        <w:rPr>
          <w:szCs w:val="24"/>
        </w:rPr>
        <w:t xml:space="preserve">uranium </w:t>
      </w:r>
      <w:r w:rsidR="00FB3296" w:rsidRPr="007C6239">
        <w:rPr>
          <w:szCs w:val="24"/>
        </w:rPr>
        <w:t xml:space="preserve">mining or </w:t>
      </w:r>
      <w:r w:rsidR="00CF7FD4">
        <w:rPr>
          <w:szCs w:val="24"/>
        </w:rPr>
        <w:t>processing</w:t>
      </w:r>
      <w:r w:rsidR="0019683C">
        <w:rPr>
          <w:szCs w:val="24"/>
        </w:rPr>
        <w:t>)</w:t>
      </w:r>
      <w:r w:rsidR="00CF7FD4">
        <w:rPr>
          <w:szCs w:val="24"/>
        </w:rPr>
        <w:t>,</w:t>
      </w:r>
      <w:r w:rsidR="00FB3296" w:rsidRPr="007C6239">
        <w:rPr>
          <w:szCs w:val="24"/>
        </w:rPr>
        <w:t xml:space="preserve"> </w:t>
      </w:r>
      <w:r w:rsidR="0019683C">
        <w:rPr>
          <w:szCs w:val="24"/>
        </w:rPr>
        <w:t>some</w:t>
      </w:r>
      <w:r w:rsidR="00FB3296" w:rsidRPr="007C6239">
        <w:rPr>
          <w:szCs w:val="24"/>
        </w:rPr>
        <w:t xml:space="preserve"> form of</w:t>
      </w:r>
      <w:r w:rsidR="00B8724A" w:rsidRPr="007C6239">
        <w:rPr>
          <w:szCs w:val="24"/>
        </w:rPr>
        <w:t xml:space="preserve"> </w:t>
      </w:r>
      <w:r w:rsidR="00A90FA1" w:rsidRPr="007C6239">
        <w:rPr>
          <w:szCs w:val="24"/>
        </w:rPr>
        <w:t xml:space="preserve">control of public exposures </w:t>
      </w:r>
      <w:r w:rsidR="00CF7FD4">
        <w:rPr>
          <w:szCs w:val="24"/>
        </w:rPr>
        <w:t xml:space="preserve">may be necessary </w:t>
      </w:r>
      <w:r w:rsidR="000B5CD0" w:rsidRPr="00A84C79">
        <w:rPr>
          <w:szCs w:val="24"/>
        </w:rPr>
        <w:t>after decommissioning</w:t>
      </w:r>
      <w:r w:rsidR="00CF7FD4">
        <w:rPr>
          <w:szCs w:val="24"/>
        </w:rPr>
        <w:t>,</w:t>
      </w:r>
      <w:r w:rsidR="000B5CD0" w:rsidRPr="00A84C79">
        <w:rPr>
          <w:szCs w:val="24"/>
        </w:rPr>
        <w:t xml:space="preserve"> </w:t>
      </w:r>
      <w:r w:rsidR="00CF7FD4">
        <w:rPr>
          <w:szCs w:val="24"/>
        </w:rPr>
        <w:t xml:space="preserve">for exposure to </w:t>
      </w:r>
      <w:r w:rsidR="00A90FA1" w:rsidRPr="007C6239">
        <w:rPr>
          <w:szCs w:val="24"/>
        </w:rPr>
        <w:t xml:space="preserve">residual </w:t>
      </w:r>
      <w:r w:rsidR="0019683C">
        <w:rPr>
          <w:szCs w:val="24"/>
        </w:rPr>
        <w:t>discharges</w:t>
      </w:r>
      <w:r w:rsidR="00A90FA1" w:rsidRPr="007C6239">
        <w:rPr>
          <w:szCs w:val="24"/>
        </w:rPr>
        <w:t xml:space="preserve"> to the environment</w:t>
      </w:r>
      <w:r w:rsidR="0071397B" w:rsidRPr="007C6239">
        <w:rPr>
          <w:szCs w:val="24"/>
        </w:rPr>
        <w:t xml:space="preserve"> that may still occur.</w:t>
      </w:r>
      <w:r w:rsidR="00FB3296" w:rsidRPr="007C6239">
        <w:rPr>
          <w:szCs w:val="24"/>
        </w:rPr>
        <w:t xml:space="preserve"> For </w:t>
      </w:r>
      <w:r w:rsidR="00CF7FD4">
        <w:rPr>
          <w:szCs w:val="24"/>
        </w:rPr>
        <w:t>such</w:t>
      </w:r>
      <w:r w:rsidR="00CF7FD4" w:rsidRPr="007C6239">
        <w:rPr>
          <w:szCs w:val="24"/>
        </w:rPr>
        <w:t xml:space="preserve"> </w:t>
      </w:r>
      <w:r w:rsidR="00FB3296" w:rsidRPr="007C6239">
        <w:rPr>
          <w:szCs w:val="24"/>
        </w:rPr>
        <w:t xml:space="preserve">situations, the regulatory body should </w:t>
      </w:r>
      <w:r w:rsidR="00E7351C" w:rsidRPr="007C6239">
        <w:rPr>
          <w:szCs w:val="24"/>
        </w:rPr>
        <w:t>specify</w:t>
      </w:r>
      <w:r w:rsidR="00FB3296" w:rsidRPr="007C6239">
        <w:rPr>
          <w:szCs w:val="24"/>
        </w:rPr>
        <w:t xml:space="preserve"> th</w:t>
      </w:r>
      <w:r w:rsidR="00A90FA1" w:rsidRPr="007C6239">
        <w:rPr>
          <w:szCs w:val="24"/>
        </w:rPr>
        <w:t xml:space="preserve">e control </w:t>
      </w:r>
      <w:r w:rsidR="00DE6E4E">
        <w:rPr>
          <w:szCs w:val="24"/>
        </w:rPr>
        <w:t>measures necessary</w:t>
      </w:r>
      <w:r w:rsidR="00A90FA1" w:rsidRPr="007C6239">
        <w:rPr>
          <w:szCs w:val="24"/>
        </w:rPr>
        <w:t xml:space="preserve"> after decommissioning</w:t>
      </w:r>
      <w:r w:rsidR="00621CF3" w:rsidRPr="007C6239">
        <w:rPr>
          <w:szCs w:val="24"/>
        </w:rPr>
        <w:t xml:space="preserve"> to </w:t>
      </w:r>
      <w:r w:rsidR="0019683C">
        <w:rPr>
          <w:szCs w:val="24"/>
        </w:rPr>
        <w:t>minimize</w:t>
      </w:r>
      <w:r w:rsidR="0019683C" w:rsidRPr="007C6239">
        <w:rPr>
          <w:szCs w:val="24"/>
        </w:rPr>
        <w:t xml:space="preserve"> </w:t>
      </w:r>
      <w:r w:rsidR="00621CF3" w:rsidRPr="007C6239">
        <w:rPr>
          <w:szCs w:val="24"/>
        </w:rPr>
        <w:t>public exposure</w:t>
      </w:r>
      <w:r w:rsidR="00A90FA1" w:rsidRPr="007C6239">
        <w:rPr>
          <w:szCs w:val="24"/>
        </w:rPr>
        <w:t xml:space="preserve"> and, when relevant</w:t>
      </w:r>
      <w:r w:rsidR="00CF7FD4">
        <w:rPr>
          <w:szCs w:val="24"/>
        </w:rPr>
        <w:t xml:space="preserve"> and on a case by case basis</w:t>
      </w:r>
      <w:r w:rsidR="00241F5B" w:rsidRPr="007C6239">
        <w:rPr>
          <w:szCs w:val="24"/>
        </w:rPr>
        <w:t>,</w:t>
      </w:r>
      <w:r w:rsidR="00A90FA1" w:rsidRPr="007C6239">
        <w:rPr>
          <w:szCs w:val="24"/>
        </w:rPr>
        <w:t xml:space="preserve"> </w:t>
      </w:r>
      <w:r w:rsidR="00FB3296" w:rsidRPr="007C6239">
        <w:rPr>
          <w:szCs w:val="24"/>
        </w:rPr>
        <w:t xml:space="preserve">the necessary </w:t>
      </w:r>
      <w:r w:rsidR="00A90FA1" w:rsidRPr="007C6239">
        <w:rPr>
          <w:szCs w:val="24"/>
        </w:rPr>
        <w:t xml:space="preserve">environmental </w:t>
      </w:r>
      <w:r w:rsidR="00FB3296" w:rsidRPr="007C6239">
        <w:rPr>
          <w:szCs w:val="24"/>
        </w:rPr>
        <w:t>monitoring programme.</w:t>
      </w:r>
    </w:p>
    <w:p w:rsidR="0041760A" w:rsidRPr="00C10D10" w:rsidRDefault="001924B2" w:rsidP="00477834">
      <w:pPr>
        <w:pStyle w:val="Heading2"/>
        <w:spacing w:before="120" w:after="0" w:line="360" w:lineRule="auto"/>
        <w:jc w:val="both"/>
        <w:rPr>
          <w:caps w:val="0"/>
          <w:lang w:val="en-GB"/>
        </w:rPr>
      </w:pPr>
      <w:bookmarkStart w:id="38" w:name="_Toc452966949"/>
      <w:r w:rsidRPr="00C10D10">
        <w:rPr>
          <w:caps w:val="0"/>
          <w:lang w:val="en-GB"/>
        </w:rPr>
        <w:t xml:space="preserve">DEVELOPMENT OF </w:t>
      </w:r>
      <w:r w:rsidRPr="00922BCE">
        <w:rPr>
          <w:caps w:val="0"/>
          <w:lang w:val="en-GB"/>
        </w:rPr>
        <w:t>A</w:t>
      </w:r>
      <w:r w:rsidR="00240ED5" w:rsidRPr="00922BCE">
        <w:rPr>
          <w:caps w:val="0"/>
          <w:lang w:val="en-GB"/>
        </w:rPr>
        <w:t>N</w:t>
      </w:r>
      <w:r w:rsidR="004A461D" w:rsidRPr="00922BCE">
        <w:rPr>
          <w:caps w:val="0"/>
          <w:lang w:val="en-GB"/>
        </w:rPr>
        <w:t xml:space="preserve"> </w:t>
      </w:r>
      <w:r w:rsidRPr="00922BCE">
        <w:rPr>
          <w:caps w:val="0"/>
          <w:lang w:val="en-GB"/>
        </w:rPr>
        <w:t>AUTHORIZATION</w:t>
      </w:r>
      <w:r w:rsidR="00240ED5" w:rsidRPr="00922BCE">
        <w:rPr>
          <w:caps w:val="0"/>
          <w:lang w:val="en-GB"/>
        </w:rPr>
        <w:t xml:space="preserve"> FOR DISCHARGE</w:t>
      </w:r>
      <w:r w:rsidR="003734F1" w:rsidRPr="00922BCE">
        <w:rPr>
          <w:caps w:val="0"/>
          <w:lang w:val="en-GB"/>
        </w:rPr>
        <w:t>S</w:t>
      </w:r>
      <w:bookmarkEnd w:id="38"/>
    </w:p>
    <w:p w:rsidR="003643CD" w:rsidRPr="00A34B43" w:rsidRDefault="003734F1" w:rsidP="0091132F">
      <w:pPr>
        <w:pStyle w:val="ListParagraph"/>
        <w:numPr>
          <w:ilvl w:val="0"/>
          <w:numId w:val="7"/>
        </w:numPr>
        <w:autoSpaceDE w:val="0"/>
        <w:autoSpaceDN w:val="0"/>
        <w:adjustRightInd w:val="0"/>
        <w:spacing w:before="120"/>
        <w:contextualSpacing w:val="0"/>
        <w:jc w:val="both"/>
        <w:rPr>
          <w:szCs w:val="24"/>
        </w:rPr>
      </w:pPr>
      <w:r w:rsidRPr="00A34B43">
        <w:rPr>
          <w:szCs w:val="24"/>
        </w:rPr>
        <w:t xml:space="preserve">The regulatory body should establish the process to be followed by </w:t>
      </w:r>
      <w:r w:rsidR="00C72024">
        <w:rPr>
          <w:szCs w:val="24"/>
        </w:rPr>
        <w:t>an</w:t>
      </w:r>
      <w:r w:rsidR="00C72024" w:rsidRPr="00A34B43">
        <w:rPr>
          <w:szCs w:val="24"/>
        </w:rPr>
        <w:t xml:space="preserve"> </w:t>
      </w:r>
      <w:r w:rsidRPr="00A34B43">
        <w:rPr>
          <w:szCs w:val="24"/>
        </w:rPr>
        <w:t>applicant seeking a</w:t>
      </w:r>
      <w:r w:rsidR="00F73CB8">
        <w:rPr>
          <w:szCs w:val="24"/>
        </w:rPr>
        <w:t>n</w:t>
      </w:r>
      <w:r w:rsidRPr="00A34B43">
        <w:rPr>
          <w:szCs w:val="24"/>
        </w:rPr>
        <w:t xml:space="preserve"> </w:t>
      </w:r>
      <w:r w:rsidR="00A87C7C">
        <w:rPr>
          <w:szCs w:val="24"/>
        </w:rPr>
        <w:t>authorization for discharges</w:t>
      </w:r>
      <w:r w:rsidRPr="00A34B43">
        <w:rPr>
          <w:szCs w:val="24"/>
        </w:rPr>
        <w:t xml:space="preserve"> </w:t>
      </w:r>
      <w:r>
        <w:rPr>
          <w:szCs w:val="24"/>
        </w:rPr>
        <w:t>o</w:t>
      </w:r>
      <w:r w:rsidR="00831D95" w:rsidRPr="00A34B43">
        <w:rPr>
          <w:szCs w:val="24"/>
        </w:rPr>
        <w:t xml:space="preserve">nce the need </w:t>
      </w:r>
      <w:r w:rsidR="00CF7FD4">
        <w:rPr>
          <w:szCs w:val="24"/>
        </w:rPr>
        <w:t>for</w:t>
      </w:r>
      <w:r w:rsidR="00CF7FD4" w:rsidRPr="00A34B43">
        <w:rPr>
          <w:szCs w:val="24"/>
        </w:rPr>
        <w:t xml:space="preserve"> </w:t>
      </w:r>
      <w:r w:rsidR="00831D95" w:rsidRPr="00A34B43">
        <w:rPr>
          <w:szCs w:val="24"/>
        </w:rPr>
        <w:t>a</w:t>
      </w:r>
      <w:r w:rsidR="00F73CB8">
        <w:rPr>
          <w:szCs w:val="24"/>
        </w:rPr>
        <w:t>n</w:t>
      </w:r>
      <w:r w:rsidR="00831D95" w:rsidRPr="00A34B43">
        <w:rPr>
          <w:szCs w:val="24"/>
        </w:rPr>
        <w:t xml:space="preserve"> </w:t>
      </w:r>
      <w:r w:rsidR="00F73CB8">
        <w:rPr>
          <w:szCs w:val="24"/>
        </w:rPr>
        <w:t>authorization for discharges</w:t>
      </w:r>
      <w:r w:rsidR="00831D95" w:rsidRPr="00A34B43">
        <w:rPr>
          <w:szCs w:val="24"/>
        </w:rPr>
        <w:t xml:space="preserve"> </w:t>
      </w:r>
      <w:r w:rsidR="00CF7FD4">
        <w:rPr>
          <w:szCs w:val="24"/>
        </w:rPr>
        <w:t>has been</w:t>
      </w:r>
      <w:r w:rsidR="00CF7FD4" w:rsidRPr="00A34B43">
        <w:rPr>
          <w:szCs w:val="24"/>
        </w:rPr>
        <w:t xml:space="preserve"> </w:t>
      </w:r>
      <w:r w:rsidR="00A34B43">
        <w:rPr>
          <w:szCs w:val="24"/>
        </w:rPr>
        <w:t>established</w:t>
      </w:r>
      <w:r w:rsidR="00CF7FD4">
        <w:rPr>
          <w:szCs w:val="24"/>
        </w:rPr>
        <w:t>.</w:t>
      </w:r>
      <w:r w:rsidR="00831D95" w:rsidRPr="00A34B43">
        <w:rPr>
          <w:szCs w:val="24"/>
        </w:rPr>
        <w:t xml:space="preserve"> </w:t>
      </w:r>
      <w:r w:rsidR="00CF7FD4">
        <w:rPr>
          <w:szCs w:val="24"/>
        </w:rPr>
        <w:t>T</w:t>
      </w:r>
      <w:r w:rsidR="00B50B7E" w:rsidRPr="00A34B43">
        <w:rPr>
          <w:szCs w:val="24"/>
        </w:rPr>
        <w:t xml:space="preserve">he </w:t>
      </w:r>
      <w:r w:rsidR="001D38DD" w:rsidRPr="00A34B43">
        <w:rPr>
          <w:szCs w:val="24"/>
        </w:rPr>
        <w:t xml:space="preserve">steps </w:t>
      </w:r>
      <w:r w:rsidR="00941376" w:rsidRPr="00A34B43">
        <w:rPr>
          <w:szCs w:val="24"/>
        </w:rPr>
        <w:t>of the</w:t>
      </w:r>
      <w:r w:rsidR="00BD35A3" w:rsidRPr="00A34B43">
        <w:rPr>
          <w:szCs w:val="24"/>
        </w:rPr>
        <w:t xml:space="preserve"> </w:t>
      </w:r>
      <w:r w:rsidR="00513100" w:rsidRPr="00A34B43">
        <w:rPr>
          <w:szCs w:val="24"/>
        </w:rPr>
        <w:t>authorization</w:t>
      </w:r>
      <w:r w:rsidR="00941376" w:rsidRPr="00A34B43">
        <w:rPr>
          <w:szCs w:val="24"/>
        </w:rPr>
        <w:t xml:space="preserve"> process </w:t>
      </w:r>
      <w:r w:rsidR="00020DC3">
        <w:rPr>
          <w:szCs w:val="24"/>
        </w:rPr>
        <w:t>may</w:t>
      </w:r>
      <w:r w:rsidR="004D4D2F" w:rsidRPr="00A34B43">
        <w:rPr>
          <w:szCs w:val="24"/>
        </w:rPr>
        <w:t xml:space="preserve"> be</w:t>
      </w:r>
      <w:r w:rsidR="00B50B7E" w:rsidRPr="00A34B43">
        <w:rPr>
          <w:szCs w:val="24"/>
        </w:rPr>
        <w:t xml:space="preserve"> as follows</w:t>
      </w:r>
      <w:r w:rsidR="00D11E83" w:rsidRPr="00A34B43">
        <w:rPr>
          <w:szCs w:val="24"/>
        </w:rPr>
        <w:t>:</w:t>
      </w:r>
      <w:r w:rsidR="003643CD" w:rsidRPr="00A34B43">
        <w:rPr>
          <w:szCs w:val="24"/>
        </w:rPr>
        <w:t xml:space="preserve"> </w:t>
      </w:r>
    </w:p>
    <w:p w:rsidR="00546086" w:rsidRPr="00C10D10" w:rsidRDefault="00425534" w:rsidP="0091132F">
      <w:pPr>
        <w:pStyle w:val="ListNumber2"/>
        <w:numPr>
          <w:ilvl w:val="0"/>
          <w:numId w:val="26"/>
        </w:numPr>
        <w:ind w:left="567" w:hanging="567"/>
      </w:pPr>
      <w:r w:rsidRPr="00C10D10">
        <w:t xml:space="preserve">The regulatory body should </w:t>
      </w:r>
      <w:r w:rsidR="00E7351C" w:rsidRPr="00C10D10">
        <w:t>specify</w:t>
      </w:r>
      <w:r w:rsidR="00546086" w:rsidRPr="00C10D10">
        <w:t xml:space="preserve"> the </w:t>
      </w:r>
      <w:r w:rsidR="0071397B" w:rsidRPr="00C10D10">
        <w:t>relevant dose</w:t>
      </w:r>
      <w:r w:rsidR="00546086" w:rsidRPr="00C10D10">
        <w:t xml:space="preserve"> constraint for th</w:t>
      </w:r>
      <w:r w:rsidRPr="00C10D10">
        <w:t xml:space="preserve">e facility or activity under </w:t>
      </w:r>
      <w:r w:rsidR="0071397B" w:rsidRPr="00C10D10">
        <w:t xml:space="preserve">consideration </w:t>
      </w:r>
      <w:r w:rsidR="00381CB6" w:rsidRPr="00C10D10">
        <w:t>(</w:t>
      </w:r>
      <w:r w:rsidR="007E00EF">
        <w:t xml:space="preserve">see paras 5.15 to 5.19 </w:t>
      </w:r>
      <w:r w:rsidR="00381CB6" w:rsidRPr="00C10D10">
        <w:t>and Annex</w:t>
      </w:r>
      <w:r w:rsidR="00E11B59">
        <w:t xml:space="preserve"> I</w:t>
      </w:r>
      <w:r w:rsidR="00381CB6" w:rsidRPr="00C10D10">
        <w:t>).</w:t>
      </w:r>
    </w:p>
    <w:p w:rsidR="00D11E83" w:rsidRPr="00C10D10" w:rsidRDefault="00425534" w:rsidP="0091132F">
      <w:pPr>
        <w:pStyle w:val="ListNumber2"/>
        <w:numPr>
          <w:ilvl w:val="0"/>
          <w:numId w:val="26"/>
        </w:numPr>
        <w:ind w:left="567" w:hanging="567"/>
      </w:pPr>
      <w:r w:rsidRPr="00C10D10">
        <w:t xml:space="preserve">The applicant </w:t>
      </w:r>
      <w:r w:rsidR="004D4D2F" w:rsidRPr="00C10D10">
        <w:t xml:space="preserve">should </w:t>
      </w:r>
      <w:r w:rsidR="00513100" w:rsidRPr="00C10D10">
        <w:t>characterize</w:t>
      </w:r>
      <w:r w:rsidRPr="00C10D10">
        <w:t xml:space="preserve"> the discharges</w:t>
      </w:r>
      <w:r w:rsidR="00B50B7E" w:rsidRPr="00C10D10">
        <w:t xml:space="preserve"> and the main exposure pathways identified</w:t>
      </w:r>
      <w:r w:rsidRPr="00C10D10">
        <w:t>,</w:t>
      </w:r>
      <w:r w:rsidR="00B50B7E" w:rsidRPr="00C10D10">
        <w:t xml:space="preserve"> in order to assess </w:t>
      </w:r>
      <w:r w:rsidR="00594D8C" w:rsidRPr="00C10D10">
        <w:t xml:space="preserve">adequately </w:t>
      </w:r>
      <w:r w:rsidR="00B50B7E" w:rsidRPr="00C10D10">
        <w:t xml:space="preserve">the </w:t>
      </w:r>
      <w:r w:rsidR="00CE5ADF" w:rsidRPr="00C10D10">
        <w:t xml:space="preserve">exposure </w:t>
      </w:r>
      <w:r w:rsidR="007E00EF">
        <w:t>of</w:t>
      </w:r>
      <w:r w:rsidR="007E00EF" w:rsidRPr="00C10D10">
        <w:t xml:space="preserve"> </w:t>
      </w:r>
      <w:r w:rsidR="00CE5ADF" w:rsidRPr="00C10D10">
        <w:t>the representative person</w:t>
      </w:r>
      <w:r w:rsidR="00B50B7E" w:rsidRPr="00C10D10">
        <w:t xml:space="preserve">. </w:t>
      </w:r>
    </w:p>
    <w:p w:rsidR="00B23D21" w:rsidRPr="00C10D10" w:rsidRDefault="00425534" w:rsidP="007E00EF">
      <w:pPr>
        <w:pStyle w:val="ListNumber2"/>
        <w:numPr>
          <w:ilvl w:val="0"/>
          <w:numId w:val="26"/>
        </w:numPr>
        <w:ind w:left="567" w:hanging="567"/>
      </w:pPr>
      <w:r w:rsidRPr="00C10D10">
        <w:t xml:space="preserve">The applicant should </w:t>
      </w:r>
      <w:r w:rsidR="00020DC3">
        <w:t>present</w:t>
      </w:r>
      <w:r w:rsidRPr="00C10D10">
        <w:t xml:space="preserve"> the </w:t>
      </w:r>
      <w:r w:rsidR="00E11B59">
        <w:t xml:space="preserve">measures to be used for the </w:t>
      </w:r>
      <w:r w:rsidRPr="00C10D10">
        <w:t>o</w:t>
      </w:r>
      <w:r w:rsidR="00B23D21" w:rsidRPr="00C10D10">
        <w:t xml:space="preserve">ptimization of protection </w:t>
      </w:r>
      <w:r w:rsidR="004A7A38">
        <w:t xml:space="preserve">and safety </w:t>
      </w:r>
      <w:r w:rsidR="00B23D21" w:rsidRPr="00C10D10">
        <w:t xml:space="preserve">of </w:t>
      </w:r>
      <w:r w:rsidR="00004A31" w:rsidRPr="00C10D10">
        <w:t xml:space="preserve">the </w:t>
      </w:r>
      <w:r w:rsidRPr="00C10D10">
        <w:t xml:space="preserve">public, </w:t>
      </w:r>
      <w:r w:rsidR="007E00EF">
        <w:t xml:space="preserve">having given </w:t>
      </w:r>
      <w:r w:rsidRPr="00C10D10">
        <w:t>consider</w:t>
      </w:r>
      <w:r w:rsidR="007E00EF">
        <w:t>ation to</w:t>
      </w:r>
      <w:r w:rsidRPr="00C10D10">
        <w:t xml:space="preserve"> </w:t>
      </w:r>
      <w:r w:rsidR="007E00EF">
        <w:t>measures for</w:t>
      </w:r>
      <w:r w:rsidR="00B23D21" w:rsidRPr="00C10D10">
        <w:t xml:space="preserve"> </w:t>
      </w:r>
      <w:r w:rsidR="00A3196C">
        <w:t>keep</w:t>
      </w:r>
      <w:r w:rsidR="007E00EF">
        <w:t>ing</w:t>
      </w:r>
      <w:r w:rsidR="00A3196C">
        <w:t xml:space="preserve"> the </w:t>
      </w:r>
      <w:r w:rsidR="00832869">
        <w:t xml:space="preserve">exposures due to </w:t>
      </w:r>
      <w:r w:rsidR="00A3196C">
        <w:t xml:space="preserve">discharges </w:t>
      </w:r>
      <w:r w:rsidR="00AE46F9">
        <w:t>as low as reasonably achievable</w:t>
      </w:r>
      <w:r w:rsidR="00A9511C">
        <w:t>,</w:t>
      </w:r>
      <w:r w:rsidR="00C72024">
        <w:t xml:space="preserve"> and</w:t>
      </w:r>
      <w:r w:rsidR="00A9511C">
        <w:t xml:space="preserve"> </w:t>
      </w:r>
      <w:r w:rsidR="00546086" w:rsidRPr="00C10D10">
        <w:t>tak</w:t>
      </w:r>
      <w:r w:rsidR="007E00EF">
        <w:t>en</w:t>
      </w:r>
      <w:r w:rsidR="00546086" w:rsidRPr="00C10D10">
        <w:t xml:space="preserve"> into account all relevant factors.</w:t>
      </w:r>
      <w:r w:rsidR="00B23D21" w:rsidRPr="00C10D10">
        <w:t xml:space="preserve"> </w:t>
      </w:r>
    </w:p>
    <w:p w:rsidR="00D11E83" w:rsidRPr="00C10D10" w:rsidRDefault="00425534" w:rsidP="0091132F">
      <w:pPr>
        <w:pStyle w:val="ListNumber2"/>
        <w:numPr>
          <w:ilvl w:val="0"/>
          <w:numId w:val="26"/>
        </w:numPr>
        <w:ind w:left="567" w:hanging="567"/>
      </w:pPr>
      <w:r w:rsidRPr="00C10D10">
        <w:t xml:space="preserve">The applicant should assess </w:t>
      </w:r>
      <w:r w:rsidR="00546086" w:rsidRPr="00C10D10">
        <w:t xml:space="preserve">the </w:t>
      </w:r>
      <w:r w:rsidR="00D11E83" w:rsidRPr="00C10D10">
        <w:t>doses to the representative person</w:t>
      </w:r>
      <w:r w:rsidR="00E11B59">
        <w:t>.</w:t>
      </w:r>
      <w:r w:rsidR="00D11E83" w:rsidRPr="00C10D10">
        <w:t xml:space="preserve"> </w:t>
      </w:r>
      <w:r w:rsidR="00E11B59">
        <w:t>T</w:t>
      </w:r>
      <w:r w:rsidR="00546086" w:rsidRPr="00C10D10">
        <w:t>his may involve</w:t>
      </w:r>
      <w:r w:rsidR="00B92C7A">
        <w:t xml:space="preserve"> a number of iterations</w:t>
      </w:r>
      <w:r w:rsidR="007E00EF">
        <w:t>,</w:t>
      </w:r>
      <w:r w:rsidR="00546086" w:rsidRPr="00C10D10">
        <w:t xml:space="preserve"> starting with a simple cautious</w:t>
      </w:r>
      <w:r w:rsidR="004D4D2F" w:rsidRPr="00C10D10">
        <w:t xml:space="preserve"> generic</w:t>
      </w:r>
      <w:r w:rsidR="00546086" w:rsidRPr="00C10D10">
        <w:t xml:space="preserve"> assessment and</w:t>
      </w:r>
      <w:r w:rsidR="00ED157F" w:rsidRPr="00C10D10">
        <w:t>,</w:t>
      </w:r>
      <w:r w:rsidR="00546086" w:rsidRPr="00C10D10">
        <w:t xml:space="preserve"> if </w:t>
      </w:r>
      <w:r w:rsidR="00940BB5">
        <w:t>necessary,</w:t>
      </w:r>
      <w:r w:rsidR="00546086" w:rsidRPr="00C10D10">
        <w:t xml:space="preserve"> a more detailed</w:t>
      </w:r>
      <w:r w:rsidR="00C72024">
        <w:t>,</w:t>
      </w:r>
      <w:r w:rsidR="00546086" w:rsidRPr="00C10D10">
        <w:t xml:space="preserve"> </w:t>
      </w:r>
      <w:r w:rsidR="00ED157F" w:rsidRPr="00C10D10">
        <w:t>site</w:t>
      </w:r>
      <w:r w:rsidR="007E00EF">
        <w:t xml:space="preserve"> </w:t>
      </w:r>
      <w:r w:rsidR="00546086" w:rsidRPr="00C10D10">
        <w:t>specific study.</w:t>
      </w:r>
    </w:p>
    <w:p w:rsidR="0000034B" w:rsidRPr="00C10D10" w:rsidRDefault="0000034B" w:rsidP="0091132F">
      <w:pPr>
        <w:pStyle w:val="ListNumber2"/>
        <w:numPr>
          <w:ilvl w:val="0"/>
          <w:numId w:val="26"/>
        </w:numPr>
        <w:ind w:left="567" w:hanging="567"/>
      </w:pPr>
      <w:r w:rsidRPr="00C10D10">
        <w:t xml:space="preserve">The applicant should submit the results of the assessment to the regulatory body. The regulatory body should evaluate </w:t>
      </w:r>
      <w:r w:rsidR="007E00EF">
        <w:t>whether</w:t>
      </w:r>
      <w:r w:rsidR="007E00EF" w:rsidRPr="00C10D10">
        <w:t xml:space="preserve"> </w:t>
      </w:r>
      <w:r w:rsidRPr="00C10D10">
        <w:t xml:space="preserve">the models and assumptions used by the applicant are </w:t>
      </w:r>
      <w:r w:rsidR="00B92C7A">
        <w:t>appropriate</w:t>
      </w:r>
      <w:r w:rsidR="003734F1">
        <w:t xml:space="preserve">, </w:t>
      </w:r>
      <w:r w:rsidR="007E00EF">
        <w:t xml:space="preserve">should </w:t>
      </w:r>
      <w:r w:rsidR="003734F1">
        <w:t xml:space="preserve">compare </w:t>
      </w:r>
      <w:r w:rsidR="00DD248F">
        <w:t xml:space="preserve">the results of the assessment </w:t>
      </w:r>
      <w:r w:rsidR="003734F1">
        <w:t>with dose limits and dose constraints</w:t>
      </w:r>
      <w:r w:rsidR="00B92C7A" w:rsidRPr="00C10D10">
        <w:t xml:space="preserve"> </w:t>
      </w:r>
      <w:r w:rsidRPr="00C10D10">
        <w:t xml:space="preserve">and </w:t>
      </w:r>
      <w:r w:rsidR="007E00EF">
        <w:t xml:space="preserve">should </w:t>
      </w:r>
      <w:r w:rsidR="00DD248F">
        <w:t xml:space="preserve">evaluate </w:t>
      </w:r>
      <w:r w:rsidR="007E00EF">
        <w:t>whether</w:t>
      </w:r>
      <w:r w:rsidR="007E00EF" w:rsidRPr="00C10D10">
        <w:t xml:space="preserve"> </w:t>
      </w:r>
      <w:r w:rsidRPr="00C10D10">
        <w:t xml:space="preserve">the </w:t>
      </w:r>
      <w:r w:rsidR="00C72024">
        <w:t>assessed doses are in accordance with the need to provide optimized protection for the public</w:t>
      </w:r>
      <w:r w:rsidRPr="00C10D10">
        <w:t xml:space="preserve"> </w:t>
      </w:r>
    </w:p>
    <w:p w:rsidR="00D11E83" w:rsidRDefault="0000034B" w:rsidP="0091132F">
      <w:pPr>
        <w:pStyle w:val="ListNumber2"/>
        <w:numPr>
          <w:ilvl w:val="0"/>
          <w:numId w:val="26"/>
        </w:numPr>
        <w:ind w:left="567" w:hanging="567"/>
      </w:pPr>
      <w:r w:rsidRPr="00C10D10">
        <w:lastRenderedPageBreak/>
        <w:t xml:space="preserve">The regulatory body should </w:t>
      </w:r>
      <w:r w:rsidR="00D109E2">
        <w:t xml:space="preserve">set </w:t>
      </w:r>
      <w:r w:rsidR="005300B0">
        <w:t xml:space="preserve">the discharge limits and </w:t>
      </w:r>
      <w:r w:rsidR="00C72024">
        <w:t xml:space="preserve">should </w:t>
      </w:r>
      <w:r w:rsidRPr="00C10D10">
        <w:t>e</w:t>
      </w:r>
      <w:r w:rsidR="00546086" w:rsidRPr="00C10D10">
        <w:t xml:space="preserve">stablish conditions </w:t>
      </w:r>
      <w:r w:rsidR="007E00EF">
        <w:t>by which</w:t>
      </w:r>
      <w:r w:rsidR="00D0749E" w:rsidRPr="00C10D10">
        <w:t xml:space="preserve"> compliance during operation</w:t>
      </w:r>
      <w:r w:rsidR="007E00EF">
        <w:t xml:space="preserve"> is to be demonstrated</w:t>
      </w:r>
      <w:r w:rsidR="00D0749E" w:rsidRPr="00C10D10">
        <w:t xml:space="preserve">, including </w:t>
      </w:r>
      <w:r w:rsidR="007E00EF">
        <w:t xml:space="preserve">by means of </w:t>
      </w:r>
      <w:r w:rsidR="00D0749E" w:rsidRPr="00C10D10">
        <w:t xml:space="preserve">source </w:t>
      </w:r>
      <w:r w:rsidR="007E00EF" w:rsidRPr="00C10D10">
        <w:t xml:space="preserve">monitoring </w:t>
      </w:r>
      <w:r w:rsidR="00D0749E" w:rsidRPr="00C10D10">
        <w:t xml:space="preserve">and </w:t>
      </w:r>
      <w:r w:rsidR="00D31977">
        <w:t>environmental</w:t>
      </w:r>
      <w:r w:rsidR="00D0749E" w:rsidRPr="00C10D10">
        <w:t xml:space="preserve"> </w:t>
      </w:r>
      <w:r w:rsidR="00D11E83" w:rsidRPr="00C10D10">
        <w:t>monitoring</w:t>
      </w:r>
      <w:r w:rsidR="00D0749E" w:rsidRPr="00C10D10">
        <w:t xml:space="preserve"> systems and programmes</w:t>
      </w:r>
      <w:r w:rsidR="00D11E83" w:rsidRPr="00C10D10">
        <w:t>.</w:t>
      </w:r>
    </w:p>
    <w:p w:rsidR="0050053F" w:rsidRPr="00C10D10" w:rsidRDefault="0050053F" w:rsidP="0091132F">
      <w:pPr>
        <w:pStyle w:val="ListNumber2"/>
        <w:numPr>
          <w:ilvl w:val="0"/>
          <w:numId w:val="26"/>
        </w:numPr>
        <w:ind w:left="567" w:hanging="567"/>
      </w:pPr>
      <w:r w:rsidRPr="0050053F">
        <w:t xml:space="preserve">The regulatory body should </w:t>
      </w:r>
      <w:r w:rsidRPr="00922BCE">
        <w:t xml:space="preserve">issue </w:t>
      </w:r>
      <w:r w:rsidR="007E00EF">
        <w:t xml:space="preserve">an </w:t>
      </w:r>
      <w:r w:rsidRPr="00922BCE">
        <w:t xml:space="preserve">authorization </w:t>
      </w:r>
      <w:r w:rsidR="00DD248F" w:rsidRPr="00922BCE">
        <w:t xml:space="preserve">for discharges </w:t>
      </w:r>
      <w:r w:rsidRPr="00922BCE">
        <w:t>upon</w:t>
      </w:r>
      <w:r w:rsidRPr="0050053F">
        <w:t xml:space="preserve"> its satisfaction that the models and assumptions are valid and the doses </w:t>
      </w:r>
      <w:r w:rsidR="007E00EF">
        <w:t>will</w:t>
      </w:r>
      <w:r w:rsidR="007E00EF" w:rsidRPr="0050053F">
        <w:t xml:space="preserve"> </w:t>
      </w:r>
      <w:r w:rsidRPr="0050053F">
        <w:t>not</w:t>
      </w:r>
      <w:r w:rsidR="007E00EF">
        <w:t xml:space="preserve"> be</w:t>
      </w:r>
      <w:r w:rsidRPr="0050053F">
        <w:t xml:space="preserve"> higher that the optimized levels.</w:t>
      </w:r>
    </w:p>
    <w:p w:rsidR="0000034B" w:rsidRPr="00C10D10" w:rsidRDefault="0000034B" w:rsidP="00477834">
      <w:pPr>
        <w:pStyle w:val="ListParagraph"/>
        <w:autoSpaceDE w:val="0"/>
        <w:autoSpaceDN w:val="0"/>
        <w:adjustRightInd w:val="0"/>
        <w:spacing w:before="120"/>
        <w:contextualSpacing w:val="0"/>
        <w:jc w:val="both"/>
        <w:rPr>
          <w:szCs w:val="24"/>
        </w:rPr>
      </w:pPr>
      <w:r w:rsidRPr="00C10D10">
        <w:rPr>
          <w:szCs w:val="24"/>
        </w:rPr>
        <w:t xml:space="preserve">Figure </w:t>
      </w:r>
      <w:r w:rsidR="004D4D2F" w:rsidRPr="00C10D10">
        <w:rPr>
          <w:szCs w:val="24"/>
        </w:rPr>
        <w:t>3</w:t>
      </w:r>
      <w:r w:rsidRPr="00C10D10">
        <w:rPr>
          <w:szCs w:val="24"/>
        </w:rPr>
        <w:t xml:space="preserve"> illustrate</w:t>
      </w:r>
      <w:r w:rsidR="00ED157F" w:rsidRPr="00C10D10">
        <w:rPr>
          <w:szCs w:val="24"/>
        </w:rPr>
        <w:t>s</w:t>
      </w:r>
      <w:r w:rsidRPr="00C10D10">
        <w:rPr>
          <w:szCs w:val="24"/>
        </w:rPr>
        <w:t xml:space="preserve"> the</w:t>
      </w:r>
      <w:r w:rsidR="001D38DD" w:rsidRPr="00C10D10">
        <w:rPr>
          <w:szCs w:val="24"/>
        </w:rPr>
        <w:t xml:space="preserve"> process </w:t>
      </w:r>
      <w:r w:rsidR="00F70BDA">
        <w:rPr>
          <w:szCs w:val="24"/>
        </w:rPr>
        <w:t>for setting</w:t>
      </w:r>
      <w:r w:rsidR="00F70BDA" w:rsidRPr="00C10D10">
        <w:rPr>
          <w:szCs w:val="24"/>
        </w:rPr>
        <w:t xml:space="preserve"> </w:t>
      </w:r>
      <w:r w:rsidR="001D38DD" w:rsidRPr="00C10D10">
        <w:rPr>
          <w:szCs w:val="24"/>
        </w:rPr>
        <w:t xml:space="preserve">discharge limits </w:t>
      </w:r>
      <w:r w:rsidR="007E00EF">
        <w:rPr>
          <w:szCs w:val="24"/>
        </w:rPr>
        <w:t>in accordance with</w:t>
      </w:r>
      <w:r w:rsidR="007E00EF" w:rsidRPr="00C10D10">
        <w:rPr>
          <w:szCs w:val="24"/>
        </w:rPr>
        <w:t xml:space="preserve"> </w:t>
      </w:r>
      <w:r w:rsidR="001D38DD" w:rsidRPr="00C10D10">
        <w:rPr>
          <w:szCs w:val="24"/>
        </w:rPr>
        <w:t xml:space="preserve">the steps </w:t>
      </w:r>
      <w:r w:rsidRPr="00C10D10">
        <w:rPr>
          <w:szCs w:val="24"/>
        </w:rPr>
        <w:t>described above.</w:t>
      </w:r>
      <w:r w:rsidR="00B33FF1" w:rsidRPr="00C10D10">
        <w:rPr>
          <w:szCs w:val="24"/>
        </w:rPr>
        <w:t xml:space="preserve"> The </w:t>
      </w:r>
      <w:r w:rsidR="007E00EF">
        <w:rPr>
          <w:szCs w:val="24"/>
        </w:rPr>
        <w:t xml:space="preserve">various </w:t>
      </w:r>
      <w:r w:rsidR="00B33FF1" w:rsidRPr="00C10D10">
        <w:rPr>
          <w:szCs w:val="24"/>
        </w:rPr>
        <w:t>elements in the process are described in the following sections.</w:t>
      </w:r>
    </w:p>
    <w:p w:rsidR="00CE5E9C" w:rsidRDefault="00CE5E9C" w:rsidP="00BA5523">
      <w:pPr>
        <w:autoSpaceDE w:val="0"/>
        <w:autoSpaceDN w:val="0"/>
        <w:adjustRightInd w:val="0"/>
        <w:spacing w:before="120" w:line="360" w:lineRule="auto"/>
        <w:jc w:val="center"/>
        <w:rPr>
          <w:rFonts w:ascii="Times New Roman" w:hAnsi="Times New Roman"/>
          <w:sz w:val="24"/>
          <w:szCs w:val="24"/>
        </w:rPr>
      </w:pPr>
    </w:p>
    <w:p w:rsidR="00D109E2" w:rsidRPr="00C10D10" w:rsidRDefault="00087584" w:rsidP="00BA5523">
      <w:pPr>
        <w:autoSpaceDE w:val="0"/>
        <w:autoSpaceDN w:val="0"/>
        <w:adjustRightInd w:val="0"/>
        <w:spacing w:before="120" w:line="360" w:lineRule="auto"/>
        <w:jc w:val="center"/>
        <w:rPr>
          <w:rFonts w:ascii="Times New Roman" w:hAnsi="Times New Roman"/>
          <w:sz w:val="24"/>
          <w:szCs w:val="24"/>
        </w:rPr>
      </w:pPr>
      <w:r>
        <w:rPr>
          <w:rFonts w:ascii="Times New Roman" w:hAnsi="Times New Roman"/>
          <w:noProof/>
          <w:sz w:val="24"/>
          <w:szCs w:val="24"/>
          <w:lang w:eastAsia="en-GB"/>
        </w:rPr>
        <w:drawing>
          <wp:inline distT="0" distB="0" distL="0" distR="0" wp14:anchorId="276B0AA2">
            <wp:extent cx="4819617" cy="367021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0777" cy="3671096"/>
                    </a:xfrm>
                    <a:prstGeom prst="rect">
                      <a:avLst/>
                    </a:prstGeom>
                    <a:noFill/>
                  </pic:spPr>
                </pic:pic>
              </a:graphicData>
            </a:graphic>
          </wp:inline>
        </w:drawing>
      </w:r>
    </w:p>
    <w:p w:rsidR="00CE5E9C" w:rsidRPr="00C10D10" w:rsidRDefault="00804BCE" w:rsidP="00BA5523">
      <w:pPr>
        <w:autoSpaceDE w:val="0"/>
        <w:autoSpaceDN w:val="0"/>
        <w:adjustRightInd w:val="0"/>
        <w:spacing w:before="120" w:line="360" w:lineRule="auto"/>
        <w:jc w:val="center"/>
        <w:rPr>
          <w:rFonts w:ascii="Times New Roman" w:hAnsi="Times New Roman"/>
          <w:i/>
          <w:sz w:val="24"/>
          <w:szCs w:val="24"/>
        </w:rPr>
      </w:pPr>
      <w:proofErr w:type="gramStart"/>
      <w:r w:rsidRPr="00C10D10">
        <w:rPr>
          <w:rFonts w:ascii="Times New Roman" w:hAnsi="Times New Roman"/>
          <w:i/>
          <w:sz w:val="24"/>
          <w:szCs w:val="24"/>
        </w:rPr>
        <w:t>F</w:t>
      </w:r>
      <w:r w:rsidR="00BA5523" w:rsidRPr="00C10D10">
        <w:rPr>
          <w:rFonts w:ascii="Times New Roman" w:hAnsi="Times New Roman"/>
          <w:i/>
          <w:sz w:val="24"/>
          <w:szCs w:val="24"/>
        </w:rPr>
        <w:t>IG</w:t>
      </w:r>
      <w:r w:rsidR="001924B2" w:rsidRPr="00C10D10">
        <w:rPr>
          <w:rFonts w:ascii="Times New Roman" w:hAnsi="Times New Roman"/>
          <w:i/>
          <w:sz w:val="24"/>
          <w:szCs w:val="24"/>
        </w:rPr>
        <w:t>.</w:t>
      </w:r>
      <w:r w:rsidRPr="00C10D10">
        <w:rPr>
          <w:rFonts w:ascii="Times New Roman" w:hAnsi="Times New Roman"/>
          <w:i/>
          <w:sz w:val="24"/>
          <w:szCs w:val="24"/>
        </w:rPr>
        <w:t xml:space="preserve"> </w:t>
      </w:r>
      <w:r w:rsidR="004D4D2F" w:rsidRPr="00C10D10">
        <w:rPr>
          <w:rFonts w:ascii="Times New Roman" w:hAnsi="Times New Roman"/>
          <w:i/>
          <w:sz w:val="24"/>
          <w:szCs w:val="24"/>
        </w:rPr>
        <w:t>3</w:t>
      </w:r>
      <w:r w:rsidR="001924B2" w:rsidRPr="00C10D10">
        <w:rPr>
          <w:rFonts w:ascii="Times New Roman" w:hAnsi="Times New Roman"/>
          <w:i/>
          <w:sz w:val="24"/>
          <w:szCs w:val="24"/>
        </w:rPr>
        <w:t>.</w:t>
      </w:r>
      <w:proofErr w:type="gramEnd"/>
      <w:r w:rsidR="001D38DD" w:rsidRPr="00C10D10">
        <w:rPr>
          <w:rFonts w:ascii="Times New Roman" w:hAnsi="Times New Roman"/>
          <w:i/>
          <w:sz w:val="24"/>
          <w:szCs w:val="24"/>
        </w:rPr>
        <w:t xml:space="preserve"> </w:t>
      </w:r>
      <w:r w:rsidR="004D4D2F" w:rsidRPr="00C10D10">
        <w:rPr>
          <w:rFonts w:ascii="Times New Roman" w:hAnsi="Times New Roman"/>
          <w:i/>
          <w:sz w:val="24"/>
          <w:szCs w:val="24"/>
        </w:rPr>
        <w:t xml:space="preserve">Steps </w:t>
      </w:r>
      <w:r w:rsidR="00F70BDA">
        <w:rPr>
          <w:rFonts w:ascii="Times New Roman" w:hAnsi="Times New Roman"/>
          <w:i/>
          <w:sz w:val="24"/>
          <w:szCs w:val="24"/>
        </w:rPr>
        <w:t>in setting</w:t>
      </w:r>
      <w:r w:rsidR="004D4D2F" w:rsidRPr="00C10D10">
        <w:rPr>
          <w:rFonts w:ascii="Times New Roman" w:hAnsi="Times New Roman"/>
          <w:i/>
          <w:sz w:val="24"/>
          <w:szCs w:val="24"/>
        </w:rPr>
        <w:t xml:space="preserve"> discharge </w:t>
      </w:r>
      <w:r w:rsidR="00BB5480">
        <w:rPr>
          <w:rFonts w:ascii="Times New Roman" w:hAnsi="Times New Roman"/>
          <w:i/>
          <w:sz w:val="24"/>
          <w:szCs w:val="24"/>
        </w:rPr>
        <w:t>limits</w:t>
      </w:r>
      <w:r w:rsidR="004D4D2F" w:rsidRPr="00C10D10">
        <w:rPr>
          <w:rFonts w:ascii="Times New Roman" w:hAnsi="Times New Roman"/>
          <w:i/>
          <w:sz w:val="24"/>
          <w:szCs w:val="24"/>
        </w:rPr>
        <w:t>, indicating those responsible</w:t>
      </w:r>
      <w:proofErr w:type="gramStart"/>
      <w:r w:rsidR="004D4D2F" w:rsidRPr="00C10D10">
        <w:rPr>
          <w:rFonts w:ascii="Times New Roman" w:hAnsi="Times New Roman"/>
          <w:i/>
          <w:sz w:val="24"/>
          <w:szCs w:val="24"/>
        </w:rPr>
        <w:t>.</w:t>
      </w:r>
      <w:r w:rsidR="007E00EF">
        <w:rPr>
          <w:rFonts w:ascii="Times New Roman" w:hAnsi="Times New Roman"/>
          <w:i/>
          <w:sz w:val="24"/>
          <w:szCs w:val="24"/>
        </w:rPr>
        <w:t>[</w:t>
      </w:r>
      <w:proofErr w:type="gramEnd"/>
      <w:r w:rsidR="007E00EF">
        <w:rPr>
          <w:rFonts w:ascii="Times New Roman" w:hAnsi="Times New Roman"/>
          <w:i/>
          <w:sz w:val="24"/>
          <w:szCs w:val="24"/>
        </w:rPr>
        <w:t xml:space="preserve">can we edit a bit –determine </w:t>
      </w:r>
    </w:p>
    <w:p w:rsidR="00BA5523" w:rsidRPr="00C10D10" w:rsidRDefault="00BA5523" w:rsidP="00BA5523">
      <w:pPr>
        <w:autoSpaceDE w:val="0"/>
        <w:autoSpaceDN w:val="0"/>
        <w:adjustRightInd w:val="0"/>
        <w:spacing w:before="120" w:line="360" w:lineRule="auto"/>
        <w:jc w:val="center"/>
        <w:rPr>
          <w:rFonts w:ascii="Times New Roman" w:hAnsi="Times New Roman"/>
          <w:i/>
          <w:sz w:val="24"/>
          <w:szCs w:val="24"/>
        </w:rPr>
      </w:pPr>
    </w:p>
    <w:p w:rsidR="003643CD" w:rsidRPr="00C10D10" w:rsidRDefault="003643CD" w:rsidP="00940BB5">
      <w:pPr>
        <w:pStyle w:val="ListParagraph"/>
        <w:autoSpaceDE w:val="0"/>
        <w:autoSpaceDN w:val="0"/>
        <w:adjustRightInd w:val="0"/>
        <w:spacing w:before="120"/>
        <w:contextualSpacing w:val="0"/>
        <w:jc w:val="both"/>
        <w:rPr>
          <w:szCs w:val="24"/>
        </w:rPr>
      </w:pPr>
    </w:p>
    <w:p w:rsidR="003643CD" w:rsidRPr="00C10D10" w:rsidRDefault="00477834"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process </w:t>
      </w:r>
      <w:r w:rsidR="002765E0" w:rsidRPr="00C10D10">
        <w:rPr>
          <w:szCs w:val="24"/>
        </w:rPr>
        <w:t>illustrated</w:t>
      </w:r>
      <w:r w:rsidRPr="00C10D10">
        <w:rPr>
          <w:szCs w:val="24"/>
        </w:rPr>
        <w:t xml:space="preserve"> in </w:t>
      </w:r>
      <w:r w:rsidR="001924B2" w:rsidRPr="00C10D10">
        <w:rPr>
          <w:szCs w:val="24"/>
        </w:rPr>
        <w:t>Fig</w:t>
      </w:r>
      <w:r w:rsidR="007E00EF">
        <w:rPr>
          <w:szCs w:val="24"/>
        </w:rPr>
        <w:t>.</w:t>
      </w:r>
      <w:r w:rsidRPr="00C10D10">
        <w:rPr>
          <w:szCs w:val="24"/>
        </w:rPr>
        <w:t xml:space="preserve"> 3 identifies actions </w:t>
      </w:r>
      <w:r w:rsidR="007E00EF">
        <w:rPr>
          <w:szCs w:val="24"/>
        </w:rPr>
        <w:t>of</w:t>
      </w:r>
      <w:r w:rsidR="007E00EF" w:rsidRPr="00C10D10">
        <w:rPr>
          <w:szCs w:val="24"/>
        </w:rPr>
        <w:t xml:space="preserve"> </w:t>
      </w:r>
      <w:r w:rsidRPr="00C10D10">
        <w:rPr>
          <w:szCs w:val="24"/>
        </w:rPr>
        <w:t xml:space="preserve">the regulatory body and </w:t>
      </w:r>
      <w:r w:rsidR="007E00EF">
        <w:rPr>
          <w:szCs w:val="24"/>
        </w:rPr>
        <w:t>actions of</w:t>
      </w:r>
      <w:r w:rsidR="007E00EF" w:rsidRPr="00C10D10">
        <w:rPr>
          <w:szCs w:val="24"/>
        </w:rPr>
        <w:t xml:space="preserve"> </w:t>
      </w:r>
      <w:r w:rsidRPr="00C10D10">
        <w:rPr>
          <w:szCs w:val="24"/>
        </w:rPr>
        <w:t xml:space="preserve">the applicant. </w:t>
      </w:r>
      <w:r w:rsidR="00AB7B11">
        <w:rPr>
          <w:szCs w:val="24"/>
        </w:rPr>
        <w:t>In</w:t>
      </w:r>
      <w:r w:rsidRPr="00C10D10">
        <w:rPr>
          <w:szCs w:val="24"/>
        </w:rPr>
        <w:t xml:space="preserve"> setting the discharge </w:t>
      </w:r>
      <w:r w:rsidR="004743B9" w:rsidRPr="00C10D10">
        <w:rPr>
          <w:szCs w:val="24"/>
        </w:rPr>
        <w:t>limits there</w:t>
      </w:r>
      <w:r w:rsidRPr="00C10D10">
        <w:rPr>
          <w:szCs w:val="24"/>
        </w:rPr>
        <w:t xml:space="preserve"> should be </w:t>
      </w:r>
      <w:r w:rsidR="00AB7B11">
        <w:rPr>
          <w:szCs w:val="24"/>
        </w:rPr>
        <w:t xml:space="preserve">regular engagement </w:t>
      </w:r>
      <w:r w:rsidR="00C72024">
        <w:rPr>
          <w:szCs w:val="24"/>
        </w:rPr>
        <w:t xml:space="preserve">and discussion </w:t>
      </w:r>
      <w:r w:rsidR="00AB7B11">
        <w:rPr>
          <w:szCs w:val="24"/>
        </w:rPr>
        <w:t>between the applicant and the regulatory body</w:t>
      </w:r>
      <w:r w:rsidRPr="00C10D10">
        <w:rPr>
          <w:szCs w:val="24"/>
        </w:rPr>
        <w:t xml:space="preserve"> </w:t>
      </w:r>
      <w:r w:rsidR="00C72024">
        <w:rPr>
          <w:szCs w:val="24"/>
        </w:rPr>
        <w:t>with regard to</w:t>
      </w:r>
      <w:r w:rsidR="00C72024" w:rsidRPr="00C10D10">
        <w:rPr>
          <w:szCs w:val="24"/>
        </w:rPr>
        <w:t xml:space="preserve"> </w:t>
      </w:r>
      <w:r w:rsidRPr="00C10D10">
        <w:rPr>
          <w:szCs w:val="24"/>
        </w:rPr>
        <w:t xml:space="preserve">the validity </w:t>
      </w:r>
      <w:r w:rsidR="005D4C59">
        <w:rPr>
          <w:szCs w:val="24"/>
        </w:rPr>
        <w:t xml:space="preserve">of the </w:t>
      </w:r>
      <w:r w:rsidRPr="00C10D10">
        <w:rPr>
          <w:szCs w:val="24"/>
        </w:rPr>
        <w:t xml:space="preserve">assumptions </w:t>
      </w:r>
      <w:r w:rsidR="005D4C59">
        <w:rPr>
          <w:szCs w:val="24"/>
        </w:rPr>
        <w:t>made</w:t>
      </w:r>
      <w:r w:rsidRPr="00C10D10">
        <w:rPr>
          <w:szCs w:val="24"/>
        </w:rPr>
        <w:t xml:space="preserve"> to estimate doses, the optimization process and the implications </w:t>
      </w:r>
      <w:r w:rsidR="005D4C59">
        <w:rPr>
          <w:szCs w:val="24"/>
        </w:rPr>
        <w:t xml:space="preserve">that </w:t>
      </w:r>
      <w:r w:rsidR="005D4C59" w:rsidRPr="00C10D10">
        <w:rPr>
          <w:szCs w:val="24"/>
        </w:rPr>
        <w:t xml:space="preserve">the discharge limits and </w:t>
      </w:r>
      <w:r w:rsidR="005D4C59">
        <w:rPr>
          <w:szCs w:val="24"/>
        </w:rPr>
        <w:t xml:space="preserve">the </w:t>
      </w:r>
      <w:r w:rsidR="00161040">
        <w:rPr>
          <w:szCs w:val="24"/>
        </w:rPr>
        <w:t xml:space="preserve">operational </w:t>
      </w:r>
      <w:r w:rsidR="00161040" w:rsidRPr="00161040">
        <w:rPr>
          <w:szCs w:val="24"/>
        </w:rPr>
        <w:t xml:space="preserve">limits and </w:t>
      </w:r>
      <w:r w:rsidR="005D4C59" w:rsidRPr="00C10D10">
        <w:rPr>
          <w:szCs w:val="24"/>
        </w:rPr>
        <w:t>conditions</w:t>
      </w:r>
      <w:r w:rsidR="005D4C59">
        <w:rPr>
          <w:szCs w:val="24"/>
        </w:rPr>
        <w:t xml:space="preserve"> </w:t>
      </w:r>
      <w:r w:rsidR="00470429">
        <w:rPr>
          <w:szCs w:val="24"/>
        </w:rPr>
        <w:t xml:space="preserve">under discussion </w:t>
      </w:r>
      <w:r w:rsidR="005D4C59">
        <w:rPr>
          <w:szCs w:val="24"/>
        </w:rPr>
        <w:t xml:space="preserve">may have </w:t>
      </w:r>
      <w:r w:rsidR="007029B5">
        <w:rPr>
          <w:szCs w:val="24"/>
        </w:rPr>
        <w:t xml:space="preserve">for the </w:t>
      </w:r>
      <w:r w:rsidR="007029B5">
        <w:rPr>
          <w:szCs w:val="24"/>
        </w:rPr>
        <w:lastRenderedPageBreak/>
        <w:t>operation of</w:t>
      </w:r>
      <w:r w:rsidRPr="00C10D10">
        <w:rPr>
          <w:szCs w:val="24"/>
        </w:rPr>
        <w:t xml:space="preserve"> </w:t>
      </w:r>
      <w:r w:rsidR="007A4208" w:rsidRPr="00C10D10">
        <w:rPr>
          <w:szCs w:val="24"/>
        </w:rPr>
        <w:t xml:space="preserve">the </w:t>
      </w:r>
      <w:r w:rsidR="007E00EF">
        <w:rPr>
          <w:szCs w:val="24"/>
        </w:rPr>
        <w:t>facility</w:t>
      </w:r>
      <w:r w:rsidR="00940BB5">
        <w:rPr>
          <w:szCs w:val="24"/>
        </w:rPr>
        <w:t xml:space="preserve"> or conduct of the activity</w:t>
      </w:r>
      <w:r w:rsidR="00AB7B11">
        <w:rPr>
          <w:szCs w:val="24"/>
        </w:rPr>
        <w:t>.</w:t>
      </w:r>
      <w:r w:rsidR="002765E0" w:rsidRPr="00C10D10">
        <w:rPr>
          <w:szCs w:val="24"/>
        </w:rPr>
        <w:t xml:space="preserve"> </w:t>
      </w:r>
      <w:r w:rsidR="00334189">
        <w:rPr>
          <w:szCs w:val="24"/>
        </w:rPr>
        <w:t>T</w:t>
      </w:r>
      <w:r w:rsidR="005D4C59">
        <w:rPr>
          <w:szCs w:val="24"/>
        </w:rPr>
        <w:t xml:space="preserve">he implications </w:t>
      </w:r>
      <w:r w:rsidR="00334189">
        <w:rPr>
          <w:szCs w:val="24"/>
        </w:rPr>
        <w:t xml:space="preserve">of </w:t>
      </w:r>
      <w:r w:rsidR="005D4C59">
        <w:rPr>
          <w:szCs w:val="24"/>
        </w:rPr>
        <w:t xml:space="preserve">the storage of </w:t>
      </w:r>
      <w:r w:rsidR="00AB7B11">
        <w:rPr>
          <w:szCs w:val="24"/>
        </w:rPr>
        <w:t>any</w:t>
      </w:r>
      <w:r w:rsidR="007A4208" w:rsidRPr="00C10D10">
        <w:rPr>
          <w:szCs w:val="24"/>
        </w:rPr>
        <w:t xml:space="preserve"> </w:t>
      </w:r>
      <w:r w:rsidR="001368B9">
        <w:rPr>
          <w:szCs w:val="24"/>
        </w:rPr>
        <w:t xml:space="preserve">liquid and gaseous radioactive waste </w:t>
      </w:r>
      <w:r w:rsidR="005D4C59">
        <w:rPr>
          <w:szCs w:val="24"/>
        </w:rPr>
        <w:t xml:space="preserve">that is not discharged to the </w:t>
      </w:r>
      <w:r w:rsidR="00E62A61">
        <w:rPr>
          <w:szCs w:val="24"/>
        </w:rPr>
        <w:t>environment</w:t>
      </w:r>
      <w:r w:rsidR="00AB7B11">
        <w:rPr>
          <w:szCs w:val="24"/>
        </w:rPr>
        <w:t xml:space="preserve"> </w:t>
      </w:r>
      <w:r w:rsidR="007A4208" w:rsidRPr="00C10D10">
        <w:rPr>
          <w:szCs w:val="24"/>
        </w:rPr>
        <w:t>and the associated doses to workers</w:t>
      </w:r>
      <w:r w:rsidR="00AB7B11">
        <w:rPr>
          <w:szCs w:val="24"/>
        </w:rPr>
        <w:t xml:space="preserve"> should </w:t>
      </w:r>
      <w:r w:rsidR="00C72024">
        <w:rPr>
          <w:szCs w:val="24"/>
        </w:rPr>
        <w:t xml:space="preserve">also </w:t>
      </w:r>
      <w:r w:rsidR="00AB7B11">
        <w:rPr>
          <w:szCs w:val="24"/>
        </w:rPr>
        <w:t>be considered</w:t>
      </w:r>
      <w:r w:rsidRPr="00C10D10">
        <w:rPr>
          <w:szCs w:val="24"/>
        </w:rPr>
        <w:t xml:space="preserve">. This </w:t>
      </w:r>
      <w:r w:rsidR="002621E0">
        <w:rPr>
          <w:szCs w:val="24"/>
        </w:rPr>
        <w:t xml:space="preserve">process </w:t>
      </w:r>
      <w:r w:rsidRPr="00C10D10">
        <w:rPr>
          <w:szCs w:val="24"/>
        </w:rPr>
        <w:t>should be conducted in an iterative manner</w:t>
      </w:r>
      <w:r w:rsidR="007A4208" w:rsidRPr="00C10D10">
        <w:rPr>
          <w:szCs w:val="24"/>
        </w:rPr>
        <w:t xml:space="preserve"> in order to </w:t>
      </w:r>
      <w:r w:rsidR="0005656A" w:rsidRPr="00C10D10">
        <w:rPr>
          <w:szCs w:val="24"/>
        </w:rPr>
        <w:t>reach an</w:t>
      </w:r>
      <w:r w:rsidR="007A4208" w:rsidRPr="00C10D10">
        <w:rPr>
          <w:szCs w:val="24"/>
        </w:rPr>
        <w:t xml:space="preserve"> </w:t>
      </w:r>
      <w:r w:rsidR="00196B94">
        <w:rPr>
          <w:szCs w:val="24"/>
        </w:rPr>
        <w:t>acceptable</w:t>
      </w:r>
      <w:r w:rsidR="000C39A0" w:rsidRPr="00C10D10">
        <w:rPr>
          <w:szCs w:val="24"/>
        </w:rPr>
        <w:t xml:space="preserve"> </w:t>
      </w:r>
      <w:r w:rsidR="007A4208" w:rsidRPr="00C10D10">
        <w:rPr>
          <w:szCs w:val="24"/>
        </w:rPr>
        <w:t>optimum solution from the point of view</w:t>
      </w:r>
      <w:r w:rsidR="00196B94">
        <w:rPr>
          <w:szCs w:val="24"/>
        </w:rPr>
        <w:t xml:space="preserve"> of </w:t>
      </w:r>
      <w:r w:rsidR="00020DC3">
        <w:rPr>
          <w:szCs w:val="24"/>
        </w:rPr>
        <w:t xml:space="preserve">safety and </w:t>
      </w:r>
      <w:r w:rsidR="00196B94">
        <w:rPr>
          <w:szCs w:val="24"/>
        </w:rPr>
        <w:t>radiation protection</w:t>
      </w:r>
      <w:r w:rsidR="004D4D2F" w:rsidRPr="00C10D10">
        <w:rPr>
          <w:szCs w:val="24"/>
        </w:rPr>
        <w:t>.</w:t>
      </w:r>
      <w:r w:rsidR="003643CD" w:rsidRPr="00C10D10">
        <w:rPr>
          <w:szCs w:val="24"/>
        </w:rPr>
        <w:t xml:space="preserve"> </w:t>
      </w:r>
    </w:p>
    <w:p w:rsidR="000108B9" w:rsidRPr="00C10D10" w:rsidRDefault="001924B2" w:rsidP="007A4208">
      <w:pPr>
        <w:pStyle w:val="Heading2"/>
        <w:rPr>
          <w:caps w:val="0"/>
          <w:lang w:val="en-GB"/>
        </w:rPr>
      </w:pPr>
      <w:bookmarkStart w:id="39" w:name="_Toc396128267"/>
      <w:bookmarkStart w:id="40" w:name="_Toc396128880"/>
      <w:bookmarkStart w:id="41" w:name="_Toc452966950"/>
      <w:r w:rsidRPr="00C10D10">
        <w:rPr>
          <w:caps w:val="0"/>
          <w:lang w:val="en-GB"/>
        </w:rPr>
        <w:t>ESTABLISHING A DOSE CONSTRAINT FOR</w:t>
      </w:r>
      <w:r w:rsidR="00624510">
        <w:rPr>
          <w:caps w:val="0"/>
          <w:lang w:val="en-GB"/>
        </w:rPr>
        <w:t xml:space="preserve"> THE</w:t>
      </w:r>
      <w:r w:rsidRPr="00C10D10">
        <w:rPr>
          <w:caps w:val="0"/>
          <w:lang w:val="en-GB"/>
        </w:rPr>
        <w:t xml:space="preserve"> CONTROL OF DISCHARGES</w:t>
      </w:r>
      <w:bookmarkEnd w:id="39"/>
      <w:bookmarkEnd w:id="40"/>
      <w:bookmarkEnd w:id="41"/>
    </w:p>
    <w:p w:rsidR="002F423A" w:rsidRPr="00C10D10" w:rsidRDefault="003A553D" w:rsidP="0091132F">
      <w:pPr>
        <w:pStyle w:val="ListParagraph"/>
        <w:numPr>
          <w:ilvl w:val="0"/>
          <w:numId w:val="7"/>
        </w:numPr>
        <w:autoSpaceDE w:val="0"/>
        <w:autoSpaceDN w:val="0"/>
        <w:adjustRightInd w:val="0"/>
        <w:spacing w:before="120"/>
        <w:contextualSpacing w:val="0"/>
        <w:jc w:val="both"/>
        <w:rPr>
          <w:szCs w:val="24"/>
        </w:rPr>
      </w:pPr>
      <w:r w:rsidRPr="00C10D10">
        <w:rPr>
          <w:szCs w:val="24"/>
        </w:rPr>
        <w:t>The government or regulatory body</w:t>
      </w:r>
      <w:r w:rsidR="00CF093A" w:rsidRPr="00C10D10">
        <w:rPr>
          <w:szCs w:val="24"/>
        </w:rPr>
        <w:t xml:space="preserve"> is responsible for establishing </w:t>
      </w:r>
      <w:r w:rsidR="00020DC3">
        <w:rPr>
          <w:szCs w:val="24"/>
        </w:rPr>
        <w:t xml:space="preserve">or approving </w:t>
      </w:r>
      <w:r w:rsidRPr="00C10D10">
        <w:rPr>
          <w:szCs w:val="24"/>
        </w:rPr>
        <w:t xml:space="preserve">the </w:t>
      </w:r>
      <w:r w:rsidR="006D6610">
        <w:rPr>
          <w:szCs w:val="24"/>
        </w:rPr>
        <w:t xml:space="preserve">source related </w:t>
      </w:r>
      <w:r w:rsidRPr="00C10D10">
        <w:rPr>
          <w:szCs w:val="24"/>
        </w:rPr>
        <w:t>dose constraint</w:t>
      </w:r>
      <w:r w:rsidR="002621E0">
        <w:rPr>
          <w:szCs w:val="24"/>
        </w:rPr>
        <w:t>s</w:t>
      </w:r>
      <w:r w:rsidR="000A0A48" w:rsidRPr="00C10D10">
        <w:rPr>
          <w:szCs w:val="24"/>
        </w:rPr>
        <w:t xml:space="preserve"> to be used in the optimization of the protection of the public during normal operation</w:t>
      </w:r>
      <w:r w:rsidRPr="00C10D10">
        <w:rPr>
          <w:szCs w:val="24"/>
        </w:rPr>
        <w:t xml:space="preserve">. </w:t>
      </w:r>
      <w:r w:rsidR="000A0A48" w:rsidRPr="00C10D10">
        <w:rPr>
          <w:szCs w:val="24"/>
        </w:rPr>
        <w:t xml:space="preserve">The dose constraint for each particular source is intended, among other things, to ensure that the sum of doses from planned operations </w:t>
      </w:r>
      <w:r w:rsidR="00551AD9">
        <w:rPr>
          <w:szCs w:val="24"/>
        </w:rPr>
        <w:t>of</w:t>
      </w:r>
      <w:r w:rsidR="00551AD9" w:rsidRPr="00C10D10">
        <w:rPr>
          <w:szCs w:val="24"/>
        </w:rPr>
        <w:t xml:space="preserve"> </w:t>
      </w:r>
      <w:r w:rsidR="000B3690">
        <w:rPr>
          <w:szCs w:val="24"/>
        </w:rPr>
        <w:t xml:space="preserve">that source and </w:t>
      </w:r>
      <w:r w:rsidR="0026700D">
        <w:rPr>
          <w:szCs w:val="24"/>
        </w:rPr>
        <w:t xml:space="preserve">of </w:t>
      </w:r>
      <w:r w:rsidR="000A0A48" w:rsidRPr="00C10D10">
        <w:rPr>
          <w:szCs w:val="24"/>
        </w:rPr>
        <w:t xml:space="preserve">all </w:t>
      </w:r>
      <w:r w:rsidR="00551AD9">
        <w:rPr>
          <w:szCs w:val="24"/>
        </w:rPr>
        <w:t xml:space="preserve">the </w:t>
      </w:r>
      <w:r w:rsidR="00E62A61">
        <w:rPr>
          <w:szCs w:val="24"/>
        </w:rPr>
        <w:t xml:space="preserve">authorized </w:t>
      </w:r>
      <w:r w:rsidR="000A0A48" w:rsidRPr="00C10D10">
        <w:rPr>
          <w:szCs w:val="24"/>
        </w:rPr>
        <w:t>sources</w:t>
      </w:r>
      <w:r w:rsidR="00C505DE">
        <w:rPr>
          <w:szCs w:val="24"/>
        </w:rPr>
        <w:t xml:space="preserve"> </w:t>
      </w:r>
      <w:r w:rsidR="00027577">
        <w:rPr>
          <w:szCs w:val="24"/>
        </w:rPr>
        <w:t>that may contribute to the exposure</w:t>
      </w:r>
      <w:r w:rsidR="00BD13EE">
        <w:rPr>
          <w:szCs w:val="24"/>
        </w:rPr>
        <w:t xml:space="preserve"> of </w:t>
      </w:r>
      <w:r w:rsidR="002F23D4">
        <w:rPr>
          <w:szCs w:val="24"/>
        </w:rPr>
        <w:t xml:space="preserve">the </w:t>
      </w:r>
      <w:proofErr w:type="gramStart"/>
      <w:r w:rsidR="002F23D4">
        <w:rPr>
          <w:szCs w:val="24"/>
        </w:rPr>
        <w:t>public</w:t>
      </w:r>
      <w:r w:rsidR="00027577">
        <w:rPr>
          <w:szCs w:val="24"/>
        </w:rPr>
        <w:t xml:space="preserve"> </w:t>
      </w:r>
      <w:r w:rsidR="000A0A48" w:rsidRPr="00C10D10">
        <w:rPr>
          <w:szCs w:val="24"/>
        </w:rPr>
        <w:t xml:space="preserve"> remains</w:t>
      </w:r>
      <w:proofErr w:type="gramEnd"/>
      <w:r w:rsidR="000A0A48" w:rsidRPr="00C10D10">
        <w:rPr>
          <w:szCs w:val="24"/>
        </w:rPr>
        <w:t xml:space="preserve"> within the dose limit.</w:t>
      </w:r>
      <w:r w:rsidR="00474DFA" w:rsidRPr="00C10D10">
        <w:rPr>
          <w:szCs w:val="24"/>
        </w:rPr>
        <w:t xml:space="preserve"> In </w:t>
      </w:r>
      <w:r w:rsidR="00E7351C" w:rsidRPr="00C10D10">
        <w:rPr>
          <w:szCs w:val="24"/>
        </w:rPr>
        <w:t>specifying</w:t>
      </w:r>
      <w:r w:rsidR="00474DFA" w:rsidRPr="00C10D10">
        <w:rPr>
          <w:szCs w:val="24"/>
        </w:rPr>
        <w:t xml:space="preserve"> the </w:t>
      </w:r>
      <w:r w:rsidR="00F630E8" w:rsidRPr="00C10D10">
        <w:rPr>
          <w:szCs w:val="24"/>
        </w:rPr>
        <w:t xml:space="preserve">dose </w:t>
      </w:r>
      <w:r w:rsidR="00474DFA" w:rsidRPr="00C10D10">
        <w:rPr>
          <w:szCs w:val="24"/>
        </w:rPr>
        <w:t>constrain</w:t>
      </w:r>
      <w:r w:rsidR="00F630E8" w:rsidRPr="00C10D10">
        <w:rPr>
          <w:szCs w:val="24"/>
        </w:rPr>
        <w:t>t</w:t>
      </w:r>
      <w:r w:rsidR="00474DFA" w:rsidRPr="00C10D10">
        <w:rPr>
          <w:szCs w:val="24"/>
        </w:rPr>
        <w:t>,</w:t>
      </w:r>
      <w:r w:rsidR="00BB62B3">
        <w:rPr>
          <w:szCs w:val="24"/>
        </w:rPr>
        <w:t xml:space="preserve"> the contribution to exposure due to</w:t>
      </w:r>
      <w:r w:rsidR="00474DFA" w:rsidRPr="00C10D10">
        <w:rPr>
          <w:szCs w:val="24"/>
        </w:rPr>
        <w:t xml:space="preserve"> local</w:t>
      </w:r>
      <w:r w:rsidR="00551AD9">
        <w:rPr>
          <w:szCs w:val="24"/>
        </w:rPr>
        <w:t xml:space="preserve"> </w:t>
      </w:r>
      <w:r w:rsidR="00C72024">
        <w:rPr>
          <w:szCs w:val="24"/>
        </w:rPr>
        <w:t>sources</w:t>
      </w:r>
      <w:r w:rsidR="00225629">
        <w:rPr>
          <w:szCs w:val="24"/>
        </w:rPr>
        <w:t xml:space="preserve"> and </w:t>
      </w:r>
      <w:r w:rsidR="00474DFA" w:rsidRPr="00C10D10">
        <w:rPr>
          <w:szCs w:val="24"/>
        </w:rPr>
        <w:t>regional sources may be considered.</w:t>
      </w:r>
      <w:r w:rsidR="002F423A" w:rsidRPr="00C10D10">
        <w:rPr>
          <w:szCs w:val="24"/>
        </w:rPr>
        <w:t xml:space="preserve"> </w:t>
      </w:r>
    </w:p>
    <w:p w:rsidR="00AD6201" w:rsidRPr="00B55DF2" w:rsidRDefault="00AD6201" w:rsidP="0091132F">
      <w:pPr>
        <w:pStyle w:val="ListParagraph"/>
        <w:numPr>
          <w:ilvl w:val="0"/>
          <w:numId w:val="7"/>
        </w:numPr>
        <w:autoSpaceDE w:val="0"/>
        <w:autoSpaceDN w:val="0"/>
        <w:adjustRightInd w:val="0"/>
        <w:spacing w:before="120"/>
        <w:contextualSpacing w:val="0"/>
        <w:jc w:val="both"/>
        <w:rPr>
          <w:szCs w:val="24"/>
        </w:rPr>
      </w:pPr>
      <w:r w:rsidRPr="00B55DF2">
        <w:rPr>
          <w:szCs w:val="24"/>
        </w:rPr>
        <w:t>The dose constraint</w:t>
      </w:r>
      <w:r w:rsidR="00245487" w:rsidRPr="00B55DF2">
        <w:rPr>
          <w:szCs w:val="24"/>
        </w:rPr>
        <w:t>, set for a single source,</w:t>
      </w:r>
      <w:r w:rsidRPr="00B55DF2">
        <w:rPr>
          <w:szCs w:val="24"/>
        </w:rPr>
        <w:t xml:space="preserve"> should be expressed in terms of annual effective dose</w:t>
      </w:r>
      <w:r w:rsidR="00245487" w:rsidRPr="00B55DF2">
        <w:rPr>
          <w:szCs w:val="24"/>
        </w:rPr>
        <w:t xml:space="preserve">; it </w:t>
      </w:r>
      <w:r w:rsidRPr="00B55DF2">
        <w:rPr>
          <w:szCs w:val="24"/>
        </w:rPr>
        <w:t xml:space="preserve">should be below the limit set for the effective dose </w:t>
      </w:r>
      <w:r w:rsidR="00B55DF2" w:rsidRPr="00B55DF2">
        <w:rPr>
          <w:szCs w:val="24"/>
        </w:rPr>
        <w:t xml:space="preserve">to </w:t>
      </w:r>
      <w:r w:rsidR="00624510">
        <w:rPr>
          <w:szCs w:val="24"/>
        </w:rPr>
        <w:t xml:space="preserve">the </w:t>
      </w:r>
      <w:r w:rsidR="00B55DF2" w:rsidRPr="00B55DF2">
        <w:rPr>
          <w:szCs w:val="24"/>
        </w:rPr>
        <w:t>public</w:t>
      </w:r>
      <w:r w:rsidR="00B55DF2">
        <w:rPr>
          <w:szCs w:val="24"/>
        </w:rPr>
        <w:t xml:space="preserve"> </w:t>
      </w:r>
      <w:r w:rsidR="00B55DF2" w:rsidRPr="00B55DF2">
        <w:rPr>
          <w:szCs w:val="24"/>
        </w:rPr>
        <w:t xml:space="preserve">in planned exposure situations </w:t>
      </w:r>
      <w:r w:rsidR="00245487" w:rsidRPr="00B55DF2">
        <w:rPr>
          <w:szCs w:val="24"/>
        </w:rPr>
        <w:t xml:space="preserve">from all regulated sources </w:t>
      </w:r>
      <w:r w:rsidR="00121FB9" w:rsidRPr="00B55DF2">
        <w:rPr>
          <w:szCs w:val="24"/>
        </w:rPr>
        <w:t>(</w:t>
      </w:r>
      <w:r w:rsidR="00027577">
        <w:rPr>
          <w:szCs w:val="24"/>
        </w:rPr>
        <w:t xml:space="preserve">i.e. </w:t>
      </w:r>
      <w:r w:rsidRPr="00B55DF2">
        <w:rPr>
          <w:szCs w:val="24"/>
        </w:rPr>
        <w:t xml:space="preserve">1 </w:t>
      </w:r>
      <w:proofErr w:type="spellStart"/>
      <w:r w:rsidRPr="00B55DF2">
        <w:rPr>
          <w:szCs w:val="24"/>
        </w:rPr>
        <w:t>mSv</w:t>
      </w:r>
      <w:proofErr w:type="spellEnd"/>
      <w:r w:rsidRPr="00B55DF2">
        <w:rPr>
          <w:szCs w:val="24"/>
        </w:rPr>
        <w:t xml:space="preserve"> </w:t>
      </w:r>
      <w:r w:rsidR="00027577">
        <w:rPr>
          <w:szCs w:val="24"/>
        </w:rPr>
        <w:t>in a</w:t>
      </w:r>
      <w:r w:rsidR="00027577" w:rsidRPr="00B55DF2">
        <w:rPr>
          <w:szCs w:val="24"/>
        </w:rPr>
        <w:t xml:space="preserve"> </w:t>
      </w:r>
      <w:r w:rsidRPr="00B55DF2">
        <w:rPr>
          <w:szCs w:val="24"/>
        </w:rPr>
        <w:t>year</w:t>
      </w:r>
      <w:r w:rsidR="00C72024">
        <w:rPr>
          <w:szCs w:val="24"/>
        </w:rPr>
        <w:t>,</w:t>
      </w:r>
      <w:r w:rsidR="00B55DF2">
        <w:rPr>
          <w:szCs w:val="24"/>
        </w:rPr>
        <w:t xml:space="preserve"> as required in GSR Part 3</w:t>
      </w:r>
      <w:r w:rsidR="00624510">
        <w:rPr>
          <w:szCs w:val="24"/>
        </w:rPr>
        <w:t xml:space="preserve"> </w:t>
      </w:r>
      <w:r w:rsidR="00417BFF">
        <w:rPr>
          <w:szCs w:val="24"/>
        </w:rPr>
        <w:t>[3]</w:t>
      </w:r>
      <w:r w:rsidR="00121FB9" w:rsidRPr="00B55DF2">
        <w:rPr>
          <w:szCs w:val="24"/>
        </w:rPr>
        <w:t>)</w:t>
      </w:r>
      <w:r w:rsidR="00C7464F" w:rsidRPr="00B55DF2">
        <w:rPr>
          <w:szCs w:val="24"/>
        </w:rPr>
        <w:t>,</w:t>
      </w:r>
      <w:r w:rsidR="00F56483" w:rsidRPr="00B55DF2">
        <w:rPr>
          <w:szCs w:val="24"/>
        </w:rPr>
        <w:t xml:space="preserve"> and </w:t>
      </w:r>
      <w:r w:rsidR="0005656A" w:rsidRPr="00B55DF2">
        <w:rPr>
          <w:szCs w:val="24"/>
        </w:rPr>
        <w:t>higher than</w:t>
      </w:r>
      <w:r w:rsidR="00C505DE">
        <w:rPr>
          <w:szCs w:val="24"/>
        </w:rPr>
        <w:t xml:space="preserve"> </w:t>
      </w:r>
      <w:r w:rsidR="00B55DF2">
        <w:rPr>
          <w:szCs w:val="24"/>
        </w:rPr>
        <w:t>a</w:t>
      </w:r>
      <w:r w:rsidR="00F56483" w:rsidRPr="00B55DF2">
        <w:rPr>
          <w:szCs w:val="24"/>
        </w:rPr>
        <w:t xml:space="preserve"> dose </w:t>
      </w:r>
      <w:r w:rsidR="008105CD" w:rsidRPr="00B55DF2">
        <w:rPr>
          <w:szCs w:val="24"/>
        </w:rPr>
        <w:t>of the order of 10 µ</w:t>
      </w:r>
      <w:proofErr w:type="spellStart"/>
      <w:r w:rsidR="008105CD" w:rsidRPr="00B55DF2">
        <w:rPr>
          <w:szCs w:val="24"/>
        </w:rPr>
        <w:t>Sv</w:t>
      </w:r>
      <w:proofErr w:type="spellEnd"/>
      <w:r w:rsidR="008105CD" w:rsidRPr="00B55DF2">
        <w:rPr>
          <w:szCs w:val="24"/>
        </w:rPr>
        <w:t xml:space="preserve"> in a year</w:t>
      </w:r>
      <w:r w:rsidR="00F56483" w:rsidRPr="00B55DF2">
        <w:rPr>
          <w:szCs w:val="24"/>
        </w:rPr>
        <w:t xml:space="preserve">. Therefore, </w:t>
      </w:r>
      <w:r w:rsidR="00225629" w:rsidRPr="00B55DF2">
        <w:rPr>
          <w:szCs w:val="24"/>
        </w:rPr>
        <w:t xml:space="preserve">in </w:t>
      </w:r>
      <w:r w:rsidR="00245487" w:rsidRPr="00B55DF2">
        <w:rPr>
          <w:szCs w:val="24"/>
        </w:rPr>
        <w:t>practic</w:t>
      </w:r>
      <w:r w:rsidR="00225629" w:rsidRPr="00B55DF2">
        <w:rPr>
          <w:szCs w:val="24"/>
        </w:rPr>
        <w:t>al terms</w:t>
      </w:r>
      <w:r w:rsidR="00245487" w:rsidRPr="00B55DF2">
        <w:rPr>
          <w:szCs w:val="24"/>
        </w:rPr>
        <w:t xml:space="preserve">, </w:t>
      </w:r>
      <w:r w:rsidR="00F56483" w:rsidRPr="00B55DF2">
        <w:rPr>
          <w:szCs w:val="24"/>
        </w:rPr>
        <w:t xml:space="preserve">dose constraints </w:t>
      </w:r>
      <w:r w:rsidR="00027577">
        <w:rPr>
          <w:szCs w:val="24"/>
        </w:rPr>
        <w:t>should be selected</w:t>
      </w:r>
      <w:r w:rsidR="00F56483" w:rsidRPr="00B55DF2">
        <w:rPr>
          <w:szCs w:val="24"/>
        </w:rPr>
        <w:t xml:space="preserve"> within the range of 0.1</w:t>
      </w:r>
      <w:r w:rsidR="00B55DF2">
        <w:rPr>
          <w:szCs w:val="24"/>
        </w:rPr>
        <w:t xml:space="preserve"> to &lt;</w:t>
      </w:r>
      <w:r w:rsidR="00F56483" w:rsidRPr="00B55DF2">
        <w:rPr>
          <w:szCs w:val="24"/>
        </w:rPr>
        <w:t xml:space="preserve">1 </w:t>
      </w:r>
      <w:proofErr w:type="spellStart"/>
      <w:r w:rsidR="00F56483" w:rsidRPr="00B55DF2">
        <w:rPr>
          <w:szCs w:val="24"/>
        </w:rPr>
        <w:t>mSv</w:t>
      </w:r>
      <w:proofErr w:type="spellEnd"/>
      <w:r w:rsidR="00747E0A" w:rsidRPr="00B55DF2">
        <w:rPr>
          <w:szCs w:val="24"/>
        </w:rPr>
        <w:t xml:space="preserve"> </w:t>
      </w:r>
      <w:r w:rsidR="00027577">
        <w:rPr>
          <w:szCs w:val="24"/>
        </w:rPr>
        <w:t xml:space="preserve">in a </w:t>
      </w:r>
      <w:r w:rsidR="00747E0A" w:rsidRPr="00B55DF2">
        <w:rPr>
          <w:szCs w:val="24"/>
        </w:rPr>
        <w:t>year</w:t>
      </w:r>
      <w:r w:rsidR="00B55DF2">
        <w:rPr>
          <w:rStyle w:val="FootnoteReference"/>
          <w:szCs w:val="24"/>
        </w:rPr>
        <w:footnoteReference w:id="16"/>
      </w:r>
      <w:r w:rsidRPr="00B55DF2">
        <w:rPr>
          <w:szCs w:val="24"/>
        </w:rPr>
        <w:t xml:space="preserve"> </w:t>
      </w:r>
      <w:r w:rsidR="00F56483" w:rsidRPr="00B55DF2">
        <w:rPr>
          <w:szCs w:val="24"/>
        </w:rPr>
        <w:t>[</w:t>
      </w:r>
      <w:r w:rsidR="00397F5B" w:rsidRPr="00B55DF2">
        <w:rPr>
          <w:szCs w:val="24"/>
        </w:rPr>
        <w:t>7</w:t>
      </w:r>
      <w:r w:rsidR="00F56483" w:rsidRPr="00B55DF2">
        <w:rPr>
          <w:szCs w:val="24"/>
        </w:rPr>
        <w:t>].</w:t>
      </w:r>
      <w:r w:rsidRPr="00B55DF2">
        <w:rPr>
          <w:szCs w:val="24"/>
        </w:rPr>
        <w:t xml:space="preserve"> </w:t>
      </w:r>
    </w:p>
    <w:p w:rsidR="006F0026" w:rsidRPr="00C10D10" w:rsidRDefault="006F0026"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Dose constraints should be used </w:t>
      </w:r>
      <w:r w:rsidR="005261A2">
        <w:rPr>
          <w:szCs w:val="24"/>
        </w:rPr>
        <w:t>for planning measures</w:t>
      </w:r>
      <w:r w:rsidR="002947F7">
        <w:rPr>
          <w:szCs w:val="24"/>
        </w:rPr>
        <w:t xml:space="preserve"> </w:t>
      </w:r>
      <w:r w:rsidR="008914E6">
        <w:rPr>
          <w:szCs w:val="24"/>
        </w:rPr>
        <w:t xml:space="preserve">for </w:t>
      </w:r>
      <w:r w:rsidR="002947F7">
        <w:rPr>
          <w:szCs w:val="24"/>
        </w:rPr>
        <w:t>protection and safety</w:t>
      </w:r>
      <w:r w:rsidR="008914E6">
        <w:rPr>
          <w:szCs w:val="24"/>
        </w:rPr>
        <w:t xml:space="preserve"> </w:t>
      </w:r>
      <w:r w:rsidR="005261A2">
        <w:rPr>
          <w:szCs w:val="24"/>
        </w:rPr>
        <w:t xml:space="preserve">as part of a </w:t>
      </w:r>
      <w:r w:rsidR="008914E6">
        <w:rPr>
          <w:szCs w:val="24"/>
        </w:rPr>
        <w:t xml:space="preserve">prospective assessment </w:t>
      </w:r>
      <w:r w:rsidRPr="00C10D10">
        <w:rPr>
          <w:szCs w:val="24"/>
        </w:rPr>
        <w:t xml:space="preserve">and should not be </w:t>
      </w:r>
      <w:r w:rsidR="005261A2">
        <w:rPr>
          <w:szCs w:val="24"/>
        </w:rPr>
        <w:t>used</w:t>
      </w:r>
      <w:r w:rsidR="005261A2" w:rsidRPr="00C10D10">
        <w:rPr>
          <w:szCs w:val="24"/>
        </w:rPr>
        <w:t xml:space="preserve"> </w:t>
      </w:r>
      <w:r w:rsidRPr="00C10D10">
        <w:rPr>
          <w:szCs w:val="24"/>
        </w:rPr>
        <w:t>a</w:t>
      </w:r>
      <w:r w:rsidR="000B3690">
        <w:rPr>
          <w:szCs w:val="24"/>
        </w:rPr>
        <w:t xml:space="preserve">s alternative </w:t>
      </w:r>
      <w:r w:rsidR="007E1C76">
        <w:rPr>
          <w:szCs w:val="24"/>
        </w:rPr>
        <w:t xml:space="preserve">dose </w:t>
      </w:r>
      <w:r w:rsidRPr="00C10D10">
        <w:rPr>
          <w:szCs w:val="24"/>
        </w:rPr>
        <w:t>limits to be applied during facility operation.</w:t>
      </w:r>
      <w:r w:rsidR="005261A2">
        <w:rPr>
          <w:szCs w:val="24"/>
        </w:rPr>
        <w:t xml:space="preserve"> </w:t>
      </w:r>
      <w:r w:rsidR="005261A2" w:rsidRPr="00F543D6">
        <w:t xml:space="preserve">More specifically, exceeding a dose constraint </w:t>
      </w:r>
      <w:r w:rsidR="005261A2" w:rsidRPr="00DE46AB">
        <w:t>should</w:t>
      </w:r>
      <w:r w:rsidR="005261A2" w:rsidRPr="00F543D6">
        <w:t xml:space="preserve"> not represent a regulatory infraction, as wo</w:t>
      </w:r>
      <w:r w:rsidR="005261A2" w:rsidRPr="00DE46AB">
        <w:t xml:space="preserve">uld be the case </w:t>
      </w:r>
      <w:r w:rsidR="005261A2">
        <w:t xml:space="preserve">if </w:t>
      </w:r>
      <w:r w:rsidR="000B3690">
        <w:t>the</w:t>
      </w:r>
      <w:r w:rsidR="000B3690" w:rsidRPr="00DE46AB">
        <w:t xml:space="preserve"> </w:t>
      </w:r>
      <w:r w:rsidR="005261A2" w:rsidRPr="00DE46AB">
        <w:t>dose limit</w:t>
      </w:r>
      <w:r w:rsidR="005261A2">
        <w:t xml:space="preserve"> were to be exceeded</w:t>
      </w:r>
      <w:r w:rsidR="005261A2" w:rsidRPr="00DE46AB">
        <w:t>.</w:t>
      </w:r>
    </w:p>
    <w:p w:rsidR="006F0026" w:rsidRPr="00C10D10" w:rsidRDefault="005261A2" w:rsidP="0091132F">
      <w:pPr>
        <w:pStyle w:val="ListParagraph"/>
        <w:numPr>
          <w:ilvl w:val="0"/>
          <w:numId w:val="7"/>
        </w:numPr>
        <w:autoSpaceDE w:val="0"/>
        <w:autoSpaceDN w:val="0"/>
        <w:adjustRightInd w:val="0"/>
        <w:spacing w:before="120"/>
        <w:contextualSpacing w:val="0"/>
        <w:jc w:val="both"/>
        <w:rPr>
          <w:szCs w:val="24"/>
        </w:rPr>
      </w:pPr>
      <w:r>
        <w:rPr>
          <w:szCs w:val="24"/>
        </w:rPr>
        <w:t>In</w:t>
      </w:r>
      <w:r w:rsidRPr="00C10D10">
        <w:rPr>
          <w:szCs w:val="24"/>
        </w:rPr>
        <w:t xml:space="preserve"> </w:t>
      </w:r>
      <w:r w:rsidR="001F703C" w:rsidRPr="00C10D10">
        <w:rPr>
          <w:szCs w:val="24"/>
        </w:rPr>
        <w:t xml:space="preserve">setting </w:t>
      </w:r>
      <w:r>
        <w:rPr>
          <w:szCs w:val="24"/>
        </w:rPr>
        <w:t>a</w:t>
      </w:r>
      <w:r w:rsidRPr="00C10D10">
        <w:rPr>
          <w:szCs w:val="24"/>
        </w:rPr>
        <w:t xml:space="preserve"> </w:t>
      </w:r>
      <w:r w:rsidR="001F703C" w:rsidRPr="00C10D10">
        <w:rPr>
          <w:szCs w:val="24"/>
        </w:rPr>
        <w:t>dose constraint, t</w:t>
      </w:r>
      <w:r w:rsidR="006F0026" w:rsidRPr="00C10D10">
        <w:rPr>
          <w:szCs w:val="24"/>
        </w:rPr>
        <w:t xml:space="preserve">he government or the regulatory body </w:t>
      </w:r>
      <w:r w:rsidR="001F703C" w:rsidRPr="00C10D10">
        <w:rPr>
          <w:szCs w:val="24"/>
        </w:rPr>
        <w:t>should</w:t>
      </w:r>
      <w:r w:rsidR="006F0026" w:rsidRPr="00C10D10">
        <w:rPr>
          <w:szCs w:val="24"/>
        </w:rPr>
        <w:t xml:space="preserve"> take </w:t>
      </w:r>
      <w:r>
        <w:rPr>
          <w:szCs w:val="24"/>
        </w:rPr>
        <w:t xml:space="preserve">the following </w:t>
      </w:r>
      <w:r w:rsidR="006F0026" w:rsidRPr="00C10D10">
        <w:rPr>
          <w:szCs w:val="24"/>
        </w:rPr>
        <w:t>into account</w:t>
      </w:r>
      <w:r w:rsidR="001F703C" w:rsidRPr="00C10D10">
        <w:rPr>
          <w:szCs w:val="24"/>
        </w:rPr>
        <w:t>:</w:t>
      </w:r>
    </w:p>
    <w:p w:rsidR="006F0026" w:rsidRPr="00C10D10" w:rsidRDefault="006F0026" w:rsidP="0091132F">
      <w:pPr>
        <w:pStyle w:val="ListNumber2"/>
        <w:numPr>
          <w:ilvl w:val="0"/>
          <w:numId w:val="27"/>
        </w:numPr>
        <w:ind w:left="567" w:hanging="567"/>
      </w:pPr>
      <w:r w:rsidRPr="00C10D10">
        <w:t xml:space="preserve">The characteristics of </w:t>
      </w:r>
      <w:r w:rsidR="00C7464F" w:rsidRPr="00C10D10">
        <w:t>the location</w:t>
      </w:r>
      <w:r w:rsidR="006C4DFB" w:rsidRPr="00C10D10">
        <w:t xml:space="preserve"> </w:t>
      </w:r>
      <w:r w:rsidRPr="00C10D10">
        <w:t xml:space="preserve">that are of relevance for </w:t>
      </w:r>
      <w:r w:rsidR="00E21E6E" w:rsidRPr="00C10D10">
        <w:t xml:space="preserve">the level of </w:t>
      </w:r>
      <w:r w:rsidRPr="00C10D10">
        <w:t>public exposure</w:t>
      </w:r>
      <w:r w:rsidR="001F703C" w:rsidRPr="00C10D10">
        <w:t>, for example</w:t>
      </w:r>
      <w:r w:rsidR="006C4DFB" w:rsidRPr="00C10D10">
        <w:t xml:space="preserve"> exposure </w:t>
      </w:r>
      <w:r w:rsidR="001F703C" w:rsidRPr="00C10D10">
        <w:t>pathways</w:t>
      </w:r>
      <w:r w:rsidR="006C4DFB" w:rsidRPr="00C10D10">
        <w:t xml:space="preserve">, habit data and </w:t>
      </w:r>
      <w:r w:rsidR="00551AD9">
        <w:t xml:space="preserve">time </w:t>
      </w:r>
      <w:r w:rsidR="006C4DFB" w:rsidRPr="00C10D10">
        <w:t>occupation factors</w:t>
      </w:r>
      <w:r w:rsidR="00CF093A" w:rsidRPr="00C10D10">
        <w:t>.</w:t>
      </w:r>
    </w:p>
    <w:p w:rsidR="002947F7" w:rsidRDefault="00800480" w:rsidP="0091132F">
      <w:pPr>
        <w:pStyle w:val="ListNumber2"/>
        <w:numPr>
          <w:ilvl w:val="0"/>
          <w:numId w:val="27"/>
        </w:numPr>
        <w:ind w:left="567" w:hanging="567"/>
      </w:pPr>
      <w:r w:rsidRPr="00C10D10">
        <w:t>The possibl</w:t>
      </w:r>
      <w:r w:rsidR="007E1C76">
        <w:t>e</w:t>
      </w:r>
      <w:r w:rsidR="006F0026" w:rsidRPr="00C10D10">
        <w:t xml:space="preserve"> contribution</w:t>
      </w:r>
      <w:r w:rsidR="007E1C76">
        <w:t xml:space="preserve"> to the dose</w:t>
      </w:r>
      <w:r w:rsidR="006F0026" w:rsidRPr="00C10D10">
        <w:t xml:space="preserve"> from other authorized </w:t>
      </w:r>
      <w:r w:rsidR="005261A2" w:rsidRPr="00C10D10">
        <w:t xml:space="preserve">facilities and activities </w:t>
      </w:r>
      <w:r w:rsidR="0095011A" w:rsidRPr="00C10D10">
        <w:t>or foreseeable</w:t>
      </w:r>
      <w:r w:rsidR="005A4E13" w:rsidRPr="00C10D10">
        <w:t xml:space="preserve"> future</w:t>
      </w:r>
      <w:r w:rsidR="007C264C" w:rsidRPr="00C10D10">
        <w:t xml:space="preserve"> </w:t>
      </w:r>
      <w:r w:rsidR="006C4DFB" w:rsidRPr="00C10D10">
        <w:t>facilities and activities</w:t>
      </w:r>
      <w:r w:rsidR="00CF093A" w:rsidRPr="00C10D10">
        <w:t xml:space="preserve">. </w:t>
      </w:r>
    </w:p>
    <w:p w:rsidR="002F423A" w:rsidRPr="00C10D10" w:rsidRDefault="00CD22B1" w:rsidP="0091132F">
      <w:pPr>
        <w:pStyle w:val="ListParagraph"/>
        <w:numPr>
          <w:ilvl w:val="0"/>
          <w:numId w:val="7"/>
        </w:numPr>
        <w:autoSpaceDE w:val="0"/>
        <w:autoSpaceDN w:val="0"/>
        <w:adjustRightInd w:val="0"/>
        <w:spacing w:before="120"/>
        <w:contextualSpacing w:val="0"/>
        <w:jc w:val="both"/>
        <w:rPr>
          <w:szCs w:val="24"/>
        </w:rPr>
      </w:pPr>
      <w:r>
        <w:rPr>
          <w:szCs w:val="24"/>
        </w:rPr>
        <w:lastRenderedPageBreak/>
        <w:t>Although d</w:t>
      </w:r>
      <w:r w:rsidR="001E7BD9" w:rsidRPr="00C10D10">
        <w:rPr>
          <w:szCs w:val="24"/>
        </w:rPr>
        <w:t xml:space="preserve">ose constraints </w:t>
      </w:r>
      <w:r w:rsidR="0095011A" w:rsidRPr="00C10D10">
        <w:rPr>
          <w:szCs w:val="24"/>
        </w:rPr>
        <w:t xml:space="preserve">should </w:t>
      </w:r>
      <w:r w:rsidR="001E7BD9" w:rsidRPr="00C10D10">
        <w:rPr>
          <w:szCs w:val="24"/>
        </w:rPr>
        <w:t xml:space="preserve">be set at </w:t>
      </w:r>
      <w:r>
        <w:rPr>
          <w:szCs w:val="24"/>
        </w:rPr>
        <w:t xml:space="preserve">a </w:t>
      </w:r>
      <w:r w:rsidR="005261A2">
        <w:rPr>
          <w:szCs w:val="24"/>
        </w:rPr>
        <w:t>value</w:t>
      </w:r>
      <w:r w:rsidR="005261A2" w:rsidRPr="00C10D10">
        <w:rPr>
          <w:szCs w:val="24"/>
        </w:rPr>
        <w:t xml:space="preserve"> </w:t>
      </w:r>
      <w:r w:rsidR="001E7BD9" w:rsidRPr="00C10D10">
        <w:rPr>
          <w:szCs w:val="24"/>
        </w:rPr>
        <w:t>that depend</w:t>
      </w:r>
      <w:r>
        <w:rPr>
          <w:szCs w:val="24"/>
        </w:rPr>
        <w:t>s</w:t>
      </w:r>
      <w:r w:rsidR="001E7BD9" w:rsidRPr="00C10D10">
        <w:rPr>
          <w:szCs w:val="24"/>
        </w:rPr>
        <w:t xml:space="preserve"> on the </w:t>
      </w:r>
      <w:r w:rsidR="00281CAE" w:rsidRPr="00C10D10">
        <w:rPr>
          <w:szCs w:val="24"/>
        </w:rPr>
        <w:t xml:space="preserve">specific </w:t>
      </w:r>
      <w:r w:rsidR="001E7BD9" w:rsidRPr="00C10D10">
        <w:rPr>
          <w:szCs w:val="24"/>
        </w:rPr>
        <w:t xml:space="preserve">facility </w:t>
      </w:r>
      <w:r w:rsidR="00281CAE" w:rsidRPr="00C10D10">
        <w:rPr>
          <w:szCs w:val="24"/>
        </w:rPr>
        <w:t xml:space="preserve">or activity </w:t>
      </w:r>
      <w:r w:rsidR="001E7BD9" w:rsidRPr="00C10D10">
        <w:rPr>
          <w:szCs w:val="24"/>
        </w:rPr>
        <w:t xml:space="preserve">and </w:t>
      </w:r>
      <w:r w:rsidR="000B6CCF" w:rsidRPr="00C10D10">
        <w:rPr>
          <w:szCs w:val="24"/>
        </w:rPr>
        <w:t xml:space="preserve">the expected exposure conditions at </w:t>
      </w:r>
      <w:r w:rsidR="001E7BD9" w:rsidRPr="00C10D10">
        <w:rPr>
          <w:szCs w:val="24"/>
        </w:rPr>
        <w:t>its location</w:t>
      </w:r>
      <w:r>
        <w:rPr>
          <w:szCs w:val="24"/>
        </w:rPr>
        <w:t>,</w:t>
      </w:r>
      <w:r w:rsidR="00C505DE">
        <w:rPr>
          <w:szCs w:val="24"/>
        </w:rPr>
        <w:t xml:space="preserve"> </w:t>
      </w:r>
      <w:r w:rsidR="001E7BD9" w:rsidRPr="00C10D10">
        <w:rPr>
          <w:szCs w:val="24"/>
        </w:rPr>
        <w:t xml:space="preserve">national authorities may choose to develop generic dose constraints, for facilities </w:t>
      </w:r>
      <w:r w:rsidR="00463AED">
        <w:rPr>
          <w:szCs w:val="24"/>
        </w:rPr>
        <w:t xml:space="preserve">or </w:t>
      </w:r>
      <w:r w:rsidR="000B6CCF" w:rsidRPr="00C10D10">
        <w:rPr>
          <w:szCs w:val="24"/>
        </w:rPr>
        <w:t xml:space="preserve">activities </w:t>
      </w:r>
      <w:r w:rsidR="001E7BD9" w:rsidRPr="00C10D10">
        <w:rPr>
          <w:szCs w:val="24"/>
        </w:rPr>
        <w:t xml:space="preserve">of a </w:t>
      </w:r>
      <w:r w:rsidR="00281CAE" w:rsidRPr="00C10D10">
        <w:rPr>
          <w:szCs w:val="24"/>
        </w:rPr>
        <w:t xml:space="preserve">similar </w:t>
      </w:r>
      <w:r w:rsidR="001E7BD9" w:rsidRPr="00C10D10">
        <w:rPr>
          <w:szCs w:val="24"/>
        </w:rPr>
        <w:t>design</w:t>
      </w:r>
      <w:r w:rsidR="000B6CCF" w:rsidRPr="00C10D10">
        <w:rPr>
          <w:szCs w:val="24"/>
        </w:rPr>
        <w:t xml:space="preserve"> or characteristics (</w:t>
      </w:r>
      <w:proofErr w:type="spellStart"/>
      <w:r w:rsidR="0029731B">
        <w:rPr>
          <w:szCs w:val="24"/>
        </w:rPr>
        <w:t>e.g</w:t>
      </w:r>
      <w:proofErr w:type="spellEnd"/>
      <w:r w:rsidR="000B6CCF" w:rsidRPr="00C10D10">
        <w:rPr>
          <w:szCs w:val="24"/>
        </w:rPr>
        <w:t xml:space="preserve"> nuclear </w:t>
      </w:r>
      <w:r w:rsidR="00072CF2">
        <w:rPr>
          <w:szCs w:val="24"/>
        </w:rPr>
        <w:t>installations</w:t>
      </w:r>
      <w:r w:rsidR="000B6CCF" w:rsidRPr="00C10D10">
        <w:rPr>
          <w:szCs w:val="24"/>
        </w:rPr>
        <w:t xml:space="preserve">, uranium mining and </w:t>
      </w:r>
      <w:r w:rsidR="005261A2">
        <w:rPr>
          <w:szCs w:val="24"/>
        </w:rPr>
        <w:t>processing</w:t>
      </w:r>
      <w:r w:rsidR="000B6CCF" w:rsidRPr="00C10D10">
        <w:rPr>
          <w:szCs w:val="24"/>
        </w:rPr>
        <w:t>, industrial and medical applications).</w:t>
      </w:r>
      <w:r w:rsidR="002F423A" w:rsidRPr="00C10D10">
        <w:rPr>
          <w:szCs w:val="24"/>
        </w:rPr>
        <w:t xml:space="preserve"> </w:t>
      </w:r>
      <w:r w:rsidR="000C5D31" w:rsidRPr="00C10D10">
        <w:rPr>
          <w:szCs w:val="24"/>
        </w:rPr>
        <w:t xml:space="preserve">The </w:t>
      </w:r>
      <w:r w:rsidR="00E7351C" w:rsidRPr="00C10D10">
        <w:rPr>
          <w:szCs w:val="24"/>
        </w:rPr>
        <w:t>specification</w:t>
      </w:r>
      <w:r w:rsidR="000C5D31" w:rsidRPr="00C10D10">
        <w:rPr>
          <w:szCs w:val="24"/>
        </w:rPr>
        <w:t xml:space="preserve"> and use of generic and specific dose constraints</w:t>
      </w:r>
      <w:r w:rsidR="00281CAE" w:rsidRPr="00C10D10">
        <w:rPr>
          <w:szCs w:val="24"/>
        </w:rPr>
        <w:t xml:space="preserve"> in the process of optimization of the protection of the public </w:t>
      </w:r>
      <w:r w:rsidR="000C5D31" w:rsidRPr="00C10D10">
        <w:rPr>
          <w:szCs w:val="24"/>
        </w:rPr>
        <w:t xml:space="preserve">is </w:t>
      </w:r>
      <w:r w:rsidR="001354A8">
        <w:rPr>
          <w:szCs w:val="24"/>
        </w:rPr>
        <w:t xml:space="preserve">described </w:t>
      </w:r>
      <w:r w:rsidR="0029731B">
        <w:rPr>
          <w:szCs w:val="24"/>
        </w:rPr>
        <w:t>further</w:t>
      </w:r>
      <w:r w:rsidR="000C5D31" w:rsidRPr="00C10D10">
        <w:rPr>
          <w:szCs w:val="24"/>
        </w:rPr>
        <w:t xml:space="preserve"> </w:t>
      </w:r>
      <w:r w:rsidR="002947F7">
        <w:rPr>
          <w:szCs w:val="24"/>
        </w:rPr>
        <w:t xml:space="preserve">in </w:t>
      </w:r>
      <w:r w:rsidR="00E25C77" w:rsidRPr="00C10D10">
        <w:rPr>
          <w:szCs w:val="24"/>
        </w:rPr>
        <w:t>Annex</w:t>
      </w:r>
      <w:r w:rsidR="0029731B">
        <w:rPr>
          <w:szCs w:val="24"/>
        </w:rPr>
        <w:t xml:space="preserve"> I</w:t>
      </w:r>
      <w:r w:rsidR="00281CAE" w:rsidRPr="00C10D10">
        <w:rPr>
          <w:szCs w:val="24"/>
        </w:rPr>
        <w:t>.</w:t>
      </w:r>
      <w:r w:rsidR="00E25C77" w:rsidRPr="00C10D10">
        <w:rPr>
          <w:szCs w:val="24"/>
        </w:rPr>
        <w:t xml:space="preserve"> </w:t>
      </w:r>
    </w:p>
    <w:p w:rsidR="006B2089" w:rsidRPr="00C10D10" w:rsidRDefault="001924B2" w:rsidP="007A4208">
      <w:pPr>
        <w:pStyle w:val="Heading2"/>
        <w:rPr>
          <w:caps w:val="0"/>
          <w:lang w:val="en-GB"/>
        </w:rPr>
      </w:pPr>
      <w:bookmarkStart w:id="42" w:name="_Toc452966951"/>
      <w:r w:rsidRPr="00C10D10">
        <w:rPr>
          <w:caps w:val="0"/>
          <w:lang w:val="en-GB"/>
        </w:rPr>
        <w:t>CHARACTERIZATION OF DISCHARGES AND EXPOSURE SCENARIOS</w:t>
      </w:r>
      <w:bookmarkEnd w:id="42"/>
    </w:p>
    <w:p w:rsidR="002F423A" w:rsidRPr="00C10D10" w:rsidRDefault="0029731B" w:rsidP="0091132F">
      <w:pPr>
        <w:pStyle w:val="ListParagraph"/>
        <w:numPr>
          <w:ilvl w:val="0"/>
          <w:numId w:val="7"/>
        </w:numPr>
        <w:autoSpaceDE w:val="0"/>
        <w:autoSpaceDN w:val="0"/>
        <w:adjustRightInd w:val="0"/>
        <w:spacing w:before="120"/>
        <w:contextualSpacing w:val="0"/>
        <w:jc w:val="both"/>
        <w:rPr>
          <w:szCs w:val="24"/>
        </w:rPr>
      </w:pPr>
      <w:r>
        <w:rPr>
          <w:szCs w:val="24"/>
        </w:rPr>
        <w:t>A p</w:t>
      </w:r>
      <w:r w:rsidR="006B2089" w:rsidRPr="00C10D10">
        <w:rPr>
          <w:szCs w:val="24"/>
        </w:rPr>
        <w:t>re</w:t>
      </w:r>
      <w:r w:rsidR="00245487">
        <w:rPr>
          <w:szCs w:val="24"/>
        </w:rPr>
        <w:t>-</w:t>
      </w:r>
      <w:r w:rsidR="006B2089" w:rsidRPr="00C10D10">
        <w:rPr>
          <w:szCs w:val="24"/>
        </w:rPr>
        <w:t xml:space="preserve">operational </w:t>
      </w:r>
      <w:r w:rsidR="007D1CCA">
        <w:rPr>
          <w:szCs w:val="24"/>
        </w:rPr>
        <w:t>analysis</w:t>
      </w:r>
      <w:r w:rsidR="006B2089" w:rsidRPr="00C10D10">
        <w:rPr>
          <w:szCs w:val="24"/>
        </w:rPr>
        <w:t xml:space="preserve"> should be </w:t>
      </w:r>
      <w:r w:rsidR="005261A2">
        <w:rPr>
          <w:szCs w:val="24"/>
        </w:rPr>
        <w:t>carried out</w:t>
      </w:r>
      <w:r w:rsidR="005261A2" w:rsidRPr="00C10D10">
        <w:rPr>
          <w:szCs w:val="24"/>
        </w:rPr>
        <w:t xml:space="preserve"> </w:t>
      </w:r>
      <w:r w:rsidR="001C0C71" w:rsidRPr="00C10D10">
        <w:rPr>
          <w:szCs w:val="24"/>
        </w:rPr>
        <w:t xml:space="preserve">to </w:t>
      </w:r>
      <w:r w:rsidR="00E4192C" w:rsidRPr="00C10D10">
        <w:rPr>
          <w:szCs w:val="24"/>
        </w:rPr>
        <w:t>identify the</w:t>
      </w:r>
      <w:r w:rsidR="006B2089" w:rsidRPr="00C10D10">
        <w:rPr>
          <w:szCs w:val="24"/>
        </w:rPr>
        <w:t xml:space="preserve"> inventories of radionuclides</w:t>
      </w:r>
      <w:r w:rsidR="001C0C71" w:rsidRPr="00C10D10">
        <w:rPr>
          <w:szCs w:val="24"/>
        </w:rPr>
        <w:t xml:space="preserve"> </w:t>
      </w:r>
      <w:r w:rsidR="005261A2">
        <w:rPr>
          <w:szCs w:val="24"/>
        </w:rPr>
        <w:t>that</w:t>
      </w:r>
      <w:r w:rsidR="005261A2" w:rsidRPr="00C10D10">
        <w:rPr>
          <w:szCs w:val="24"/>
        </w:rPr>
        <w:t xml:space="preserve"> </w:t>
      </w:r>
      <w:r w:rsidR="001C0C71" w:rsidRPr="00C10D10">
        <w:rPr>
          <w:szCs w:val="24"/>
        </w:rPr>
        <w:t xml:space="preserve">would result in </w:t>
      </w:r>
      <w:r>
        <w:rPr>
          <w:szCs w:val="24"/>
        </w:rPr>
        <w:t>discharges</w:t>
      </w:r>
      <w:r w:rsidRPr="00C10D10">
        <w:rPr>
          <w:szCs w:val="24"/>
        </w:rPr>
        <w:t xml:space="preserve"> </w:t>
      </w:r>
      <w:r w:rsidR="006B2089" w:rsidRPr="00C10D10">
        <w:rPr>
          <w:szCs w:val="24"/>
        </w:rPr>
        <w:t>during operation of a facility</w:t>
      </w:r>
      <w:r w:rsidR="000B6CCF" w:rsidRPr="00C10D10">
        <w:rPr>
          <w:szCs w:val="24"/>
        </w:rPr>
        <w:t xml:space="preserve"> or conduct of the activity</w:t>
      </w:r>
      <w:r w:rsidR="006B2089" w:rsidRPr="00C10D10">
        <w:rPr>
          <w:szCs w:val="24"/>
        </w:rPr>
        <w:t xml:space="preserve">, the possible discharge </w:t>
      </w:r>
      <w:r w:rsidR="001C0C71" w:rsidRPr="00C10D10">
        <w:rPr>
          <w:szCs w:val="24"/>
        </w:rPr>
        <w:t xml:space="preserve">routes, the amounts that </w:t>
      </w:r>
      <w:r w:rsidR="005261A2">
        <w:rPr>
          <w:szCs w:val="24"/>
        </w:rPr>
        <w:t>would</w:t>
      </w:r>
      <w:r w:rsidR="005261A2" w:rsidRPr="00C10D10">
        <w:rPr>
          <w:szCs w:val="24"/>
        </w:rPr>
        <w:t xml:space="preserve"> </w:t>
      </w:r>
      <w:r w:rsidR="001C0C71" w:rsidRPr="00C10D10">
        <w:rPr>
          <w:szCs w:val="24"/>
        </w:rPr>
        <w:t xml:space="preserve">be discharged to the environment and the radiation exposure </w:t>
      </w:r>
      <w:r w:rsidR="006B2089" w:rsidRPr="00C10D10">
        <w:rPr>
          <w:szCs w:val="24"/>
        </w:rPr>
        <w:t>pathways</w:t>
      </w:r>
      <w:r w:rsidR="000C39A0" w:rsidRPr="00C10D10">
        <w:rPr>
          <w:szCs w:val="24"/>
        </w:rPr>
        <w:t>,</w:t>
      </w:r>
      <w:r w:rsidR="001C0C71" w:rsidRPr="00C10D10">
        <w:rPr>
          <w:szCs w:val="24"/>
        </w:rPr>
        <w:t xml:space="preserve"> and other relevant data that could be used to estimate dose</w:t>
      </w:r>
      <w:r w:rsidR="0056677E" w:rsidRPr="00C10D10">
        <w:rPr>
          <w:szCs w:val="24"/>
        </w:rPr>
        <w:t>s</w:t>
      </w:r>
      <w:r w:rsidR="001C0C71" w:rsidRPr="00C10D10">
        <w:rPr>
          <w:szCs w:val="24"/>
        </w:rPr>
        <w:t xml:space="preserve"> to members of the public.</w:t>
      </w:r>
      <w:r w:rsidR="002F423A" w:rsidRPr="00C10D10">
        <w:rPr>
          <w:szCs w:val="24"/>
        </w:rPr>
        <w:t xml:space="preserve"> </w:t>
      </w:r>
      <w:r w:rsidR="000B6CCF" w:rsidRPr="00C10D10">
        <w:rPr>
          <w:szCs w:val="24"/>
        </w:rPr>
        <w:t xml:space="preserve">This could be based on </w:t>
      </w:r>
      <w:r w:rsidR="000C39A0" w:rsidRPr="00C10D10">
        <w:rPr>
          <w:szCs w:val="24"/>
        </w:rPr>
        <w:t>specific</w:t>
      </w:r>
      <w:r w:rsidR="000B6CCF" w:rsidRPr="00C10D10">
        <w:rPr>
          <w:szCs w:val="24"/>
        </w:rPr>
        <w:t xml:space="preserve"> </w:t>
      </w:r>
      <w:r w:rsidR="008E1FF4" w:rsidRPr="00C10D10">
        <w:rPr>
          <w:szCs w:val="24"/>
        </w:rPr>
        <w:t xml:space="preserve">analysis </w:t>
      </w:r>
      <w:r w:rsidR="000B6CCF" w:rsidRPr="00C10D10">
        <w:rPr>
          <w:szCs w:val="24"/>
        </w:rPr>
        <w:t xml:space="preserve">for the practice under consideration or based on the experience </w:t>
      </w:r>
      <w:r w:rsidR="000C39A0" w:rsidRPr="00C10D10">
        <w:rPr>
          <w:szCs w:val="24"/>
        </w:rPr>
        <w:t>in</w:t>
      </w:r>
      <w:r w:rsidR="000B6CCF" w:rsidRPr="00C10D10">
        <w:rPr>
          <w:szCs w:val="24"/>
        </w:rPr>
        <w:t xml:space="preserve"> similar practices. </w:t>
      </w:r>
    </w:p>
    <w:p w:rsidR="002F423A" w:rsidRPr="00C10D10" w:rsidRDefault="006B2089"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need for a detailed characterization of the </w:t>
      </w:r>
      <w:r w:rsidR="00792E34" w:rsidRPr="00C10D10">
        <w:rPr>
          <w:szCs w:val="24"/>
        </w:rPr>
        <w:t>discharges should depend on</w:t>
      </w:r>
      <w:r w:rsidRPr="00C10D10">
        <w:rPr>
          <w:szCs w:val="24"/>
        </w:rPr>
        <w:t xml:space="preserve"> the </w:t>
      </w:r>
      <w:r w:rsidR="008E1FF4">
        <w:rPr>
          <w:szCs w:val="24"/>
        </w:rPr>
        <w:t>expected</w:t>
      </w:r>
      <w:r w:rsidR="008E1FF4" w:rsidRPr="00C10D10">
        <w:rPr>
          <w:szCs w:val="24"/>
        </w:rPr>
        <w:t xml:space="preserve"> </w:t>
      </w:r>
      <w:r w:rsidRPr="00C10D10">
        <w:rPr>
          <w:szCs w:val="24"/>
        </w:rPr>
        <w:t xml:space="preserve">magnitude of the dose to the </w:t>
      </w:r>
      <w:r w:rsidR="008B0DA6" w:rsidRPr="00C10D10">
        <w:rPr>
          <w:szCs w:val="24"/>
        </w:rPr>
        <w:t>members of the public</w:t>
      </w:r>
      <w:r w:rsidR="005261A2">
        <w:rPr>
          <w:szCs w:val="24"/>
        </w:rPr>
        <w:t>,</w:t>
      </w:r>
      <w:r w:rsidRPr="00C10D10">
        <w:rPr>
          <w:szCs w:val="24"/>
        </w:rPr>
        <w:t xml:space="preserve"> in accordance with </w:t>
      </w:r>
      <w:r w:rsidR="00C5228E">
        <w:rPr>
          <w:szCs w:val="24"/>
        </w:rPr>
        <w:t>a</w:t>
      </w:r>
      <w:r w:rsidR="00C5228E" w:rsidRPr="00C10D10">
        <w:rPr>
          <w:szCs w:val="24"/>
        </w:rPr>
        <w:t xml:space="preserve"> </w:t>
      </w:r>
      <w:r w:rsidRPr="00C10D10">
        <w:rPr>
          <w:szCs w:val="24"/>
        </w:rPr>
        <w:t>graded approach.</w:t>
      </w:r>
      <w:r w:rsidR="002F423A" w:rsidRPr="00C10D10">
        <w:rPr>
          <w:szCs w:val="24"/>
        </w:rPr>
        <w:t xml:space="preserve"> </w:t>
      </w:r>
      <w:r w:rsidRPr="00C10D10">
        <w:rPr>
          <w:szCs w:val="24"/>
        </w:rPr>
        <w:t xml:space="preserve">For small </w:t>
      </w:r>
      <w:r w:rsidR="00C97A21">
        <w:rPr>
          <w:szCs w:val="24"/>
        </w:rPr>
        <w:t>facilities</w:t>
      </w:r>
      <w:r w:rsidR="00566620">
        <w:rPr>
          <w:szCs w:val="24"/>
        </w:rPr>
        <w:t xml:space="preserve"> or activities</w:t>
      </w:r>
      <w:r w:rsidR="00C97A21" w:rsidRPr="00C10D10">
        <w:rPr>
          <w:szCs w:val="24"/>
        </w:rPr>
        <w:t xml:space="preserve"> </w:t>
      </w:r>
      <w:r w:rsidRPr="00C10D10">
        <w:rPr>
          <w:szCs w:val="24"/>
        </w:rPr>
        <w:t>using unsealed radioactive material, such as nuclear medicine departments in hospitals, and research laboratories, consideration should be given to whether the discharges can be assessed on the basis of the estimated throughput, with allowance made for radioactive decay.</w:t>
      </w:r>
      <w:r w:rsidR="002F423A" w:rsidRPr="00C10D10">
        <w:rPr>
          <w:szCs w:val="24"/>
        </w:rPr>
        <w:t xml:space="preserve"> </w:t>
      </w:r>
      <w:r w:rsidRPr="00C10D10">
        <w:rPr>
          <w:szCs w:val="24"/>
        </w:rPr>
        <w:t xml:space="preserve">For nuclear fuel cycle facilities, estimates of discharges should be made from consideration of the design, proposed operating characteristics and efficiency of the techniques used to </w:t>
      </w:r>
      <w:r w:rsidR="004B0BC5">
        <w:rPr>
          <w:szCs w:val="24"/>
        </w:rPr>
        <w:t xml:space="preserve">reduce </w:t>
      </w:r>
      <w:r w:rsidR="004B0BC5" w:rsidRPr="00C10D10">
        <w:rPr>
          <w:szCs w:val="24"/>
        </w:rPr>
        <w:t>the</w:t>
      </w:r>
      <w:r w:rsidRPr="00C10D10">
        <w:rPr>
          <w:szCs w:val="24"/>
        </w:rPr>
        <w:t xml:space="preserve"> discharge</w:t>
      </w:r>
      <w:r w:rsidR="007D1CCA">
        <w:rPr>
          <w:szCs w:val="24"/>
        </w:rPr>
        <w:t>s</w:t>
      </w:r>
      <w:r w:rsidRPr="00C10D10">
        <w:rPr>
          <w:szCs w:val="24"/>
        </w:rPr>
        <w:t xml:space="preserve">. Information from similar </w:t>
      </w:r>
      <w:r w:rsidR="00C97A21">
        <w:rPr>
          <w:szCs w:val="24"/>
        </w:rPr>
        <w:t>facilities</w:t>
      </w:r>
      <w:r w:rsidR="00566620">
        <w:rPr>
          <w:szCs w:val="24"/>
        </w:rPr>
        <w:t xml:space="preserve"> or activities </w:t>
      </w:r>
      <w:r w:rsidRPr="00C10D10">
        <w:rPr>
          <w:szCs w:val="24"/>
        </w:rPr>
        <w:t xml:space="preserve">already in operation elsewhere </w:t>
      </w:r>
      <w:r w:rsidR="00566620">
        <w:rPr>
          <w:szCs w:val="24"/>
        </w:rPr>
        <w:t>c</w:t>
      </w:r>
      <w:r w:rsidRPr="00C10D10">
        <w:rPr>
          <w:szCs w:val="24"/>
        </w:rPr>
        <w:t xml:space="preserve">ould also be </w:t>
      </w:r>
      <w:r w:rsidR="007C56E7" w:rsidRPr="00C10D10">
        <w:rPr>
          <w:szCs w:val="24"/>
        </w:rPr>
        <w:t>used [</w:t>
      </w:r>
      <w:r w:rsidR="00C35AEB">
        <w:rPr>
          <w:szCs w:val="24"/>
        </w:rPr>
        <w:t>21</w:t>
      </w:r>
      <w:r w:rsidRPr="00C10D10">
        <w:rPr>
          <w:szCs w:val="24"/>
        </w:rPr>
        <w:t>]</w:t>
      </w:r>
      <w:proofErr w:type="gramStart"/>
      <w:r w:rsidRPr="00C10D10">
        <w:rPr>
          <w:szCs w:val="24"/>
        </w:rPr>
        <w:t>.</w:t>
      </w:r>
      <w:r w:rsidR="00AE2C19">
        <w:rPr>
          <w:szCs w:val="24"/>
        </w:rPr>
        <w:t>[</w:t>
      </w:r>
      <w:proofErr w:type="gramEnd"/>
      <w:r w:rsidR="00C35AEB">
        <w:rPr>
          <w:szCs w:val="24"/>
        </w:rPr>
        <w:t>check ref – UNSCEAR 2008 is correct?</w:t>
      </w:r>
      <w:r w:rsidR="00AE2C19">
        <w:rPr>
          <w:szCs w:val="24"/>
        </w:rPr>
        <w:t>]</w:t>
      </w:r>
    </w:p>
    <w:p w:rsidR="002F423A" w:rsidRPr="00C10D10" w:rsidRDefault="002C6374"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relative importance of different exposure pathways </w:t>
      </w:r>
      <w:r w:rsidR="000817E8">
        <w:rPr>
          <w:szCs w:val="24"/>
        </w:rPr>
        <w:t>is</w:t>
      </w:r>
      <w:r w:rsidRPr="00C10D10">
        <w:rPr>
          <w:szCs w:val="24"/>
        </w:rPr>
        <w:t xml:space="preserve"> dependent upon the nature </w:t>
      </w:r>
      <w:r w:rsidR="000817E8">
        <w:rPr>
          <w:szCs w:val="24"/>
        </w:rPr>
        <w:t xml:space="preserve">and route </w:t>
      </w:r>
      <w:r w:rsidRPr="00C10D10">
        <w:rPr>
          <w:szCs w:val="24"/>
        </w:rPr>
        <w:t>of the discharge</w:t>
      </w:r>
      <w:r w:rsidR="000817E8">
        <w:rPr>
          <w:szCs w:val="24"/>
        </w:rPr>
        <w:t>s</w:t>
      </w:r>
      <w:r w:rsidRPr="00C10D10">
        <w:rPr>
          <w:szCs w:val="24"/>
        </w:rPr>
        <w:t xml:space="preserve"> and the physical and chemical characteristics of the radionuclides</w:t>
      </w:r>
      <w:r w:rsidR="00767EB0">
        <w:rPr>
          <w:szCs w:val="24"/>
        </w:rPr>
        <w:t>.</w:t>
      </w:r>
      <w:r w:rsidRPr="00C10D10">
        <w:rPr>
          <w:szCs w:val="24"/>
        </w:rPr>
        <w:t xml:space="preserve"> </w:t>
      </w:r>
      <w:r w:rsidR="003A3F75" w:rsidRPr="003A3F75">
        <w:rPr>
          <w:szCs w:val="24"/>
        </w:rPr>
        <w:t>The characterization of the radiation exposure pathways should take into account whether discharges are to the air or water, and</w:t>
      </w:r>
      <w:r w:rsidR="00C35AEB">
        <w:rPr>
          <w:szCs w:val="24"/>
        </w:rPr>
        <w:t>,</w:t>
      </w:r>
      <w:r w:rsidR="003A3F75" w:rsidRPr="003A3F75">
        <w:rPr>
          <w:szCs w:val="24"/>
        </w:rPr>
        <w:t xml:space="preserve"> in the case of liquid discharges, whether the discharge </w:t>
      </w:r>
      <w:r w:rsidR="005261A2">
        <w:rPr>
          <w:szCs w:val="24"/>
        </w:rPr>
        <w:t>is</w:t>
      </w:r>
      <w:r w:rsidR="003A3F75" w:rsidRPr="003A3F75">
        <w:rPr>
          <w:szCs w:val="24"/>
        </w:rPr>
        <w:t xml:space="preserve"> to a marine, estuarine or freshwater environment. </w:t>
      </w:r>
      <w:r w:rsidR="006B2089" w:rsidRPr="00C10D10">
        <w:rPr>
          <w:szCs w:val="24"/>
        </w:rPr>
        <w:t xml:space="preserve">In the case of discharges to </w:t>
      </w:r>
      <w:r w:rsidR="00435925" w:rsidRPr="00C10D10">
        <w:rPr>
          <w:szCs w:val="24"/>
        </w:rPr>
        <w:t xml:space="preserve">the </w:t>
      </w:r>
      <w:r w:rsidR="006B2089" w:rsidRPr="00C10D10">
        <w:rPr>
          <w:szCs w:val="24"/>
        </w:rPr>
        <w:t xml:space="preserve">atmosphere, consideration should be given to </w:t>
      </w:r>
      <w:r w:rsidR="004D4994" w:rsidRPr="00C10D10">
        <w:rPr>
          <w:szCs w:val="24"/>
        </w:rPr>
        <w:t>the</w:t>
      </w:r>
      <w:r w:rsidR="006B2089" w:rsidRPr="00C10D10">
        <w:rPr>
          <w:szCs w:val="24"/>
        </w:rPr>
        <w:t xml:space="preserve"> meteorological </w:t>
      </w:r>
      <w:r w:rsidR="004D4994" w:rsidRPr="00C10D10">
        <w:rPr>
          <w:szCs w:val="24"/>
        </w:rPr>
        <w:t xml:space="preserve">data </w:t>
      </w:r>
      <w:r w:rsidR="005261A2">
        <w:rPr>
          <w:szCs w:val="24"/>
        </w:rPr>
        <w:t>for</w:t>
      </w:r>
      <w:r w:rsidR="00792E34" w:rsidRPr="00C10D10">
        <w:rPr>
          <w:szCs w:val="24"/>
        </w:rPr>
        <w:t xml:space="preserve"> </w:t>
      </w:r>
      <w:r w:rsidR="006B2089" w:rsidRPr="00C10D10">
        <w:rPr>
          <w:szCs w:val="24"/>
        </w:rPr>
        <w:t xml:space="preserve">the site </w:t>
      </w:r>
      <w:r w:rsidR="005261A2">
        <w:rPr>
          <w:szCs w:val="24"/>
        </w:rPr>
        <w:t xml:space="preserve">and its surroundings </w:t>
      </w:r>
      <w:r w:rsidR="006B2089" w:rsidRPr="00C10D10">
        <w:rPr>
          <w:szCs w:val="24"/>
        </w:rPr>
        <w:t xml:space="preserve">and </w:t>
      </w:r>
      <w:r w:rsidR="005261A2">
        <w:rPr>
          <w:szCs w:val="24"/>
        </w:rPr>
        <w:t xml:space="preserve">the </w:t>
      </w:r>
      <w:r w:rsidR="006B2089" w:rsidRPr="00C10D10">
        <w:rPr>
          <w:szCs w:val="24"/>
        </w:rPr>
        <w:t xml:space="preserve">possible deposition of radioactive </w:t>
      </w:r>
      <w:r w:rsidR="00615245">
        <w:rPr>
          <w:szCs w:val="24"/>
        </w:rPr>
        <w:t>substances</w:t>
      </w:r>
      <w:r w:rsidR="00615245" w:rsidRPr="00C10D10">
        <w:rPr>
          <w:szCs w:val="24"/>
        </w:rPr>
        <w:t xml:space="preserve"> </w:t>
      </w:r>
      <w:r w:rsidR="006B2089" w:rsidRPr="00C10D10">
        <w:rPr>
          <w:szCs w:val="24"/>
        </w:rPr>
        <w:t>on land and subsequent transfer to crops and animals.</w:t>
      </w:r>
      <w:r w:rsidR="00F9149A">
        <w:rPr>
          <w:szCs w:val="24"/>
        </w:rPr>
        <w:t xml:space="preserve"> </w:t>
      </w:r>
      <w:r w:rsidR="000817E8" w:rsidRPr="00C10D10">
        <w:rPr>
          <w:szCs w:val="24"/>
        </w:rPr>
        <w:t xml:space="preserve">In the case of discharges to </w:t>
      </w:r>
      <w:r w:rsidR="005261A2">
        <w:rPr>
          <w:szCs w:val="24"/>
        </w:rPr>
        <w:t>water</w:t>
      </w:r>
      <w:r w:rsidR="000817E8" w:rsidRPr="00C10D10">
        <w:rPr>
          <w:szCs w:val="24"/>
        </w:rPr>
        <w:t xml:space="preserve">, consideration should be given to the uses of </w:t>
      </w:r>
      <w:r w:rsidR="005261A2">
        <w:rPr>
          <w:szCs w:val="24"/>
        </w:rPr>
        <w:t xml:space="preserve">the </w:t>
      </w:r>
      <w:r w:rsidR="000817E8" w:rsidRPr="00C10D10">
        <w:rPr>
          <w:szCs w:val="24"/>
        </w:rPr>
        <w:t xml:space="preserve">water, such as for consumption, </w:t>
      </w:r>
      <w:r w:rsidR="006B0DD7">
        <w:rPr>
          <w:szCs w:val="24"/>
        </w:rPr>
        <w:t xml:space="preserve">fisheries and </w:t>
      </w:r>
      <w:r w:rsidR="007D1CCA">
        <w:rPr>
          <w:szCs w:val="24"/>
        </w:rPr>
        <w:t xml:space="preserve">production </w:t>
      </w:r>
      <w:r w:rsidR="006B0DD7">
        <w:rPr>
          <w:szCs w:val="24"/>
        </w:rPr>
        <w:t xml:space="preserve">of aquatic </w:t>
      </w:r>
      <w:r w:rsidR="007C56E7">
        <w:rPr>
          <w:szCs w:val="24"/>
        </w:rPr>
        <w:lastRenderedPageBreak/>
        <w:t>food</w:t>
      </w:r>
      <w:r w:rsidR="000817E8" w:rsidRPr="00C10D10">
        <w:rPr>
          <w:szCs w:val="24"/>
        </w:rPr>
        <w:t xml:space="preserve">, irrigation and recreation. </w:t>
      </w:r>
      <w:r w:rsidR="003866B4" w:rsidRPr="003A3F75">
        <w:rPr>
          <w:szCs w:val="24"/>
        </w:rPr>
        <w:t xml:space="preserve">Some facilities, </w:t>
      </w:r>
      <w:r w:rsidR="003866B4">
        <w:rPr>
          <w:szCs w:val="24"/>
        </w:rPr>
        <w:t>such as</w:t>
      </w:r>
      <w:r w:rsidR="003866B4" w:rsidRPr="003A3F75">
        <w:rPr>
          <w:szCs w:val="24"/>
        </w:rPr>
        <w:t xml:space="preserve"> hospitals and small research laboratories, may discharge radionuclides to the sewerage systems, which could lead to exposures </w:t>
      </w:r>
      <w:r w:rsidR="003866B4">
        <w:rPr>
          <w:szCs w:val="24"/>
        </w:rPr>
        <w:t>of</w:t>
      </w:r>
      <w:r w:rsidR="003866B4" w:rsidRPr="003A3F75">
        <w:rPr>
          <w:szCs w:val="24"/>
        </w:rPr>
        <w:t xml:space="preserve"> </w:t>
      </w:r>
      <w:r w:rsidR="003866B4">
        <w:rPr>
          <w:szCs w:val="24"/>
        </w:rPr>
        <w:t>individuals</w:t>
      </w:r>
      <w:r w:rsidR="003866B4" w:rsidRPr="003A3F75">
        <w:rPr>
          <w:szCs w:val="24"/>
        </w:rPr>
        <w:t xml:space="preserve"> through their occupation (e.g. sewage treatment plant workers</w:t>
      </w:r>
      <w:r w:rsidR="003866B4">
        <w:rPr>
          <w:rStyle w:val="FootnoteReference"/>
          <w:szCs w:val="24"/>
        </w:rPr>
        <w:footnoteReference w:id="17"/>
      </w:r>
      <w:r w:rsidR="003866B4" w:rsidRPr="003A3F75">
        <w:rPr>
          <w:szCs w:val="24"/>
        </w:rPr>
        <w:t xml:space="preserve">) or through the use of sewage sludge for </w:t>
      </w:r>
      <w:r w:rsidR="003866B4">
        <w:rPr>
          <w:szCs w:val="24"/>
        </w:rPr>
        <w:t xml:space="preserve">land fill or </w:t>
      </w:r>
      <w:r w:rsidR="003866B4" w:rsidRPr="003A3F75">
        <w:rPr>
          <w:szCs w:val="24"/>
        </w:rPr>
        <w:t>agricultural purposes</w:t>
      </w:r>
      <w:r w:rsidR="003866B4">
        <w:rPr>
          <w:szCs w:val="24"/>
        </w:rPr>
        <w:t xml:space="preserve">. </w:t>
      </w:r>
      <w:r w:rsidR="00815589">
        <w:rPr>
          <w:szCs w:val="24"/>
        </w:rPr>
        <w:t>Guidance</w:t>
      </w:r>
      <w:r w:rsidR="00C505DE">
        <w:rPr>
          <w:szCs w:val="24"/>
        </w:rPr>
        <w:t xml:space="preserve"> </w:t>
      </w:r>
      <w:r w:rsidR="00F9149A">
        <w:rPr>
          <w:szCs w:val="24"/>
        </w:rPr>
        <w:t xml:space="preserve">on </w:t>
      </w:r>
      <w:r w:rsidR="000817E8">
        <w:rPr>
          <w:szCs w:val="24"/>
        </w:rPr>
        <w:t xml:space="preserve">the selection of </w:t>
      </w:r>
      <w:r w:rsidR="00F9149A">
        <w:rPr>
          <w:szCs w:val="24"/>
        </w:rPr>
        <w:t>exposure pathways</w:t>
      </w:r>
      <w:r w:rsidR="000817E8">
        <w:rPr>
          <w:szCs w:val="24"/>
        </w:rPr>
        <w:t>,</w:t>
      </w:r>
      <w:r w:rsidR="00F9149A">
        <w:rPr>
          <w:szCs w:val="24"/>
        </w:rPr>
        <w:t xml:space="preserve"> </w:t>
      </w:r>
      <w:r w:rsidR="000817E8">
        <w:rPr>
          <w:szCs w:val="24"/>
        </w:rPr>
        <w:t xml:space="preserve">the use of </w:t>
      </w:r>
      <w:r w:rsidR="00F9149A">
        <w:rPr>
          <w:szCs w:val="24"/>
        </w:rPr>
        <w:t xml:space="preserve">meteorological </w:t>
      </w:r>
      <w:r w:rsidR="007C56E7">
        <w:rPr>
          <w:szCs w:val="24"/>
        </w:rPr>
        <w:t xml:space="preserve">and hydrological </w:t>
      </w:r>
      <w:r w:rsidR="00F9149A">
        <w:rPr>
          <w:szCs w:val="24"/>
        </w:rPr>
        <w:t>data and environmental transfer</w:t>
      </w:r>
      <w:r w:rsidR="007C56E7">
        <w:rPr>
          <w:szCs w:val="24"/>
        </w:rPr>
        <w:t xml:space="preserve"> and the estimation of doses</w:t>
      </w:r>
      <w:r w:rsidR="00F9149A">
        <w:rPr>
          <w:szCs w:val="24"/>
        </w:rPr>
        <w:t xml:space="preserve"> can be found in </w:t>
      </w:r>
      <w:r w:rsidR="000817E8">
        <w:rPr>
          <w:szCs w:val="24"/>
        </w:rPr>
        <w:t xml:space="preserve">DS427 </w:t>
      </w:r>
      <w:r w:rsidR="00F9149A">
        <w:rPr>
          <w:szCs w:val="24"/>
        </w:rPr>
        <w:t>[</w:t>
      </w:r>
      <w:r w:rsidR="00C35AEB">
        <w:rPr>
          <w:szCs w:val="24"/>
        </w:rPr>
        <w:t>7</w:t>
      </w:r>
      <w:r w:rsidR="00F9149A">
        <w:rPr>
          <w:szCs w:val="24"/>
        </w:rPr>
        <w:t>]</w:t>
      </w:r>
    </w:p>
    <w:p w:rsidR="002F423A" w:rsidRPr="00C10D10" w:rsidRDefault="002F423A" w:rsidP="00430A0C">
      <w:pPr>
        <w:pStyle w:val="ListParagraph"/>
        <w:autoSpaceDE w:val="0"/>
        <w:autoSpaceDN w:val="0"/>
        <w:adjustRightInd w:val="0"/>
        <w:spacing w:before="120"/>
        <w:contextualSpacing w:val="0"/>
        <w:jc w:val="both"/>
        <w:rPr>
          <w:szCs w:val="24"/>
        </w:rPr>
      </w:pPr>
    </w:p>
    <w:p w:rsidR="002F423A" w:rsidRPr="00C10D10" w:rsidRDefault="006B2089"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Preoperational studies should also be carried out to determine the existing </w:t>
      </w:r>
      <w:r w:rsidR="004D4994" w:rsidRPr="00C10D10">
        <w:rPr>
          <w:szCs w:val="24"/>
        </w:rPr>
        <w:t xml:space="preserve">levels </w:t>
      </w:r>
      <w:r w:rsidR="00435925" w:rsidRPr="00C10D10">
        <w:rPr>
          <w:szCs w:val="24"/>
        </w:rPr>
        <w:t xml:space="preserve">of </w:t>
      </w:r>
      <w:r w:rsidR="007B7F12">
        <w:rPr>
          <w:szCs w:val="24"/>
        </w:rPr>
        <w:t xml:space="preserve">background </w:t>
      </w:r>
      <w:r w:rsidRPr="00C10D10">
        <w:rPr>
          <w:szCs w:val="24"/>
        </w:rPr>
        <w:t xml:space="preserve">radiation in the area surrounding the facility prior to </w:t>
      </w:r>
      <w:r w:rsidR="00564DDE">
        <w:rPr>
          <w:szCs w:val="24"/>
        </w:rPr>
        <w:t xml:space="preserve">its </w:t>
      </w:r>
      <w:r w:rsidRPr="00C10D10">
        <w:rPr>
          <w:szCs w:val="24"/>
        </w:rPr>
        <w:t>operation and should in</w:t>
      </w:r>
      <w:r w:rsidR="00564DDE">
        <w:rPr>
          <w:szCs w:val="24"/>
        </w:rPr>
        <w:t>clude</w:t>
      </w:r>
      <w:r w:rsidRPr="00C10D10">
        <w:rPr>
          <w:szCs w:val="24"/>
        </w:rPr>
        <w:t xml:space="preserve"> the determination of the external radiation levels as well as the concentrations of radionuclides in </w:t>
      </w:r>
      <w:r w:rsidR="004D4994" w:rsidRPr="00C10D10">
        <w:rPr>
          <w:szCs w:val="24"/>
        </w:rPr>
        <w:t xml:space="preserve">the </w:t>
      </w:r>
      <w:r w:rsidRPr="00C10D10">
        <w:rPr>
          <w:szCs w:val="24"/>
        </w:rPr>
        <w:t>environment</w:t>
      </w:r>
      <w:r w:rsidR="004D4994" w:rsidRPr="00C10D10">
        <w:rPr>
          <w:szCs w:val="24"/>
        </w:rPr>
        <w:t xml:space="preserve"> (</w:t>
      </w:r>
      <w:r w:rsidR="00564DDE">
        <w:rPr>
          <w:szCs w:val="24"/>
        </w:rPr>
        <w:t>e.g.</w:t>
      </w:r>
      <w:r w:rsidR="004D4994" w:rsidRPr="00C10D10">
        <w:rPr>
          <w:szCs w:val="24"/>
        </w:rPr>
        <w:t xml:space="preserve"> water, soil, plants, crops, food</w:t>
      </w:r>
      <w:r w:rsidR="00DA0F8E" w:rsidRPr="00C10D10">
        <w:rPr>
          <w:szCs w:val="24"/>
        </w:rPr>
        <w:t>).</w:t>
      </w:r>
      <w:r w:rsidR="002F423A" w:rsidRPr="00C10D10">
        <w:rPr>
          <w:szCs w:val="24"/>
        </w:rPr>
        <w:t xml:space="preserve"> </w:t>
      </w:r>
      <w:r w:rsidRPr="00C10D10">
        <w:rPr>
          <w:szCs w:val="24"/>
        </w:rPr>
        <w:t xml:space="preserve">These studies should </w:t>
      </w:r>
      <w:r w:rsidR="005261A2">
        <w:rPr>
          <w:szCs w:val="24"/>
        </w:rPr>
        <w:t xml:space="preserve">be used to </w:t>
      </w:r>
      <w:r w:rsidRPr="00C10D10">
        <w:rPr>
          <w:szCs w:val="24"/>
        </w:rPr>
        <w:t xml:space="preserve">establish </w:t>
      </w:r>
      <w:r w:rsidR="004D4994" w:rsidRPr="00C10D10">
        <w:rPr>
          <w:szCs w:val="24"/>
        </w:rPr>
        <w:t xml:space="preserve">a baseline </w:t>
      </w:r>
      <w:r w:rsidRPr="00C10D10">
        <w:rPr>
          <w:szCs w:val="24"/>
        </w:rPr>
        <w:t xml:space="preserve">above which the </w:t>
      </w:r>
      <w:r w:rsidR="00095E94">
        <w:rPr>
          <w:szCs w:val="24"/>
        </w:rPr>
        <w:t xml:space="preserve">actual </w:t>
      </w:r>
      <w:r w:rsidRPr="00C10D10">
        <w:rPr>
          <w:szCs w:val="24"/>
        </w:rPr>
        <w:t>impact of the discharge</w:t>
      </w:r>
      <w:r w:rsidR="00564DDE">
        <w:rPr>
          <w:szCs w:val="24"/>
        </w:rPr>
        <w:t>s</w:t>
      </w:r>
      <w:r w:rsidRPr="00C10D10">
        <w:rPr>
          <w:szCs w:val="24"/>
        </w:rPr>
        <w:t xml:space="preserve"> can be </w:t>
      </w:r>
      <w:r w:rsidR="004D4994" w:rsidRPr="00C10D10">
        <w:rPr>
          <w:szCs w:val="24"/>
        </w:rPr>
        <w:t>determined</w:t>
      </w:r>
      <w:r w:rsidRPr="00C10D10">
        <w:rPr>
          <w:szCs w:val="24"/>
        </w:rPr>
        <w:t xml:space="preserve">. This baseline can vary from site to site because of </w:t>
      </w:r>
      <w:r w:rsidR="0056677E" w:rsidRPr="00C10D10">
        <w:rPr>
          <w:szCs w:val="24"/>
        </w:rPr>
        <w:t xml:space="preserve">variations in </w:t>
      </w:r>
      <w:r w:rsidRPr="00C10D10">
        <w:rPr>
          <w:szCs w:val="24"/>
        </w:rPr>
        <w:t xml:space="preserve">natural </w:t>
      </w:r>
      <w:r w:rsidR="0056677E" w:rsidRPr="00C10D10">
        <w:rPr>
          <w:szCs w:val="24"/>
        </w:rPr>
        <w:t xml:space="preserve">background </w:t>
      </w:r>
      <w:r w:rsidRPr="00C10D10">
        <w:rPr>
          <w:szCs w:val="24"/>
        </w:rPr>
        <w:t xml:space="preserve">radiation and </w:t>
      </w:r>
      <w:r w:rsidR="00564DDE">
        <w:rPr>
          <w:szCs w:val="24"/>
        </w:rPr>
        <w:t xml:space="preserve">possible </w:t>
      </w:r>
      <w:r w:rsidRPr="00C10D10">
        <w:rPr>
          <w:szCs w:val="24"/>
        </w:rPr>
        <w:t xml:space="preserve">residual contamination from past practices, accidents or global fallout after nuclear weapon tests. The </w:t>
      </w:r>
      <w:r w:rsidR="00DA0F8E" w:rsidRPr="00C10D10">
        <w:rPr>
          <w:szCs w:val="24"/>
        </w:rPr>
        <w:t>establishment of a</w:t>
      </w:r>
      <w:r w:rsidRPr="00C10D10">
        <w:rPr>
          <w:szCs w:val="24"/>
        </w:rPr>
        <w:t xml:space="preserve"> </w:t>
      </w:r>
      <w:r w:rsidR="00DA0F8E" w:rsidRPr="00C10D10">
        <w:rPr>
          <w:szCs w:val="24"/>
        </w:rPr>
        <w:t xml:space="preserve">baseline </w:t>
      </w:r>
      <w:r w:rsidRPr="00C10D10">
        <w:rPr>
          <w:szCs w:val="24"/>
        </w:rPr>
        <w:t xml:space="preserve">is particularly important </w:t>
      </w:r>
      <w:r w:rsidR="00B32699">
        <w:rPr>
          <w:szCs w:val="24"/>
        </w:rPr>
        <w:t>for</w:t>
      </w:r>
      <w:r w:rsidR="00B32699" w:rsidRPr="00C10D10">
        <w:rPr>
          <w:szCs w:val="24"/>
        </w:rPr>
        <w:t xml:space="preserve"> </w:t>
      </w:r>
      <w:r w:rsidRPr="00C10D10">
        <w:rPr>
          <w:szCs w:val="24"/>
        </w:rPr>
        <w:t xml:space="preserve">practices that discharge </w:t>
      </w:r>
      <w:r w:rsidR="002C6374" w:rsidRPr="00C10D10">
        <w:rPr>
          <w:szCs w:val="24"/>
        </w:rPr>
        <w:t xml:space="preserve">naturally occurring radionuclides (see </w:t>
      </w:r>
      <w:r w:rsidR="001464BA" w:rsidRPr="00C10D10">
        <w:rPr>
          <w:szCs w:val="24"/>
        </w:rPr>
        <w:t xml:space="preserve">Section </w:t>
      </w:r>
      <w:r w:rsidR="00BA7E6D">
        <w:rPr>
          <w:szCs w:val="24"/>
        </w:rPr>
        <w:t>6</w:t>
      </w:r>
      <w:r w:rsidR="002C6374" w:rsidRPr="00C10D10">
        <w:rPr>
          <w:szCs w:val="24"/>
        </w:rPr>
        <w:t>)</w:t>
      </w:r>
      <w:r w:rsidRPr="00C10D10">
        <w:rPr>
          <w:szCs w:val="24"/>
        </w:rPr>
        <w:t xml:space="preserve">. Detailed guidance on undertaking preoperational surveys is given in </w:t>
      </w:r>
      <w:r w:rsidR="00B32699">
        <w:rPr>
          <w:szCs w:val="24"/>
        </w:rPr>
        <w:t xml:space="preserve">RS-G-1.8 </w:t>
      </w:r>
      <w:r w:rsidRPr="00C10D10">
        <w:rPr>
          <w:szCs w:val="24"/>
        </w:rPr>
        <w:t>[</w:t>
      </w:r>
      <w:r w:rsidR="00095E94">
        <w:rPr>
          <w:szCs w:val="24"/>
        </w:rPr>
        <w:t>9</w:t>
      </w:r>
      <w:r w:rsidRPr="00C10D10">
        <w:rPr>
          <w:szCs w:val="24"/>
        </w:rPr>
        <w:t xml:space="preserve">] and </w:t>
      </w:r>
      <w:r w:rsidR="00B32699">
        <w:rPr>
          <w:szCs w:val="24"/>
        </w:rPr>
        <w:t xml:space="preserve">Ref. </w:t>
      </w:r>
      <w:r w:rsidRPr="00C10D10">
        <w:rPr>
          <w:szCs w:val="24"/>
        </w:rPr>
        <w:t>[2</w:t>
      </w:r>
      <w:r w:rsidR="00095E94">
        <w:rPr>
          <w:szCs w:val="24"/>
        </w:rPr>
        <w:t>2</w:t>
      </w:r>
      <w:r w:rsidRPr="00C10D10">
        <w:rPr>
          <w:szCs w:val="24"/>
        </w:rPr>
        <w:t>].</w:t>
      </w:r>
      <w:r w:rsidR="002F423A" w:rsidRPr="00C10D10">
        <w:rPr>
          <w:szCs w:val="24"/>
        </w:rPr>
        <w:t xml:space="preserve"> </w:t>
      </w:r>
    </w:p>
    <w:p w:rsidR="002F423A" w:rsidRPr="00C10D10" w:rsidRDefault="002F423A" w:rsidP="00430A0C">
      <w:pPr>
        <w:pStyle w:val="ListParagraph"/>
        <w:autoSpaceDE w:val="0"/>
        <w:autoSpaceDN w:val="0"/>
        <w:adjustRightInd w:val="0"/>
        <w:spacing w:before="120"/>
        <w:contextualSpacing w:val="0"/>
        <w:jc w:val="both"/>
        <w:rPr>
          <w:szCs w:val="24"/>
        </w:rPr>
      </w:pPr>
    </w:p>
    <w:p w:rsidR="002F423A" w:rsidRPr="00C10D10" w:rsidRDefault="00B32699" w:rsidP="0091132F">
      <w:pPr>
        <w:pStyle w:val="ListParagraph"/>
        <w:numPr>
          <w:ilvl w:val="0"/>
          <w:numId w:val="7"/>
        </w:numPr>
        <w:autoSpaceDE w:val="0"/>
        <w:autoSpaceDN w:val="0"/>
        <w:adjustRightInd w:val="0"/>
        <w:spacing w:before="120"/>
        <w:contextualSpacing w:val="0"/>
        <w:jc w:val="both"/>
        <w:rPr>
          <w:szCs w:val="24"/>
        </w:rPr>
      </w:pPr>
      <w:r>
        <w:rPr>
          <w:szCs w:val="24"/>
        </w:rPr>
        <w:t>If</w:t>
      </w:r>
      <w:r w:rsidRPr="00C10D10">
        <w:rPr>
          <w:szCs w:val="24"/>
        </w:rPr>
        <w:t xml:space="preserve"> </w:t>
      </w:r>
      <w:r w:rsidR="00E4192C" w:rsidRPr="00C10D10">
        <w:rPr>
          <w:szCs w:val="24"/>
        </w:rPr>
        <w:t xml:space="preserve">a discharge could cause significant public exposure outside the territory or other area under the jurisdiction or control of the State in which the discharge takes place, the </w:t>
      </w:r>
      <w:r w:rsidR="005A3563" w:rsidRPr="00C10D10">
        <w:rPr>
          <w:szCs w:val="24"/>
        </w:rPr>
        <w:t>operating organization</w:t>
      </w:r>
      <w:r w:rsidR="00E4192C" w:rsidRPr="00C10D10">
        <w:rPr>
          <w:szCs w:val="24"/>
        </w:rPr>
        <w:t xml:space="preserve"> should make an assessment of the radiological impacts of the discharges on the public and, as necessary,</w:t>
      </w:r>
      <w:r>
        <w:rPr>
          <w:szCs w:val="24"/>
        </w:rPr>
        <w:t xml:space="preserve"> on</w:t>
      </w:r>
      <w:r w:rsidR="00E4192C" w:rsidRPr="00C10D10">
        <w:rPr>
          <w:szCs w:val="24"/>
        </w:rPr>
        <w:t xml:space="preserve"> the environment in these areas. This is particularly important when </w:t>
      </w:r>
      <w:r>
        <w:rPr>
          <w:szCs w:val="24"/>
        </w:rPr>
        <w:t xml:space="preserve">the individuals </w:t>
      </w:r>
      <w:r w:rsidR="00095B6C">
        <w:rPr>
          <w:szCs w:val="24"/>
        </w:rPr>
        <w:t>likely to receive the highest doses</w:t>
      </w:r>
      <w:r w:rsidR="00E4192C" w:rsidRPr="00C10D10">
        <w:rPr>
          <w:szCs w:val="24"/>
        </w:rPr>
        <w:t xml:space="preserve"> may live in a neighbouring </w:t>
      </w:r>
      <w:r>
        <w:rPr>
          <w:szCs w:val="24"/>
        </w:rPr>
        <w:t>State</w:t>
      </w:r>
      <w:r w:rsidR="00E4192C" w:rsidRPr="00C10D10">
        <w:rPr>
          <w:szCs w:val="24"/>
        </w:rPr>
        <w:t xml:space="preserve">, for example, in the case where </w:t>
      </w:r>
      <w:r>
        <w:rPr>
          <w:szCs w:val="24"/>
        </w:rPr>
        <w:t>a</w:t>
      </w:r>
      <w:r w:rsidRPr="00C10D10">
        <w:rPr>
          <w:szCs w:val="24"/>
        </w:rPr>
        <w:t xml:space="preserve"> </w:t>
      </w:r>
      <w:r w:rsidR="00E4192C" w:rsidRPr="00C10D10">
        <w:rPr>
          <w:szCs w:val="24"/>
        </w:rPr>
        <w:t xml:space="preserve">facility is to be constructed </w:t>
      </w:r>
      <w:r w:rsidR="004349DA">
        <w:rPr>
          <w:szCs w:val="24"/>
        </w:rPr>
        <w:t xml:space="preserve">close to </w:t>
      </w:r>
      <w:r w:rsidR="00CA73D2">
        <w:rPr>
          <w:szCs w:val="24"/>
        </w:rPr>
        <w:t xml:space="preserve">a </w:t>
      </w:r>
      <w:r w:rsidR="00CA73D2" w:rsidRPr="00C10D10">
        <w:rPr>
          <w:szCs w:val="24"/>
        </w:rPr>
        <w:t>national</w:t>
      </w:r>
      <w:r w:rsidR="00DA0F8E" w:rsidRPr="00C10D10">
        <w:rPr>
          <w:szCs w:val="24"/>
        </w:rPr>
        <w:t xml:space="preserve"> border or </w:t>
      </w:r>
      <w:r w:rsidR="00E4192C" w:rsidRPr="00C10D10">
        <w:rPr>
          <w:szCs w:val="24"/>
        </w:rPr>
        <w:t>on an international waterway.</w:t>
      </w:r>
      <w:r w:rsidR="002F423A" w:rsidRPr="00C10D10">
        <w:rPr>
          <w:szCs w:val="24"/>
        </w:rPr>
        <w:t xml:space="preserve"> </w:t>
      </w:r>
    </w:p>
    <w:p w:rsidR="003B08B6" w:rsidRPr="00C10D10" w:rsidRDefault="0092133D" w:rsidP="007A4208">
      <w:pPr>
        <w:pStyle w:val="Heading2"/>
        <w:rPr>
          <w:caps w:val="0"/>
          <w:lang w:val="en-GB"/>
        </w:rPr>
      </w:pPr>
      <w:bookmarkStart w:id="43" w:name="_Toc452966952"/>
      <w:r w:rsidRPr="00C10D10">
        <w:rPr>
          <w:caps w:val="0"/>
          <w:lang w:val="en-GB"/>
        </w:rPr>
        <w:t>CONSIDERATION OF OPTIMIZATION OF PROTECTION</w:t>
      </w:r>
      <w:r w:rsidR="00CA73D2">
        <w:rPr>
          <w:caps w:val="0"/>
          <w:lang w:val="en-GB"/>
        </w:rPr>
        <w:t xml:space="preserve"> AND SAF</w:t>
      </w:r>
      <w:r w:rsidR="00922BCE">
        <w:rPr>
          <w:caps w:val="0"/>
          <w:lang w:val="en-GB"/>
        </w:rPr>
        <w:t>E</w:t>
      </w:r>
      <w:r w:rsidR="00CA73D2">
        <w:rPr>
          <w:caps w:val="0"/>
          <w:lang w:val="en-GB"/>
        </w:rPr>
        <w:t>TY</w:t>
      </w:r>
      <w:bookmarkEnd w:id="43"/>
    </w:p>
    <w:p w:rsidR="002F423A" w:rsidRPr="00C10D10" w:rsidRDefault="003B08B6"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Optimization </w:t>
      </w:r>
      <w:r w:rsidR="002E27D1" w:rsidRPr="00C10D10">
        <w:rPr>
          <w:szCs w:val="24"/>
        </w:rPr>
        <w:t xml:space="preserve">of protection </w:t>
      </w:r>
      <w:r w:rsidR="00CA73D2">
        <w:rPr>
          <w:szCs w:val="24"/>
        </w:rPr>
        <w:t xml:space="preserve">and safety </w:t>
      </w:r>
      <w:r w:rsidRPr="00C10D10">
        <w:rPr>
          <w:szCs w:val="24"/>
        </w:rPr>
        <w:t xml:space="preserve">is the key process in </w:t>
      </w:r>
      <w:r w:rsidR="00EA3A77">
        <w:rPr>
          <w:szCs w:val="24"/>
        </w:rPr>
        <w:t>establishing</w:t>
      </w:r>
      <w:r w:rsidR="00F73CB8" w:rsidRPr="00C10D10">
        <w:rPr>
          <w:szCs w:val="24"/>
        </w:rPr>
        <w:t xml:space="preserve"> </w:t>
      </w:r>
      <w:r w:rsidR="00F73CB8">
        <w:rPr>
          <w:szCs w:val="24"/>
        </w:rPr>
        <w:t>an authorization for discharge</w:t>
      </w:r>
      <w:r w:rsidRPr="00C10D10">
        <w:rPr>
          <w:szCs w:val="24"/>
        </w:rPr>
        <w:t xml:space="preserve">s and it involves a number of different aspects. In relation to a discharging </w:t>
      </w:r>
      <w:r w:rsidRPr="00C10D10">
        <w:rPr>
          <w:szCs w:val="24"/>
        </w:rPr>
        <w:lastRenderedPageBreak/>
        <w:t xml:space="preserve">facility </w:t>
      </w:r>
      <w:r w:rsidR="00FA79B9">
        <w:rPr>
          <w:szCs w:val="24"/>
        </w:rPr>
        <w:t>that</w:t>
      </w:r>
      <w:r w:rsidR="00FA79B9" w:rsidRPr="00C10D10">
        <w:rPr>
          <w:szCs w:val="24"/>
        </w:rPr>
        <w:t xml:space="preserve"> </w:t>
      </w:r>
      <w:r w:rsidRPr="00C10D10">
        <w:rPr>
          <w:szCs w:val="24"/>
        </w:rPr>
        <w:t>may cause public exposure</w:t>
      </w:r>
      <w:r w:rsidR="002C7C02" w:rsidRPr="00C10D10">
        <w:rPr>
          <w:szCs w:val="24"/>
        </w:rPr>
        <w:t>,</w:t>
      </w:r>
      <w:r w:rsidRPr="00C10D10">
        <w:rPr>
          <w:szCs w:val="24"/>
        </w:rPr>
        <w:t xml:space="preserve"> optimization should be part of the design and planning process and should also be kept under review throughout the life</w:t>
      </w:r>
      <w:r w:rsidR="009F4206" w:rsidRPr="00C10D10">
        <w:rPr>
          <w:szCs w:val="24"/>
        </w:rPr>
        <w:t>time</w:t>
      </w:r>
      <w:r w:rsidR="002C7C02" w:rsidRPr="00C10D10">
        <w:rPr>
          <w:szCs w:val="24"/>
        </w:rPr>
        <w:t xml:space="preserve"> </w:t>
      </w:r>
      <w:r w:rsidRPr="00C10D10">
        <w:rPr>
          <w:szCs w:val="24"/>
        </w:rPr>
        <w:t xml:space="preserve">of a facility. </w:t>
      </w:r>
      <w:r w:rsidR="002C7C02" w:rsidRPr="00C10D10">
        <w:rPr>
          <w:szCs w:val="24"/>
        </w:rPr>
        <w:t>O</w:t>
      </w:r>
      <w:r w:rsidRPr="00C10D10">
        <w:rPr>
          <w:szCs w:val="24"/>
        </w:rPr>
        <w:t xml:space="preserve">ptimization </w:t>
      </w:r>
      <w:r w:rsidR="00922BCE">
        <w:rPr>
          <w:szCs w:val="24"/>
        </w:rPr>
        <w:t xml:space="preserve">in relation </w:t>
      </w:r>
      <w:r w:rsidR="00FA79B9">
        <w:rPr>
          <w:szCs w:val="24"/>
        </w:rPr>
        <w:t>to</w:t>
      </w:r>
      <w:r w:rsidRPr="00C10D10">
        <w:rPr>
          <w:szCs w:val="24"/>
        </w:rPr>
        <w:t xml:space="preserve"> discharges forms part of the optimization of protection </w:t>
      </w:r>
      <w:r w:rsidR="00F8398F">
        <w:rPr>
          <w:szCs w:val="24"/>
        </w:rPr>
        <w:t xml:space="preserve">and safety </w:t>
      </w:r>
      <w:r w:rsidRPr="00C10D10">
        <w:rPr>
          <w:szCs w:val="24"/>
        </w:rPr>
        <w:t>for the practice as a whole.</w:t>
      </w:r>
      <w:r w:rsidR="002F423A" w:rsidRPr="00C10D10">
        <w:rPr>
          <w:szCs w:val="24"/>
        </w:rPr>
        <w:t xml:space="preserve"> </w:t>
      </w:r>
    </w:p>
    <w:p w:rsidR="002F423A" w:rsidRPr="00C10D10" w:rsidRDefault="003B08B6"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Optimization of </w:t>
      </w:r>
      <w:r w:rsidR="00F8398F">
        <w:rPr>
          <w:szCs w:val="24"/>
        </w:rPr>
        <w:t xml:space="preserve">protection with respect to </w:t>
      </w:r>
      <w:r w:rsidRPr="00C10D10">
        <w:rPr>
          <w:szCs w:val="24"/>
        </w:rPr>
        <w:t xml:space="preserve">the radioactive discharges is not simply a matter of considering the balance between the </w:t>
      </w:r>
      <w:r w:rsidR="002E27D1" w:rsidRPr="00C10D10">
        <w:rPr>
          <w:szCs w:val="24"/>
        </w:rPr>
        <w:t xml:space="preserve">radiation </w:t>
      </w:r>
      <w:r w:rsidRPr="00C10D10">
        <w:rPr>
          <w:szCs w:val="24"/>
        </w:rPr>
        <w:t xml:space="preserve">risks associated with the discharges </w:t>
      </w:r>
      <w:r w:rsidR="002F2C6A" w:rsidRPr="00C10D10">
        <w:rPr>
          <w:szCs w:val="24"/>
        </w:rPr>
        <w:t xml:space="preserve">during normal operation </w:t>
      </w:r>
      <w:r w:rsidRPr="00C10D10">
        <w:rPr>
          <w:szCs w:val="24"/>
        </w:rPr>
        <w:t xml:space="preserve">and the costs of making any reductions. </w:t>
      </w:r>
      <w:r w:rsidR="009676C0">
        <w:rPr>
          <w:szCs w:val="24"/>
        </w:rPr>
        <w:t>The</w:t>
      </w:r>
      <w:r w:rsidRPr="00C10D10">
        <w:rPr>
          <w:szCs w:val="24"/>
        </w:rPr>
        <w:t xml:space="preserve"> impact of decisions on waste </w:t>
      </w:r>
      <w:r w:rsidR="002E27D1" w:rsidRPr="00C10D10">
        <w:rPr>
          <w:szCs w:val="24"/>
        </w:rPr>
        <w:t>management on</w:t>
      </w:r>
      <w:r w:rsidRPr="00C10D10">
        <w:rPr>
          <w:szCs w:val="24"/>
        </w:rPr>
        <w:t xml:space="preserve"> exposures of the work</w:t>
      </w:r>
      <w:r w:rsidR="00FA79B9">
        <w:rPr>
          <w:szCs w:val="24"/>
        </w:rPr>
        <w:t>er</w:t>
      </w:r>
      <w:r w:rsidR="009676C0">
        <w:rPr>
          <w:szCs w:val="24"/>
        </w:rPr>
        <w:t xml:space="preserve"> </w:t>
      </w:r>
      <w:r w:rsidR="00CA73D2">
        <w:rPr>
          <w:szCs w:val="24"/>
        </w:rPr>
        <w:t xml:space="preserve">and the </w:t>
      </w:r>
      <w:r w:rsidR="00FA79B9">
        <w:rPr>
          <w:szCs w:val="24"/>
        </w:rPr>
        <w:t>safety of the facility</w:t>
      </w:r>
      <w:r w:rsidR="00CA73D2">
        <w:rPr>
          <w:szCs w:val="24"/>
        </w:rPr>
        <w:t xml:space="preserve"> as a whole </w:t>
      </w:r>
      <w:r w:rsidR="009676C0">
        <w:rPr>
          <w:szCs w:val="24"/>
        </w:rPr>
        <w:t>should also be considered</w:t>
      </w:r>
      <w:r w:rsidRPr="00C10D10">
        <w:rPr>
          <w:szCs w:val="24"/>
        </w:rPr>
        <w:t xml:space="preserve">. For example, </w:t>
      </w:r>
      <w:r w:rsidR="00FA79B9">
        <w:rPr>
          <w:szCs w:val="24"/>
        </w:rPr>
        <w:t xml:space="preserve">a </w:t>
      </w:r>
      <w:r w:rsidRPr="00C10D10">
        <w:rPr>
          <w:szCs w:val="24"/>
        </w:rPr>
        <w:t>reduc</w:t>
      </w:r>
      <w:r w:rsidR="00FA79B9">
        <w:rPr>
          <w:szCs w:val="24"/>
        </w:rPr>
        <w:t>tion in</w:t>
      </w:r>
      <w:r w:rsidRPr="00C10D10">
        <w:rPr>
          <w:szCs w:val="24"/>
        </w:rPr>
        <w:t xml:space="preserve"> discharges may lead to an increase in radioactive waste stored on </w:t>
      </w:r>
      <w:r w:rsidR="00EA3A77">
        <w:rPr>
          <w:szCs w:val="24"/>
        </w:rPr>
        <w:t>the</w:t>
      </w:r>
      <w:r w:rsidRPr="00C10D10">
        <w:rPr>
          <w:szCs w:val="24"/>
        </w:rPr>
        <w:t xml:space="preserve"> site</w:t>
      </w:r>
      <w:r w:rsidR="00FA79B9">
        <w:rPr>
          <w:szCs w:val="24"/>
        </w:rPr>
        <w:t>,</w:t>
      </w:r>
      <w:r w:rsidRPr="00C10D10">
        <w:rPr>
          <w:szCs w:val="24"/>
        </w:rPr>
        <w:t xml:space="preserve"> with related </w:t>
      </w:r>
      <w:r w:rsidR="009F4206" w:rsidRPr="00C10D10">
        <w:rPr>
          <w:szCs w:val="24"/>
        </w:rPr>
        <w:t xml:space="preserve">increases </w:t>
      </w:r>
      <w:r w:rsidRPr="00C10D10">
        <w:rPr>
          <w:szCs w:val="24"/>
        </w:rPr>
        <w:t>in occupational exposures</w:t>
      </w:r>
      <w:r w:rsidR="009F4206" w:rsidRPr="00C10D10">
        <w:rPr>
          <w:szCs w:val="24"/>
        </w:rPr>
        <w:t>,</w:t>
      </w:r>
      <w:r w:rsidRPr="00C10D10">
        <w:rPr>
          <w:szCs w:val="24"/>
        </w:rPr>
        <w:t xml:space="preserve"> so that this may not be the optimum solution</w:t>
      </w:r>
      <w:r w:rsidR="002E27D1" w:rsidRPr="00C10D10">
        <w:rPr>
          <w:szCs w:val="24"/>
        </w:rPr>
        <w:t>.</w:t>
      </w:r>
      <w:r w:rsidR="007A568D" w:rsidRPr="00E00CA8">
        <w:rPr>
          <w:szCs w:val="24"/>
        </w:rPr>
        <w:t xml:space="preserve"> </w:t>
      </w:r>
      <w:r w:rsidR="007A568D">
        <w:rPr>
          <w:szCs w:val="24"/>
        </w:rPr>
        <w:t xml:space="preserve">Guidance on the optimization of </w:t>
      </w:r>
      <w:r w:rsidR="007A568D" w:rsidRPr="00E00CA8">
        <w:rPr>
          <w:szCs w:val="24"/>
        </w:rPr>
        <w:t xml:space="preserve">the </w:t>
      </w:r>
      <w:r w:rsidR="00FA79B9">
        <w:rPr>
          <w:szCs w:val="24"/>
        </w:rPr>
        <w:t xml:space="preserve">design of a </w:t>
      </w:r>
      <w:r w:rsidR="007A568D" w:rsidRPr="00E00CA8">
        <w:rPr>
          <w:szCs w:val="24"/>
        </w:rPr>
        <w:t xml:space="preserve">facility or </w:t>
      </w:r>
      <w:r w:rsidR="00FA79B9">
        <w:rPr>
          <w:szCs w:val="24"/>
        </w:rPr>
        <w:t xml:space="preserve">an </w:t>
      </w:r>
      <w:r w:rsidR="007A568D" w:rsidRPr="00E00CA8">
        <w:rPr>
          <w:szCs w:val="24"/>
        </w:rPr>
        <w:t>activity</w:t>
      </w:r>
      <w:r w:rsidR="007A568D">
        <w:rPr>
          <w:szCs w:val="24"/>
        </w:rPr>
        <w:t xml:space="preserve"> with respect to </w:t>
      </w:r>
      <w:r w:rsidR="00FA79B9">
        <w:rPr>
          <w:szCs w:val="24"/>
        </w:rPr>
        <w:t xml:space="preserve">management of </w:t>
      </w:r>
      <w:r w:rsidR="007A568D">
        <w:rPr>
          <w:szCs w:val="24"/>
        </w:rPr>
        <w:t xml:space="preserve">radioactive waste can be found in </w:t>
      </w:r>
      <w:r w:rsidR="00FA79B9">
        <w:rPr>
          <w:szCs w:val="24"/>
        </w:rPr>
        <w:t xml:space="preserve">GSG-3 </w:t>
      </w:r>
      <w:r w:rsidR="007A568D">
        <w:rPr>
          <w:szCs w:val="24"/>
        </w:rPr>
        <w:t>[</w:t>
      </w:r>
      <w:r w:rsidR="00EA3A77">
        <w:rPr>
          <w:szCs w:val="24"/>
        </w:rPr>
        <w:t>2</w:t>
      </w:r>
      <w:r w:rsidR="0078529C">
        <w:rPr>
          <w:szCs w:val="24"/>
        </w:rPr>
        <w:t>3</w:t>
      </w:r>
      <w:r w:rsidR="007A568D">
        <w:rPr>
          <w:szCs w:val="24"/>
        </w:rPr>
        <w:t>].</w:t>
      </w:r>
      <w:r w:rsidR="002F423A" w:rsidRPr="00C10D10">
        <w:rPr>
          <w:szCs w:val="24"/>
        </w:rPr>
        <w:t xml:space="preserve"> </w:t>
      </w:r>
    </w:p>
    <w:p w:rsidR="002F423A" w:rsidRPr="00C10D10" w:rsidRDefault="003B08B6" w:rsidP="0091132F">
      <w:pPr>
        <w:pStyle w:val="ListParagraph"/>
        <w:numPr>
          <w:ilvl w:val="0"/>
          <w:numId w:val="7"/>
        </w:numPr>
        <w:autoSpaceDE w:val="0"/>
        <w:autoSpaceDN w:val="0"/>
        <w:adjustRightInd w:val="0"/>
        <w:spacing w:before="120"/>
        <w:contextualSpacing w:val="0"/>
        <w:jc w:val="both"/>
        <w:rPr>
          <w:szCs w:val="24"/>
        </w:rPr>
      </w:pPr>
      <w:r w:rsidRPr="00C10D10">
        <w:rPr>
          <w:szCs w:val="24"/>
        </w:rPr>
        <w:t>Optimization should involve examining the available options for reducing discharge</w:t>
      </w:r>
      <w:r w:rsidR="00FA79B9">
        <w:rPr>
          <w:szCs w:val="24"/>
        </w:rPr>
        <w:t>s</w:t>
      </w:r>
      <w:r w:rsidRPr="00C10D10">
        <w:rPr>
          <w:szCs w:val="24"/>
        </w:rPr>
        <w:t xml:space="preserve"> and all aspects of the impact of these options. Much can be achieved at the early stages of siting and design, </w:t>
      </w:r>
      <w:r w:rsidR="00C167CE">
        <w:rPr>
          <w:szCs w:val="24"/>
        </w:rPr>
        <w:t xml:space="preserve">when </w:t>
      </w:r>
      <w:r w:rsidRPr="00C10D10">
        <w:rPr>
          <w:szCs w:val="24"/>
        </w:rPr>
        <w:t xml:space="preserve">account </w:t>
      </w:r>
      <w:r w:rsidR="00C167CE">
        <w:rPr>
          <w:szCs w:val="24"/>
        </w:rPr>
        <w:t xml:space="preserve">can </w:t>
      </w:r>
      <w:r w:rsidRPr="00C10D10">
        <w:rPr>
          <w:szCs w:val="24"/>
        </w:rPr>
        <w:t xml:space="preserve">be taken of good </w:t>
      </w:r>
      <w:r w:rsidR="00F8398F">
        <w:rPr>
          <w:szCs w:val="24"/>
        </w:rPr>
        <w:t xml:space="preserve">techniques and </w:t>
      </w:r>
      <w:r w:rsidRPr="00C10D10">
        <w:rPr>
          <w:szCs w:val="24"/>
        </w:rPr>
        <w:t xml:space="preserve">practices </w:t>
      </w:r>
      <w:r w:rsidR="00FA79B9">
        <w:rPr>
          <w:szCs w:val="24"/>
        </w:rPr>
        <w:t>applied in other facilities and activities</w:t>
      </w:r>
      <w:r w:rsidRPr="00C10D10">
        <w:rPr>
          <w:szCs w:val="24"/>
        </w:rPr>
        <w:t xml:space="preserve">. In the case of liquid and gaseous </w:t>
      </w:r>
      <w:r w:rsidR="003A3F75">
        <w:rPr>
          <w:szCs w:val="24"/>
        </w:rPr>
        <w:t xml:space="preserve">radioactive waste </w:t>
      </w:r>
      <w:r w:rsidRPr="00C10D10">
        <w:rPr>
          <w:szCs w:val="24"/>
        </w:rPr>
        <w:t xml:space="preserve">that might be generated during operation, consideration should be given to keeping the </w:t>
      </w:r>
      <w:r w:rsidR="003A3F75">
        <w:rPr>
          <w:szCs w:val="24"/>
        </w:rPr>
        <w:t>waste</w:t>
      </w:r>
      <w:r w:rsidRPr="00C10D10">
        <w:rPr>
          <w:szCs w:val="24"/>
        </w:rPr>
        <w:t xml:space="preserve"> to a minimum and </w:t>
      </w:r>
      <w:r w:rsidR="00C167CE">
        <w:rPr>
          <w:szCs w:val="24"/>
        </w:rPr>
        <w:t xml:space="preserve">to </w:t>
      </w:r>
      <w:r w:rsidR="003A3F75">
        <w:rPr>
          <w:szCs w:val="24"/>
        </w:rPr>
        <w:t xml:space="preserve">the </w:t>
      </w:r>
      <w:r w:rsidR="00F8398F">
        <w:rPr>
          <w:szCs w:val="24"/>
        </w:rPr>
        <w:t xml:space="preserve">subsequent </w:t>
      </w:r>
      <w:r w:rsidR="00C167CE">
        <w:rPr>
          <w:szCs w:val="24"/>
        </w:rPr>
        <w:t>treat</w:t>
      </w:r>
      <w:r w:rsidR="003A3F75">
        <w:rPr>
          <w:szCs w:val="24"/>
        </w:rPr>
        <w:t>ment of</w:t>
      </w:r>
      <w:r w:rsidR="00C167CE">
        <w:rPr>
          <w:szCs w:val="24"/>
        </w:rPr>
        <w:t xml:space="preserve"> the </w:t>
      </w:r>
      <w:r w:rsidR="006E46AE">
        <w:rPr>
          <w:szCs w:val="24"/>
        </w:rPr>
        <w:t xml:space="preserve">radioactive </w:t>
      </w:r>
      <w:r w:rsidR="007B7F1B">
        <w:rPr>
          <w:szCs w:val="24"/>
        </w:rPr>
        <w:t>effluents</w:t>
      </w:r>
      <w:r w:rsidRPr="00C10D10">
        <w:rPr>
          <w:szCs w:val="24"/>
        </w:rPr>
        <w:t>.</w:t>
      </w:r>
      <w:r w:rsidR="002F423A" w:rsidRPr="00C10D10">
        <w:rPr>
          <w:szCs w:val="24"/>
        </w:rPr>
        <w:t xml:space="preserve"> </w:t>
      </w:r>
    </w:p>
    <w:p w:rsidR="002F423A" w:rsidRPr="00C10D10" w:rsidRDefault="003B08B6"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main types of </w:t>
      </w:r>
      <w:r w:rsidR="00FA79B9">
        <w:rPr>
          <w:szCs w:val="24"/>
        </w:rPr>
        <w:t xml:space="preserve">treatment of </w:t>
      </w:r>
      <w:r w:rsidR="006E46AE">
        <w:rPr>
          <w:szCs w:val="24"/>
        </w:rPr>
        <w:t>radioactive</w:t>
      </w:r>
      <w:r w:rsidRPr="00C10D10">
        <w:rPr>
          <w:szCs w:val="24"/>
        </w:rPr>
        <w:t xml:space="preserve"> effluent</w:t>
      </w:r>
      <w:r w:rsidR="00FA79B9">
        <w:rPr>
          <w:szCs w:val="24"/>
        </w:rPr>
        <w:t>s</w:t>
      </w:r>
      <w:r w:rsidRPr="00C10D10">
        <w:rPr>
          <w:szCs w:val="24"/>
        </w:rPr>
        <w:t xml:space="preserve"> are either storage, so that, for example, short</w:t>
      </w:r>
      <w:r w:rsidR="005909E2">
        <w:rPr>
          <w:szCs w:val="24"/>
        </w:rPr>
        <w:t xml:space="preserve"> </w:t>
      </w:r>
      <w:r w:rsidRPr="00C10D10">
        <w:rPr>
          <w:szCs w:val="24"/>
        </w:rPr>
        <w:t xml:space="preserve">lived radionuclides </w:t>
      </w:r>
      <w:r w:rsidR="006E46AE">
        <w:rPr>
          <w:szCs w:val="24"/>
        </w:rPr>
        <w:t xml:space="preserve">present in liquid and gaseous forms </w:t>
      </w:r>
      <w:r w:rsidRPr="00C10D10">
        <w:rPr>
          <w:szCs w:val="24"/>
        </w:rPr>
        <w:t xml:space="preserve">can decay before </w:t>
      </w:r>
      <w:r w:rsidR="00C167CE">
        <w:rPr>
          <w:szCs w:val="24"/>
        </w:rPr>
        <w:t xml:space="preserve">they are </w:t>
      </w:r>
      <w:r w:rsidRPr="00C10D10">
        <w:rPr>
          <w:szCs w:val="24"/>
        </w:rPr>
        <w:t>release</w:t>
      </w:r>
      <w:r w:rsidR="00C167CE">
        <w:rPr>
          <w:szCs w:val="24"/>
        </w:rPr>
        <w:t>d</w:t>
      </w:r>
      <w:r w:rsidRPr="00C10D10">
        <w:rPr>
          <w:szCs w:val="24"/>
        </w:rPr>
        <w:t xml:space="preserve"> to the environment, or abatement </w:t>
      </w:r>
      <w:r w:rsidR="00BC0FCB">
        <w:rPr>
          <w:szCs w:val="24"/>
        </w:rPr>
        <w:t>techniques</w:t>
      </w:r>
      <w:r w:rsidRPr="00C10D10">
        <w:rPr>
          <w:szCs w:val="24"/>
        </w:rPr>
        <w:t xml:space="preserve"> that </w:t>
      </w:r>
      <w:r w:rsidR="00BC0FCB">
        <w:rPr>
          <w:szCs w:val="24"/>
        </w:rPr>
        <w:t>remove</w:t>
      </w:r>
      <w:r w:rsidRPr="00C10D10">
        <w:rPr>
          <w:szCs w:val="24"/>
        </w:rPr>
        <w:t xml:space="preserve"> radionuclides from the effluent </w:t>
      </w:r>
      <w:r w:rsidRPr="006A2C24">
        <w:rPr>
          <w:szCs w:val="24"/>
        </w:rPr>
        <w:t>stream</w:t>
      </w:r>
      <w:r w:rsidR="006311B4" w:rsidRPr="006A2C24">
        <w:rPr>
          <w:szCs w:val="24"/>
        </w:rPr>
        <w:t xml:space="preserve"> (e.g.</w:t>
      </w:r>
      <w:r w:rsidR="00FD2769" w:rsidRPr="006A2C24">
        <w:rPr>
          <w:szCs w:val="24"/>
        </w:rPr>
        <w:t xml:space="preserve"> ion exchange resins</w:t>
      </w:r>
      <w:r w:rsidR="009D6CCD">
        <w:rPr>
          <w:szCs w:val="24"/>
        </w:rPr>
        <w:t>,</w:t>
      </w:r>
      <w:r w:rsidR="00FD2769" w:rsidRPr="006A2C24">
        <w:rPr>
          <w:szCs w:val="24"/>
        </w:rPr>
        <w:t xml:space="preserve"> HEPA filters</w:t>
      </w:r>
      <w:r w:rsidR="006311B4" w:rsidRPr="006A2C24">
        <w:rPr>
          <w:szCs w:val="24"/>
        </w:rPr>
        <w:t>)</w:t>
      </w:r>
      <w:r w:rsidRPr="006A2C24">
        <w:rPr>
          <w:szCs w:val="24"/>
        </w:rPr>
        <w:t>.</w:t>
      </w:r>
      <w:r w:rsidRPr="00C10D10">
        <w:rPr>
          <w:szCs w:val="24"/>
        </w:rPr>
        <w:t xml:space="preserve"> Within these two broad categories, there may be a number of different options available</w:t>
      </w:r>
      <w:r w:rsidR="00C167CE">
        <w:rPr>
          <w:szCs w:val="24"/>
        </w:rPr>
        <w:t>;</w:t>
      </w:r>
      <w:r w:rsidRPr="00C10D10">
        <w:rPr>
          <w:szCs w:val="24"/>
        </w:rPr>
        <w:t xml:space="preserve"> </w:t>
      </w:r>
      <w:r w:rsidR="00C167CE">
        <w:rPr>
          <w:szCs w:val="24"/>
        </w:rPr>
        <w:t>t</w:t>
      </w:r>
      <w:r w:rsidRPr="00C10D10">
        <w:rPr>
          <w:szCs w:val="24"/>
        </w:rPr>
        <w:t>he</w:t>
      </w:r>
      <w:r w:rsidR="00C167CE">
        <w:rPr>
          <w:szCs w:val="24"/>
        </w:rPr>
        <w:t>se</w:t>
      </w:r>
      <w:r w:rsidRPr="00C10D10">
        <w:rPr>
          <w:szCs w:val="24"/>
        </w:rPr>
        <w:t xml:space="preserve"> options should be identified and their </w:t>
      </w:r>
      <w:r w:rsidR="004123E6">
        <w:rPr>
          <w:szCs w:val="24"/>
        </w:rPr>
        <w:t>advantages and disadvantages</w:t>
      </w:r>
      <w:r w:rsidRPr="00C10D10">
        <w:rPr>
          <w:szCs w:val="24"/>
        </w:rPr>
        <w:t xml:space="preserve"> </w:t>
      </w:r>
      <w:r w:rsidR="00FA79B9">
        <w:rPr>
          <w:szCs w:val="24"/>
        </w:rPr>
        <w:t xml:space="preserve">should be </w:t>
      </w:r>
      <w:r w:rsidRPr="00C10D10">
        <w:rPr>
          <w:szCs w:val="24"/>
        </w:rPr>
        <w:t>examined.</w:t>
      </w:r>
      <w:r w:rsidR="002F423A" w:rsidRPr="00C10D10">
        <w:rPr>
          <w:szCs w:val="24"/>
        </w:rPr>
        <w:t xml:space="preserve"> </w:t>
      </w:r>
    </w:p>
    <w:p w:rsidR="00266A0B" w:rsidRPr="00C10D10" w:rsidRDefault="002F2C6A" w:rsidP="0091132F">
      <w:pPr>
        <w:pStyle w:val="ListParagraph"/>
        <w:numPr>
          <w:ilvl w:val="0"/>
          <w:numId w:val="7"/>
        </w:numPr>
        <w:autoSpaceDE w:val="0"/>
        <w:autoSpaceDN w:val="0"/>
        <w:adjustRightInd w:val="0"/>
        <w:spacing w:before="120"/>
        <w:contextualSpacing w:val="0"/>
        <w:jc w:val="both"/>
        <w:rPr>
          <w:szCs w:val="24"/>
        </w:rPr>
      </w:pPr>
      <w:r w:rsidRPr="00C10D10">
        <w:rPr>
          <w:szCs w:val="24"/>
        </w:rPr>
        <w:t>O</w:t>
      </w:r>
      <w:r w:rsidR="003B08B6" w:rsidRPr="00C10D10">
        <w:rPr>
          <w:szCs w:val="24"/>
        </w:rPr>
        <w:t xml:space="preserve">ptimization </w:t>
      </w:r>
      <w:r w:rsidR="007B7F1B">
        <w:rPr>
          <w:szCs w:val="24"/>
        </w:rPr>
        <w:t xml:space="preserve">of the protection and safety </w:t>
      </w:r>
      <w:r w:rsidRPr="00C10D10">
        <w:rPr>
          <w:szCs w:val="24"/>
        </w:rPr>
        <w:t>should be</w:t>
      </w:r>
      <w:r w:rsidR="003B08B6" w:rsidRPr="00C10D10">
        <w:rPr>
          <w:szCs w:val="24"/>
        </w:rPr>
        <w:t xml:space="preserve"> conducted</w:t>
      </w:r>
      <w:r w:rsidR="008F159A">
        <w:rPr>
          <w:szCs w:val="24"/>
        </w:rPr>
        <w:t xml:space="preserve"> considering the dose constraints and the</w:t>
      </w:r>
      <w:r w:rsidR="003B08B6" w:rsidRPr="00C10D10">
        <w:rPr>
          <w:szCs w:val="24"/>
        </w:rPr>
        <w:t xml:space="preserve"> range of available protection options.</w:t>
      </w:r>
      <w:r w:rsidR="00E7351C" w:rsidRPr="00C10D10">
        <w:rPr>
          <w:szCs w:val="24"/>
        </w:rPr>
        <w:t xml:space="preserve"> </w:t>
      </w:r>
      <w:r w:rsidR="003B08B6" w:rsidRPr="00C10D10">
        <w:rPr>
          <w:szCs w:val="24"/>
        </w:rPr>
        <w:t xml:space="preserve">An iterative analysis of </w:t>
      </w:r>
      <w:r w:rsidR="008F159A">
        <w:rPr>
          <w:szCs w:val="24"/>
        </w:rPr>
        <w:t>the impact on the doses</w:t>
      </w:r>
      <w:r w:rsidR="00A24638">
        <w:rPr>
          <w:szCs w:val="24"/>
        </w:rPr>
        <w:t xml:space="preserve"> to the public and to the workers</w:t>
      </w:r>
      <w:r w:rsidR="008F159A">
        <w:rPr>
          <w:szCs w:val="24"/>
        </w:rPr>
        <w:t xml:space="preserve"> for </w:t>
      </w:r>
      <w:r w:rsidR="003B08B6" w:rsidRPr="00C10D10">
        <w:rPr>
          <w:szCs w:val="24"/>
        </w:rPr>
        <w:t xml:space="preserve">each selected </w:t>
      </w:r>
      <w:r w:rsidR="008F159A">
        <w:rPr>
          <w:szCs w:val="24"/>
        </w:rPr>
        <w:t xml:space="preserve">protection </w:t>
      </w:r>
      <w:r w:rsidR="003B08B6" w:rsidRPr="00C10D10">
        <w:rPr>
          <w:szCs w:val="24"/>
        </w:rPr>
        <w:t>option should be performed</w:t>
      </w:r>
      <w:r w:rsidR="00266A0B" w:rsidRPr="00C10D10">
        <w:rPr>
          <w:szCs w:val="24"/>
        </w:rPr>
        <w:t>.</w:t>
      </w:r>
      <w:r w:rsidR="00F45F25" w:rsidRPr="00C10D10">
        <w:rPr>
          <w:szCs w:val="24"/>
        </w:rPr>
        <w:t xml:space="preserve"> </w:t>
      </w:r>
    </w:p>
    <w:p w:rsidR="002F423A" w:rsidRPr="00C10D10" w:rsidRDefault="003B08B6"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There </w:t>
      </w:r>
      <w:r w:rsidR="008C7C76">
        <w:rPr>
          <w:szCs w:val="24"/>
        </w:rPr>
        <w:t>are</w:t>
      </w:r>
      <w:r w:rsidRPr="00C10D10">
        <w:rPr>
          <w:szCs w:val="24"/>
        </w:rPr>
        <w:t xml:space="preserve"> generally a number of trade-offs</w:t>
      </w:r>
      <w:r w:rsidR="008F159A">
        <w:rPr>
          <w:szCs w:val="24"/>
        </w:rPr>
        <w:t xml:space="preserve"> and other factors</w:t>
      </w:r>
      <w:r w:rsidRPr="00C10D10">
        <w:rPr>
          <w:szCs w:val="24"/>
        </w:rPr>
        <w:t xml:space="preserve"> between various </w:t>
      </w:r>
      <w:r w:rsidR="000A7E76">
        <w:rPr>
          <w:szCs w:val="24"/>
        </w:rPr>
        <w:t>options</w:t>
      </w:r>
      <w:r w:rsidR="002F2C6A" w:rsidRPr="00C10D10">
        <w:rPr>
          <w:szCs w:val="24"/>
        </w:rPr>
        <w:t xml:space="preserve"> </w:t>
      </w:r>
      <w:r w:rsidR="00FA79B9">
        <w:rPr>
          <w:szCs w:val="24"/>
        </w:rPr>
        <w:t>that</w:t>
      </w:r>
      <w:r w:rsidR="00FA79B9" w:rsidRPr="00C10D10">
        <w:rPr>
          <w:szCs w:val="24"/>
        </w:rPr>
        <w:t xml:space="preserve"> </w:t>
      </w:r>
      <w:r w:rsidR="002F2C6A" w:rsidRPr="00C10D10">
        <w:rPr>
          <w:szCs w:val="24"/>
        </w:rPr>
        <w:t xml:space="preserve">should be considered </w:t>
      </w:r>
      <w:r w:rsidR="00FA79B9">
        <w:rPr>
          <w:szCs w:val="24"/>
        </w:rPr>
        <w:t>in</w:t>
      </w:r>
      <w:r w:rsidR="00FA79B9" w:rsidRPr="00C10D10">
        <w:rPr>
          <w:szCs w:val="24"/>
        </w:rPr>
        <w:t xml:space="preserve"> </w:t>
      </w:r>
      <w:r w:rsidR="002F2C6A" w:rsidRPr="00C10D10">
        <w:rPr>
          <w:szCs w:val="24"/>
        </w:rPr>
        <w:t>the optimization process</w:t>
      </w:r>
      <w:r w:rsidRPr="00C10D10">
        <w:rPr>
          <w:szCs w:val="24"/>
        </w:rPr>
        <w:t>. These include the following:</w:t>
      </w:r>
      <w:r w:rsidR="002F423A" w:rsidRPr="00C10D10">
        <w:rPr>
          <w:szCs w:val="24"/>
        </w:rPr>
        <w:t xml:space="preserve"> </w:t>
      </w:r>
    </w:p>
    <w:p w:rsidR="003B08B6" w:rsidRPr="00C10D10" w:rsidRDefault="00FA79B9" w:rsidP="0091132F">
      <w:pPr>
        <w:pStyle w:val="ListNumber2"/>
        <w:ind w:left="567" w:hanging="567"/>
      </w:pPr>
      <w:r>
        <w:t>A t</w:t>
      </w:r>
      <w:r w:rsidR="003B08B6" w:rsidRPr="00C10D10">
        <w:t xml:space="preserve">rade-off between doses from discharges and future doses associated with the disposal of solid waste, if </w:t>
      </w:r>
      <w:r>
        <w:t>a</w:t>
      </w:r>
      <w:r w:rsidRPr="00C10D10">
        <w:t xml:space="preserve"> </w:t>
      </w:r>
      <w:r w:rsidR="003B08B6" w:rsidRPr="00C10D10">
        <w:t xml:space="preserve">decision </w:t>
      </w:r>
      <w:r w:rsidR="009446A8" w:rsidRPr="00C10D10">
        <w:t xml:space="preserve">was </w:t>
      </w:r>
      <w:r w:rsidR="003B08B6" w:rsidRPr="00C10D10">
        <w:t>made to solidify the residues;</w:t>
      </w:r>
    </w:p>
    <w:p w:rsidR="003B08B6" w:rsidRPr="00C10D10" w:rsidRDefault="00FA79B9" w:rsidP="0091132F">
      <w:pPr>
        <w:pStyle w:val="ListNumber2"/>
        <w:ind w:left="567" w:hanging="567"/>
      </w:pPr>
      <w:r>
        <w:lastRenderedPageBreak/>
        <w:t>A t</w:t>
      </w:r>
      <w:r w:rsidR="003B08B6" w:rsidRPr="00C10D10">
        <w:t xml:space="preserve">rade-off between public </w:t>
      </w:r>
      <w:r w:rsidR="009F4206" w:rsidRPr="00C10D10">
        <w:t xml:space="preserve">exposure </w:t>
      </w:r>
      <w:r w:rsidR="003B08B6" w:rsidRPr="00C10D10">
        <w:t>and occupational exposure (</w:t>
      </w:r>
      <w:r w:rsidR="008C7C76">
        <w:t>i.e.</w:t>
      </w:r>
      <w:r w:rsidR="003B08B6" w:rsidRPr="00C10D10">
        <w:t xml:space="preserve"> the reduction in public exposure at the expense of an increase in occupational exposure due to an improved effluent treatment system);</w:t>
      </w:r>
    </w:p>
    <w:p w:rsidR="00E8272B" w:rsidRDefault="003B08B6" w:rsidP="0091132F">
      <w:pPr>
        <w:pStyle w:val="ListNumber2"/>
        <w:ind w:left="567" w:hanging="567"/>
      </w:pPr>
      <w:r w:rsidRPr="00C10D10">
        <w:t>Choice</w:t>
      </w:r>
      <w:r w:rsidR="00FA79B9">
        <w:t>s</w:t>
      </w:r>
      <w:r w:rsidRPr="00C10D10">
        <w:t xml:space="preserve"> between options whose characteristics are known with different degrees of certainty</w:t>
      </w:r>
      <w:r w:rsidR="00E8272B">
        <w:t>;</w:t>
      </w:r>
    </w:p>
    <w:p w:rsidR="00316DD8" w:rsidRDefault="00E8272B" w:rsidP="0091132F">
      <w:pPr>
        <w:pStyle w:val="ListNumber2"/>
        <w:ind w:left="567" w:hanging="567"/>
      </w:pPr>
      <w:r>
        <w:t>Non-radiological impacts, conventional health and safety</w:t>
      </w:r>
    </w:p>
    <w:p w:rsidR="003B08B6" w:rsidRPr="00C10D10" w:rsidRDefault="00316DD8" w:rsidP="0091132F">
      <w:pPr>
        <w:pStyle w:val="ListNumber2"/>
        <w:ind w:left="567" w:hanging="567"/>
      </w:pPr>
      <w:r>
        <w:t>The</w:t>
      </w:r>
      <w:r w:rsidR="00FA79B9">
        <w:t xml:space="preserve"> </w:t>
      </w:r>
      <w:r>
        <w:t xml:space="preserve">increased </w:t>
      </w:r>
      <w:r w:rsidR="00FA79B9">
        <w:t xml:space="preserve">risk of </w:t>
      </w:r>
      <w:r w:rsidR="00E8272B">
        <w:t>accident</w:t>
      </w:r>
      <w:r>
        <w:t>al releases (</w:t>
      </w:r>
      <w:r w:rsidR="006311B4">
        <w:t>e.g.</w:t>
      </w:r>
      <w:r>
        <w:t xml:space="preserve"> if a large storage tank leaks</w:t>
      </w:r>
      <w:proofErr w:type="gramStart"/>
      <w:r>
        <w:t xml:space="preserve">) </w:t>
      </w:r>
      <w:r w:rsidR="00E8272B">
        <w:t>.</w:t>
      </w:r>
      <w:proofErr w:type="gramEnd"/>
    </w:p>
    <w:p w:rsidR="00E25C77" w:rsidRPr="00C10D10" w:rsidRDefault="00FA79B9" w:rsidP="0091132F">
      <w:pPr>
        <w:pStyle w:val="ListParagraph"/>
        <w:numPr>
          <w:ilvl w:val="0"/>
          <w:numId w:val="7"/>
        </w:numPr>
        <w:autoSpaceDE w:val="0"/>
        <w:autoSpaceDN w:val="0"/>
        <w:adjustRightInd w:val="0"/>
        <w:spacing w:before="120"/>
        <w:contextualSpacing w:val="0"/>
        <w:jc w:val="both"/>
        <w:rPr>
          <w:szCs w:val="24"/>
        </w:rPr>
      </w:pPr>
      <w:r>
        <w:rPr>
          <w:szCs w:val="24"/>
        </w:rPr>
        <w:t>Irrespective of the</w:t>
      </w:r>
      <w:r w:rsidRPr="00C10D10">
        <w:rPr>
          <w:szCs w:val="24"/>
        </w:rPr>
        <w:t xml:space="preserve"> </w:t>
      </w:r>
      <w:r w:rsidR="00437ADA" w:rsidRPr="00C10D10">
        <w:rPr>
          <w:szCs w:val="24"/>
        </w:rPr>
        <w:t xml:space="preserve">approach used in determining the optimum option, it should be recognized that judgements are </w:t>
      </w:r>
      <w:r>
        <w:rPr>
          <w:szCs w:val="24"/>
        </w:rPr>
        <w:t>necessary</w:t>
      </w:r>
      <w:r w:rsidRPr="00C10D10">
        <w:rPr>
          <w:szCs w:val="24"/>
        </w:rPr>
        <w:t xml:space="preserve"> </w:t>
      </w:r>
      <w:r w:rsidR="00263516">
        <w:rPr>
          <w:szCs w:val="24"/>
        </w:rPr>
        <w:t>regarding</w:t>
      </w:r>
      <w:r w:rsidR="00263516" w:rsidRPr="00C10D10">
        <w:rPr>
          <w:szCs w:val="24"/>
        </w:rPr>
        <w:t xml:space="preserve"> </w:t>
      </w:r>
      <w:r w:rsidR="00437ADA" w:rsidRPr="00C10D10">
        <w:rPr>
          <w:szCs w:val="24"/>
        </w:rPr>
        <w:t xml:space="preserve">the relative significance of the factors involved. Making those judgements should involve dialogue between the regulatory body and the </w:t>
      </w:r>
      <w:r w:rsidR="005A3563" w:rsidRPr="00C10D10">
        <w:rPr>
          <w:szCs w:val="24"/>
        </w:rPr>
        <w:t>operating organization</w:t>
      </w:r>
      <w:r w:rsidR="009446A8" w:rsidRPr="00C10D10">
        <w:rPr>
          <w:szCs w:val="24"/>
        </w:rPr>
        <w:t xml:space="preserve">. </w:t>
      </w:r>
      <w:r w:rsidR="002F2C6A" w:rsidRPr="00C10D10">
        <w:rPr>
          <w:szCs w:val="24"/>
        </w:rPr>
        <w:t xml:space="preserve">The discussions on optimization could also involve different authorities, </w:t>
      </w:r>
      <w:r w:rsidR="00CA1262">
        <w:rPr>
          <w:szCs w:val="24"/>
        </w:rPr>
        <w:t>such as</w:t>
      </w:r>
      <w:r w:rsidR="002F2C6A" w:rsidRPr="00C10D10">
        <w:rPr>
          <w:szCs w:val="24"/>
        </w:rPr>
        <w:t xml:space="preserve"> </w:t>
      </w:r>
      <w:r w:rsidR="00CA1262">
        <w:rPr>
          <w:szCs w:val="24"/>
        </w:rPr>
        <w:t>authorities</w:t>
      </w:r>
      <w:r w:rsidR="00CA1262" w:rsidRPr="00C10D10">
        <w:rPr>
          <w:szCs w:val="24"/>
        </w:rPr>
        <w:t xml:space="preserve"> </w:t>
      </w:r>
      <w:r w:rsidR="002F2C6A" w:rsidRPr="00C10D10">
        <w:rPr>
          <w:szCs w:val="24"/>
        </w:rPr>
        <w:t xml:space="preserve">responsible </w:t>
      </w:r>
      <w:r w:rsidR="009446A8" w:rsidRPr="00C10D10">
        <w:rPr>
          <w:szCs w:val="24"/>
        </w:rPr>
        <w:t xml:space="preserve">for </w:t>
      </w:r>
      <w:r w:rsidR="002F2C6A" w:rsidRPr="00C10D10">
        <w:rPr>
          <w:szCs w:val="24"/>
        </w:rPr>
        <w:t xml:space="preserve">nuclear safety, </w:t>
      </w:r>
      <w:r w:rsidR="00CA1262">
        <w:rPr>
          <w:szCs w:val="24"/>
        </w:rPr>
        <w:t xml:space="preserve">protection of </w:t>
      </w:r>
      <w:r w:rsidR="002F2C6A" w:rsidRPr="00C10D10">
        <w:rPr>
          <w:szCs w:val="24"/>
        </w:rPr>
        <w:t>workers,</w:t>
      </w:r>
      <w:r w:rsidR="00CA1262">
        <w:rPr>
          <w:szCs w:val="24"/>
        </w:rPr>
        <w:t xml:space="preserve"> </w:t>
      </w:r>
      <w:proofErr w:type="gramStart"/>
      <w:r w:rsidR="00CA1262">
        <w:rPr>
          <w:szCs w:val="24"/>
        </w:rPr>
        <w:t>protection</w:t>
      </w:r>
      <w:proofErr w:type="gramEnd"/>
      <w:r w:rsidR="00CA1262">
        <w:rPr>
          <w:szCs w:val="24"/>
        </w:rPr>
        <w:t xml:space="preserve"> of the</w:t>
      </w:r>
      <w:r w:rsidR="002F2C6A" w:rsidRPr="00C10D10">
        <w:rPr>
          <w:szCs w:val="24"/>
        </w:rPr>
        <w:t xml:space="preserve"> public and environmental protection.</w:t>
      </w:r>
      <w:r w:rsidR="002F423A" w:rsidRPr="00C10D10">
        <w:rPr>
          <w:szCs w:val="24"/>
        </w:rPr>
        <w:t xml:space="preserve"> </w:t>
      </w:r>
    </w:p>
    <w:p w:rsidR="000C39A0" w:rsidRPr="00C10D10" w:rsidRDefault="000C39A0"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When the projected doses to the members of the public are </w:t>
      </w:r>
      <w:r w:rsidR="00CA1262">
        <w:rPr>
          <w:szCs w:val="24"/>
        </w:rPr>
        <w:t>o</w:t>
      </w:r>
      <w:r w:rsidR="00CD3695">
        <w:rPr>
          <w:szCs w:val="24"/>
        </w:rPr>
        <w:t>f</w:t>
      </w:r>
      <w:r w:rsidR="00CA1262" w:rsidRPr="00C10D10">
        <w:rPr>
          <w:szCs w:val="24"/>
        </w:rPr>
        <w:t xml:space="preserve"> </w:t>
      </w:r>
      <w:r w:rsidRPr="00C10D10">
        <w:rPr>
          <w:szCs w:val="24"/>
        </w:rPr>
        <w:t>the order</w:t>
      </w:r>
      <w:r w:rsidR="008C5A03">
        <w:rPr>
          <w:szCs w:val="24"/>
        </w:rPr>
        <w:t xml:space="preserve"> of</w:t>
      </w:r>
      <w:r w:rsidRPr="00C10D10">
        <w:rPr>
          <w:szCs w:val="24"/>
        </w:rPr>
        <w:t xml:space="preserve"> 10 </w:t>
      </w:r>
      <w:proofErr w:type="spellStart"/>
      <w:r w:rsidRPr="00C10D10">
        <w:rPr>
          <w:szCs w:val="24"/>
        </w:rPr>
        <w:t>μSv</w:t>
      </w:r>
      <w:proofErr w:type="spellEnd"/>
      <w:r w:rsidRPr="00C10D10">
        <w:rPr>
          <w:szCs w:val="24"/>
        </w:rPr>
        <w:t xml:space="preserve"> </w:t>
      </w:r>
      <w:r w:rsidR="00747E0A" w:rsidRPr="00C10D10">
        <w:rPr>
          <w:szCs w:val="24"/>
        </w:rPr>
        <w:t>per</w:t>
      </w:r>
      <w:r w:rsidRPr="00C10D10">
        <w:rPr>
          <w:szCs w:val="24"/>
        </w:rPr>
        <w:t xml:space="preserve"> year</w:t>
      </w:r>
      <w:r w:rsidR="00F501BF">
        <w:rPr>
          <w:szCs w:val="24"/>
        </w:rPr>
        <w:t xml:space="preserve"> or below, </w:t>
      </w:r>
      <w:r w:rsidRPr="00C10D10">
        <w:rPr>
          <w:szCs w:val="24"/>
        </w:rPr>
        <w:t xml:space="preserve">a process for optimization </w:t>
      </w:r>
      <w:r w:rsidR="000D615D">
        <w:rPr>
          <w:szCs w:val="24"/>
        </w:rPr>
        <w:t>should</w:t>
      </w:r>
      <w:r w:rsidR="000D615D" w:rsidRPr="00C10D10">
        <w:rPr>
          <w:szCs w:val="24"/>
        </w:rPr>
        <w:t xml:space="preserve"> </w:t>
      </w:r>
      <w:r w:rsidRPr="00C10D10">
        <w:rPr>
          <w:szCs w:val="24"/>
        </w:rPr>
        <w:t xml:space="preserve">not </w:t>
      </w:r>
      <w:r w:rsidR="008C5A03">
        <w:rPr>
          <w:szCs w:val="24"/>
        </w:rPr>
        <w:t xml:space="preserve">normally </w:t>
      </w:r>
      <w:r w:rsidRPr="00C10D10">
        <w:rPr>
          <w:szCs w:val="24"/>
        </w:rPr>
        <w:t>be required</w:t>
      </w:r>
      <w:r w:rsidR="00CA1262">
        <w:rPr>
          <w:szCs w:val="24"/>
        </w:rPr>
        <w:t>,</w:t>
      </w:r>
      <w:r w:rsidRPr="00C10D10">
        <w:rPr>
          <w:szCs w:val="24"/>
        </w:rPr>
        <w:t xml:space="preserve"> on the basis that the efforts for further dose reduction would generally not fulfil the</w:t>
      </w:r>
      <w:r w:rsidR="00CA1262">
        <w:rPr>
          <w:szCs w:val="24"/>
        </w:rPr>
        <w:t xml:space="preserve"> requirement for</w:t>
      </w:r>
      <w:r w:rsidRPr="00C10D10">
        <w:rPr>
          <w:szCs w:val="24"/>
        </w:rPr>
        <w:t xml:space="preserve"> optimization. </w:t>
      </w:r>
    </w:p>
    <w:p w:rsidR="00E25C77" w:rsidRPr="00C10D10" w:rsidRDefault="005C3F17" w:rsidP="00E25C77">
      <w:pPr>
        <w:pStyle w:val="ListParagraph"/>
        <w:autoSpaceDE w:val="0"/>
        <w:autoSpaceDN w:val="0"/>
        <w:adjustRightInd w:val="0"/>
        <w:spacing w:before="120"/>
        <w:contextualSpacing w:val="0"/>
        <w:rPr>
          <w:b/>
          <w:szCs w:val="24"/>
        </w:rPr>
      </w:pPr>
      <w:r w:rsidRPr="00C10D10">
        <w:rPr>
          <w:b/>
          <w:szCs w:val="24"/>
        </w:rPr>
        <w:t>O</w:t>
      </w:r>
      <w:r w:rsidR="001E2CBA" w:rsidRPr="00C10D10">
        <w:rPr>
          <w:b/>
          <w:szCs w:val="24"/>
        </w:rPr>
        <w:t xml:space="preserve">ptimization </w:t>
      </w:r>
      <w:r w:rsidRPr="00C10D10">
        <w:rPr>
          <w:b/>
          <w:szCs w:val="24"/>
        </w:rPr>
        <w:t xml:space="preserve">of protection </w:t>
      </w:r>
      <w:r w:rsidR="001E2CBA" w:rsidRPr="00C10D10">
        <w:rPr>
          <w:b/>
          <w:szCs w:val="24"/>
        </w:rPr>
        <w:t xml:space="preserve">and regulatory control </w:t>
      </w:r>
      <w:r w:rsidR="00924D66" w:rsidRPr="00C10D10">
        <w:rPr>
          <w:b/>
          <w:szCs w:val="24"/>
        </w:rPr>
        <w:t>of</w:t>
      </w:r>
      <w:r w:rsidR="001E2CBA" w:rsidRPr="00C10D10">
        <w:rPr>
          <w:b/>
          <w:szCs w:val="24"/>
        </w:rPr>
        <w:t xml:space="preserve"> </w:t>
      </w:r>
      <w:r w:rsidRPr="00C10D10">
        <w:rPr>
          <w:b/>
          <w:szCs w:val="24"/>
        </w:rPr>
        <w:t>speci</w:t>
      </w:r>
      <w:r w:rsidR="0059187C">
        <w:rPr>
          <w:b/>
          <w:szCs w:val="24"/>
        </w:rPr>
        <w:t>fic</w:t>
      </w:r>
      <w:r w:rsidRPr="00C10D10">
        <w:rPr>
          <w:b/>
          <w:szCs w:val="24"/>
        </w:rPr>
        <w:t xml:space="preserve"> radion</w:t>
      </w:r>
      <w:r w:rsidR="001E2CBA" w:rsidRPr="00C10D10">
        <w:rPr>
          <w:b/>
          <w:szCs w:val="24"/>
        </w:rPr>
        <w:t>uclides</w:t>
      </w:r>
      <w:r w:rsidR="008C0B69" w:rsidRPr="00C10D10">
        <w:rPr>
          <w:b/>
          <w:szCs w:val="24"/>
        </w:rPr>
        <w:t xml:space="preserve"> </w:t>
      </w:r>
    </w:p>
    <w:p w:rsidR="00BE11B0" w:rsidRPr="00C10D10" w:rsidRDefault="00906CA3"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While the </w:t>
      </w:r>
      <w:r w:rsidR="0092133D" w:rsidRPr="00C10D10">
        <w:rPr>
          <w:szCs w:val="24"/>
        </w:rPr>
        <w:t>requirements for</w:t>
      </w:r>
      <w:r w:rsidRPr="00C10D10">
        <w:rPr>
          <w:szCs w:val="24"/>
        </w:rPr>
        <w:t xml:space="preserve"> optimization of protection</w:t>
      </w:r>
      <w:r w:rsidR="000B6CCF" w:rsidRPr="00C10D10">
        <w:rPr>
          <w:szCs w:val="24"/>
        </w:rPr>
        <w:t xml:space="preserve"> and regulatory control</w:t>
      </w:r>
      <w:r w:rsidRPr="00C10D10">
        <w:rPr>
          <w:szCs w:val="24"/>
        </w:rPr>
        <w:t xml:space="preserve"> must be applied to all type of facilities and activities and radionuclides</w:t>
      </w:r>
      <w:r w:rsidR="00492768">
        <w:rPr>
          <w:szCs w:val="24"/>
        </w:rPr>
        <w:t xml:space="preserve">, </w:t>
      </w:r>
      <w:r w:rsidR="00CA1262">
        <w:rPr>
          <w:szCs w:val="24"/>
        </w:rPr>
        <w:t xml:space="preserve">in </w:t>
      </w:r>
      <w:r w:rsidR="0059187C">
        <w:rPr>
          <w:szCs w:val="24"/>
        </w:rPr>
        <w:t>carrying out the optimization of protection</w:t>
      </w:r>
      <w:r w:rsidRPr="00C10D10">
        <w:rPr>
          <w:szCs w:val="24"/>
        </w:rPr>
        <w:t>,</w:t>
      </w:r>
      <w:r w:rsidR="00E25C77" w:rsidRPr="00C10D10">
        <w:rPr>
          <w:szCs w:val="24"/>
        </w:rPr>
        <w:t xml:space="preserve"> certain </w:t>
      </w:r>
      <w:r w:rsidR="00B70BDE">
        <w:rPr>
          <w:szCs w:val="24"/>
        </w:rPr>
        <w:t xml:space="preserve">effluents containing </w:t>
      </w:r>
      <w:r w:rsidR="00E25C77" w:rsidRPr="00C10D10">
        <w:rPr>
          <w:szCs w:val="24"/>
        </w:rPr>
        <w:t xml:space="preserve">radionuclides </w:t>
      </w:r>
      <w:r w:rsidR="0059187C">
        <w:rPr>
          <w:szCs w:val="24"/>
        </w:rPr>
        <w:t>used in</w:t>
      </w:r>
      <w:r w:rsidR="007D63AC" w:rsidRPr="00C10D10">
        <w:rPr>
          <w:szCs w:val="24"/>
        </w:rPr>
        <w:t xml:space="preserve"> some practices </w:t>
      </w:r>
      <w:r w:rsidR="00E25C77" w:rsidRPr="00C10D10">
        <w:rPr>
          <w:szCs w:val="24"/>
        </w:rPr>
        <w:t xml:space="preserve">have </w:t>
      </w:r>
      <w:r w:rsidR="00041BAF" w:rsidRPr="00C10D10">
        <w:rPr>
          <w:szCs w:val="24"/>
        </w:rPr>
        <w:t xml:space="preserve">special </w:t>
      </w:r>
      <w:r w:rsidR="00E25C77" w:rsidRPr="00C10D10">
        <w:rPr>
          <w:szCs w:val="24"/>
        </w:rPr>
        <w:t xml:space="preserve">characteristics that require </w:t>
      </w:r>
      <w:r w:rsidR="00CA1262">
        <w:rPr>
          <w:szCs w:val="24"/>
        </w:rPr>
        <w:t xml:space="preserve">particular </w:t>
      </w:r>
      <w:r w:rsidR="00E25C77" w:rsidRPr="00C10D10">
        <w:rPr>
          <w:szCs w:val="24"/>
        </w:rPr>
        <w:t xml:space="preserve">consideration. Among these characteristics are the </w:t>
      </w:r>
      <w:r w:rsidR="00492768">
        <w:rPr>
          <w:szCs w:val="24"/>
        </w:rPr>
        <w:t xml:space="preserve">technical </w:t>
      </w:r>
      <w:r w:rsidR="00E25C77" w:rsidRPr="00C10D10">
        <w:rPr>
          <w:szCs w:val="24"/>
        </w:rPr>
        <w:t xml:space="preserve">difficulties in </w:t>
      </w:r>
      <w:r w:rsidR="00E77A0D" w:rsidRPr="00C10D10">
        <w:rPr>
          <w:szCs w:val="24"/>
        </w:rPr>
        <w:t xml:space="preserve">managing </w:t>
      </w:r>
      <w:r w:rsidR="006311B4">
        <w:rPr>
          <w:szCs w:val="24"/>
        </w:rPr>
        <w:t xml:space="preserve">radioactive </w:t>
      </w:r>
      <w:r w:rsidR="00316DD8">
        <w:rPr>
          <w:szCs w:val="24"/>
        </w:rPr>
        <w:t xml:space="preserve">waste </w:t>
      </w:r>
      <w:r w:rsidR="00CA1262">
        <w:rPr>
          <w:szCs w:val="24"/>
        </w:rPr>
        <w:t>from</w:t>
      </w:r>
      <w:r w:rsidR="00CA1262" w:rsidRPr="00C10D10">
        <w:rPr>
          <w:szCs w:val="24"/>
        </w:rPr>
        <w:t xml:space="preserve"> </w:t>
      </w:r>
      <w:r w:rsidR="00041BAF">
        <w:rPr>
          <w:szCs w:val="24"/>
        </w:rPr>
        <w:t xml:space="preserve">applications </w:t>
      </w:r>
      <w:r w:rsidR="00A24638">
        <w:rPr>
          <w:szCs w:val="24"/>
        </w:rPr>
        <w:t>of ra</w:t>
      </w:r>
      <w:r w:rsidR="006E46AE">
        <w:rPr>
          <w:szCs w:val="24"/>
        </w:rPr>
        <w:t>dioisotopes</w:t>
      </w:r>
      <w:r w:rsidR="00A24638">
        <w:rPr>
          <w:szCs w:val="24"/>
        </w:rPr>
        <w:t xml:space="preserve"> </w:t>
      </w:r>
      <w:r w:rsidR="00041BAF">
        <w:rPr>
          <w:szCs w:val="24"/>
        </w:rPr>
        <w:t xml:space="preserve">in medicine or </w:t>
      </w:r>
      <w:r w:rsidR="00CA1262">
        <w:rPr>
          <w:szCs w:val="24"/>
        </w:rPr>
        <w:t>from the</w:t>
      </w:r>
      <w:r w:rsidR="00041BAF">
        <w:rPr>
          <w:szCs w:val="24"/>
        </w:rPr>
        <w:t xml:space="preserve"> </w:t>
      </w:r>
      <w:r w:rsidR="0059187C">
        <w:rPr>
          <w:szCs w:val="24"/>
        </w:rPr>
        <w:t>operation</w:t>
      </w:r>
      <w:r w:rsidR="00041BAF">
        <w:rPr>
          <w:szCs w:val="24"/>
        </w:rPr>
        <w:t xml:space="preserve"> of </w:t>
      </w:r>
      <w:r w:rsidR="00A24638">
        <w:rPr>
          <w:szCs w:val="24"/>
        </w:rPr>
        <w:t xml:space="preserve">certain </w:t>
      </w:r>
      <w:r w:rsidR="00041BAF">
        <w:rPr>
          <w:szCs w:val="24"/>
        </w:rPr>
        <w:t xml:space="preserve">facilities or </w:t>
      </w:r>
      <w:r w:rsidR="00CD3695">
        <w:rPr>
          <w:szCs w:val="24"/>
        </w:rPr>
        <w:t xml:space="preserve">the </w:t>
      </w:r>
      <w:r w:rsidR="00041BAF">
        <w:rPr>
          <w:szCs w:val="24"/>
        </w:rPr>
        <w:t xml:space="preserve">conduct of </w:t>
      </w:r>
      <w:r w:rsidR="00CD3695">
        <w:rPr>
          <w:szCs w:val="24"/>
        </w:rPr>
        <w:t xml:space="preserve">certain </w:t>
      </w:r>
      <w:r w:rsidR="00041BAF">
        <w:rPr>
          <w:szCs w:val="24"/>
        </w:rPr>
        <w:t>activities</w:t>
      </w:r>
      <w:r w:rsidR="00B70BDE">
        <w:rPr>
          <w:szCs w:val="24"/>
        </w:rPr>
        <w:t>. Examples are the</w:t>
      </w:r>
      <w:r w:rsidR="00A24638">
        <w:rPr>
          <w:szCs w:val="24"/>
        </w:rPr>
        <w:t xml:space="preserve"> </w:t>
      </w:r>
      <w:r w:rsidR="007D63AC" w:rsidRPr="00C10D10">
        <w:rPr>
          <w:szCs w:val="24"/>
        </w:rPr>
        <w:t>us</w:t>
      </w:r>
      <w:r w:rsidR="00B70BDE">
        <w:rPr>
          <w:szCs w:val="24"/>
        </w:rPr>
        <w:t>e of</w:t>
      </w:r>
      <w:r w:rsidR="007D63AC" w:rsidRPr="00C10D10">
        <w:rPr>
          <w:szCs w:val="24"/>
        </w:rPr>
        <w:t xml:space="preserve"> unsealed sources in nuclear medicine</w:t>
      </w:r>
      <w:r w:rsidR="00E77A0D" w:rsidRPr="00C10D10">
        <w:rPr>
          <w:szCs w:val="24"/>
        </w:rPr>
        <w:t>, which are administrated to patients as part of medical treatment</w:t>
      </w:r>
      <w:r w:rsidR="00CA1262">
        <w:rPr>
          <w:szCs w:val="24"/>
        </w:rPr>
        <w:t>,</w:t>
      </w:r>
      <w:r w:rsidR="00A24638">
        <w:rPr>
          <w:szCs w:val="24"/>
        </w:rPr>
        <w:t xml:space="preserve"> </w:t>
      </w:r>
      <w:r w:rsidR="007D63AC" w:rsidRPr="00C10D10">
        <w:rPr>
          <w:szCs w:val="24"/>
        </w:rPr>
        <w:t>or</w:t>
      </w:r>
      <w:r w:rsidR="00041BAF">
        <w:rPr>
          <w:szCs w:val="24"/>
        </w:rPr>
        <w:t xml:space="preserve"> </w:t>
      </w:r>
      <w:r w:rsidR="00B70BDE">
        <w:rPr>
          <w:szCs w:val="24"/>
        </w:rPr>
        <w:t>the</w:t>
      </w:r>
      <w:r w:rsidR="00041BAF">
        <w:rPr>
          <w:szCs w:val="24"/>
        </w:rPr>
        <w:t xml:space="preserve"> </w:t>
      </w:r>
      <w:r w:rsidR="00316DD8">
        <w:rPr>
          <w:szCs w:val="24"/>
        </w:rPr>
        <w:t>management</w:t>
      </w:r>
      <w:r w:rsidR="00316DD8" w:rsidRPr="00C10D10">
        <w:rPr>
          <w:szCs w:val="24"/>
        </w:rPr>
        <w:t xml:space="preserve"> </w:t>
      </w:r>
      <w:r w:rsidR="00316DD8">
        <w:rPr>
          <w:szCs w:val="24"/>
        </w:rPr>
        <w:t>of</w:t>
      </w:r>
      <w:r w:rsidR="00B70BDE">
        <w:rPr>
          <w:szCs w:val="24"/>
        </w:rPr>
        <w:t xml:space="preserve"> </w:t>
      </w:r>
      <w:r w:rsidR="007D63AC" w:rsidRPr="00C10D10">
        <w:rPr>
          <w:szCs w:val="24"/>
        </w:rPr>
        <w:t xml:space="preserve">large volumes </w:t>
      </w:r>
      <w:r w:rsidR="00B70BDE">
        <w:rPr>
          <w:szCs w:val="24"/>
        </w:rPr>
        <w:t>of</w:t>
      </w:r>
      <w:r w:rsidR="007D63AC" w:rsidRPr="00C10D10">
        <w:rPr>
          <w:szCs w:val="24"/>
        </w:rPr>
        <w:t xml:space="preserve"> the gaseous or </w:t>
      </w:r>
      <w:r w:rsidR="008913B0" w:rsidRPr="00C10D10">
        <w:rPr>
          <w:szCs w:val="24"/>
        </w:rPr>
        <w:t>liquid effluents</w:t>
      </w:r>
      <w:r w:rsidR="007D63AC" w:rsidRPr="00C10D10">
        <w:rPr>
          <w:szCs w:val="24"/>
        </w:rPr>
        <w:t xml:space="preserve"> </w:t>
      </w:r>
      <w:r w:rsidR="008913B0">
        <w:rPr>
          <w:szCs w:val="24"/>
        </w:rPr>
        <w:t xml:space="preserve">containing </w:t>
      </w:r>
      <w:r w:rsidR="008913B0" w:rsidRPr="00C10D10">
        <w:rPr>
          <w:szCs w:val="24"/>
        </w:rPr>
        <w:t>very</w:t>
      </w:r>
      <w:r w:rsidR="007D63AC" w:rsidRPr="00C10D10">
        <w:rPr>
          <w:szCs w:val="24"/>
        </w:rPr>
        <w:t xml:space="preserve"> low levels of activity concentration</w:t>
      </w:r>
      <w:r w:rsidR="00A24638">
        <w:rPr>
          <w:szCs w:val="24"/>
        </w:rPr>
        <w:t xml:space="preserve"> of certain</w:t>
      </w:r>
      <w:r w:rsidR="00E77A0D" w:rsidRPr="00C10D10">
        <w:rPr>
          <w:szCs w:val="24"/>
        </w:rPr>
        <w:t xml:space="preserve"> radionuclides resulting</w:t>
      </w:r>
      <w:r w:rsidR="006E46AE">
        <w:rPr>
          <w:szCs w:val="24"/>
        </w:rPr>
        <w:t xml:space="preserve">, for example, </w:t>
      </w:r>
      <w:r w:rsidR="00E77A0D" w:rsidRPr="00C10D10">
        <w:rPr>
          <w:szCs w:val="24"/>
        </w:rPr>
        <w:t>from neutron activation in the coolant system of nuclear power plants</w:t>
      </w:r>
      <w:r w:rsidR="007D63AC" w:rsidRPr="00C10D10">
        <w:rPr>
          <w:szCs w:val="24"/>
        </w:rPr>
        <w:t>.</w:t>
      </w:r>
    </w:p>
    <w:p w:rsidR="00681822" w:rsidRPr="00C10D10" w:rsidRDefault="007D63AC" w:rsidP="0091132F">
      <w:pPr>
        <w:pStyle w:val="ListParagraph"/>
        <w:numPr>
          <w:ilvl w:val="0"/>
          <w:numId w:val="7"/>
        </w:numPr>
        <w:autoSpaceDE w:val="0"/>
        <w:autoSpaceDN w:val="0"/>
        <w:adjustRightInd w:val="0"/>
        <w:spacing w:before="120"/>
        <w:contextualSpacing w:val="0"/>
        <w:jc w:val="both"/>
        <w:rPr>
          <w:szCs w:val="24"/>
        </w:rPr>
      </w:pPr>
      <w:r w:rsidRPr="00C10D10">
        <w:rPr>
          <w:szCs w:val="24"/>
        </w:rPr>
        <w:t>F</w:t>
      </w:r>
      <w:r w:rsidR="00061893" w:rsidRPr="00C10D10">
        <w:rPr>
          <w:szCs w:val="24"/>
        </w:rPr>
        <w:t>or</w:t>
      </w:r>
      <w:r w:rsidR="00BD2D06" w:rsidRPr="00C10D10">
        <w:rPr>
          <w:szCs w:val="24"/>
        </w:rPr>
        <w:t xml:space="preserve"> </w:t>
      </w:r>
      <w:r w:rsidR="00CA1262">
        <w:rPr>
          <w:szCs w:val="24"/>
        </w:rPr>
        <w:t>such</w:t>
      </w:r>
      <w:r w:rsidR="00CA1262" w:rsidRPr="00C10D10">
        <w:rPr>
          <w:szCs w:val="24"/>
        </w:rPr>
        <w:t xml:space="preserve"> </w:t>
      </w:r>
      <w:r w:rsidR="00BD2D06" w:rsidRPr="00C10D10">
        <w:rPr>
          <w:szCs w:val="24"/>
        </w:rPr>
        <w:t>practices</w:t>
      </w:r>
      <w:r w:rsidR="00CA1262">
        <w:rPr>
          <w:szCs w:val="24"/>
        </w:rPr>
        <w:t>,</w:t>
      </w:r>
      <w:r w:rsidR="00061893" w:rsidRPr="00C10D10">
        <w:rPr>
          <w:szCs w:val="24"/>
        </w:rPr>
        <w:t xml:space="preserve"> the discharge of </w:t>
      </w:r>
      <w:r w:rsidR="00BD2D06" w:rsidRPr="00C10D10">
        <w:rPr>
          <w:szCs w:val="24"/>
        </w:rPr>
        <w:t xml:space="preserve">some </w:t>
      </w:r>
      <w:r w:rsidR="00061893" w:rsidRPr="00C10D10">
        <w:rPr>
          <w:szCs w:val="24"/>
        </w:rPr>
        <w:t>s</w:t>
      </w:r>
      <w:r w:rsidR="002867E6" w:rsidRPr="00C10D10">
        <w:rPr>
          <w:szCs w:val="24"/>
        </w:rPr>
        <w:t xml:space="preserve">pecific </w:t>
      </w:r>
      <w:r w:rsidR="00FC02D5" w:rsidRPr="00C10D10">
        <w:rPr>
          <w:szCs w:val="24"/>
        </w:rPr>
        <w:t>radio</w:t>
      </w:r>
      <w:r w:rsidR="002867E6" w:rsidRPr="00C10D10">
        <w:rPr>
          <w:szCs w:val="24"/>
        </w:rPr>
        <w:t>nuclides may require</w:t>
      </w:r>
      <w:r w:rsidR="00BD2D06" w:rsidRPr="00C10D10">
        <w:rPr>
          <w:szCs w:val="24"/>
        </w:rPr>
        <w:t xml:space="preserve"> </w:t>
      </w:r>
      <w:r w:rsidR="00424901" w:rsidRPr="00C10D10">
        <w:rPr>
          <w:szCs w:val="24"/>
        </w:rPr>
        <w:t>special</w:t>
      </w:r>
      <w:r w:rsidR="00DD7648" w:rsidRPr="00C10D10">
        <w:rPr>
          <w:szCs w:val="24"/>
        </w:rPr>
        <w:t xml:space="preserve"> </w:t>
      </w:r>
      <w:r w:rsidR="00BD2D06" w:rsidRPr="00C10D10">
        <w:rPr>
          <w:szCs w:val="24"/>
        </w:rPr>
        <w:t xml:space="preserve">consideration </w:t>
      </w:r>
      <w:r w:rsidR="005C3F17" w:rsidRPr="00C10D10">
        <w:rPr>
          <w:szCs w:val="24"/>
        </w:rPr>
        <w:t xml:space="preserve">by the </w:t>
      </w:r>
      <w:r w:rsidR="005A3563" w:rsidRPr="00C10D10">
        <w:rPr>
          <w:szCs w:val="24"/>
        </w:rPr>
        <w:t>operating organization</w:t>
      </w:r>
      <w:r w:rsidR="005C3F17" w:rsidRPr="00C10D10">
        <w:rPr>
          <w:szCs w:val="24"/>
        </w:rPr>
        <w:t xml:space="preserve"> </w:t>
      </w:r>
      <w:r w:rsidR="0006459E" w:rsidRPr="00C10D10">
        <w:rPr>
          <w:szCs w:val="24"/>
        </w:rPr>
        <w:t xml:space="preserve">and the </w:t>
      </w:r>
      <w:r w:rsidR="00EB3D33" w:rsidRPr="00C10D10">
        <w:rPr>
          <w:szCs w:val="24"/>
        </w:rPr>
        <w:t>regulatory body</w:t>
      </w:r>
      <w:r w:rsidR="0006459E" w:rsidRPr="00C10D10">
        <w:rPr>
          <w:szCs w:val="24"/>
        </w:rPr>
        <w:t xml:space="preserve"> </w:t>
      </w:r>
      <w:r w:rsidR="00BD2D06" w:rsidRPr="00C10D10">
        <w:rPr>
          <w:szCs w:val="24"/>
        </w:rPr>
        <w:t xml:space="preserve">at the time of </w:t>
      </w:r>
      <w:r w:rsidR="00E7351C" w:rsidRPr="00C10D10">
        <w:rPr>
          <w:szCs w:val="24"/>
        </w:rPr>
        <w:t>specifying</w:t>
      </w:r>
      <w:r w:rsidR="00BD2D06" w:rsidRPr="00C10D10">
        <w:rPr>
          <w:szCs w:val="24"/>
        </w:rPr>
        <w:t xml:space="preserve"> </w:t>
      </w:r>
      <w:r w:rsidR="0006459E" w:rsidRPr="00C10D10">
        <w:rPr>
          <w:szCs w:val="24"/>
        </w:rPr>
        <w:t xml:space="preserve">and agreeing </w:t>
      </w:r>
      <w:r w:rsidR="00BD2D06" w:rsidRPr="00C10D10">
        <w:rPr>
          <w:szCs w:val="24"/>
        </w:rPr>
        <w:t>the optimal solution in terms of the protection</w:t>
      </w:r>
      <w:r w:rsidR="00C4063A" w:rsidRPr="00C10D10">
        <w:rPr>
          <w:szCs w:val="24"/>
        </w:rPr>
        <w:t xml:space="preserve"> </w:t>
      </w:r>
      <w:r w:rsidR="00B70BDE">
        <w:rPr>
          <w:szCs w:val="24"/>
        </w:rPr>
        <w:t>and safety</w:t>
      </w:r>
      <w:r w:rsidR="00C4063A" w:rsidRPr="00C10D10">
        <w:rPr>
          <w:szCs w:val="24"/>
        </w:rPr>
        <w:t xml:space="preserve">. This consideration may also result </w:t>
      </w:r>
      <w:r w:rsidR="005C3F17" w:rsidRPr="00C10D10">
        <w:rPr>
          <w:szCs w:val="24"/>
        </w:rPr>
        <w:t>in the</w:t>
      </w:r>
      <w:r w:rsidR="00681822" w:rsidRPr="00C10D10">
        <w:rPr>
          <w:szCs w:val="24"/>
        </w:rPr>
        <w:t xml:space="preserve"> need </w:t>
      </w:r>
      <w:r w:rsidR="00CA1262">
        <w:rPr>
          <w:szCs w:val="24"/>
        </w:rPr>
        <w:t>for</w:t>
      </w:r>
      <w:r w:rsidR="00CA1262" w:rsidRPr="00C10D10">
        <w:rPr>
          <w:szCs w:val="24"/>
        </w:rPr>
        <w:t xml:space="preserve"> </w:t>
      </w:r>
      <w:r w:rsidR="00C4063A" w:rsidRPr="00C10D10">
        <w:rPr>
          <w:szCs w:val="24"/>
        </w:rPr>
        <w:t xml:space="preserve">an </w:t>
      </w:r>
      <w:r w:rsidR="001E2CBA" w:rsidRPr="00C10D10">
        <w:rPr>
          <w:szCs w:val="24"/>
        </w:rPr>
        <w:t xml:space="preserve">adapted </w:t>
      </w:r>
      <w:r w:rsidR="00BD2D06" w:rsidRPr="00C10D10">
        <w:rPr>
          <w:szCs w:val="24"/>
        </w:rPr>
        <w:t xml:space="preserve">approach for the </w:t>
      </w:r>
      <w:r w:rsidR="001E2CBA" w:rsidRPr="00C10D10">
        <w:rPr>
          <w:szCs w:val="24"/>
        </w:rPr>
        <w:t>regulatory control</w:t>
      </w:r>
      <w:r w:rsidR="00C4063A" w:rsidRPr="00C10D10">
        <w:rPr>
          <w:szCs w:val="24"/>
        </w:rPr>
        <w:t xml:space="preserve"> of these </w:t>
      </w:r>
      <w:r w:rsidR="00C4063A" w:rsidRPr="00C10D10">
        <w:rPr>
          <w:szCs w:val="24"/>
        </w:rPr>
        <w:lastRenderedPageBreak/>
        <w:t>discharges</w:t>
      </w:r>
      <w:r w:rsidR="002867E6" w:rsidRPr="00C10D10">
        <w:rPr>
          <w:szCs w:val="24"/>
        </w:rPr>
        <w:t xml:space="preserve">. </w:t>
      </w:r>
      <w:r w:rsidR="00C4063A" w:rsidRPr="00C10D10">
        <w:rPr>
          <w:szCs w:val="24"/>
        </w:rPr>
        <w:t xml:space="preserve">Examples of </w:t>
      </w:r>
      <w:r w:rsidR="00CA1262">
        <w:rPr>
          <w:szCs w:val="24"/>
        </w:rPr>
        <w:t>such</w:t>
      </w:r>
      <w:r w:rsidR="00CA1262" w:rsidRPr="00C10D10">
        <w:rPr>
          <w:szCs w:val="24"/>
        </w:rPr>
        <w:t xml:space="preserve"> </w:t>
      </w:r>
      <w:r w:rsidR="00C4063A" w:rsidRPr="00C10D10">
        <w:rPr>
          <w:szCs w:val="24"/>
        </w:rPr>
        <w:t>radionuclides are</w:t>
      </w:r>
      <w:r w:rsidR="002867E6" w:rsidRPr="00C10D10">
        <w:rPr>
          <w:szCs w:val="24"/>
        </w:rPr>
        <w:t xml:space="preserve"> tritium and </w:t>
      </w:r>
      <w:r w:rsidR="0059187C">
        <w:rPr>
          <w:szCs w:val="24"/>
        </w:rPr>
        <w:t>carbon</w:t>
      </w:r>
      <w:r w:rsidRPr="00C10D10">
        <w:rPr>
          <w:szCs w:val="24"/>
        </w:rPr>
        <w:t>-</w:t>
      </w:r>
      <w:r w:rsidR="002867E6" w:rsidRPr="00C10D10">
        <w:rPr>
          <w:szCs w:val="24"/>
        </w:rPr>
        <w:t xml:space="preserve">14 discharged </w:t>
      </w:r>
      <w:r w:rsidR="005C3F17" w:rsidRPr="00C10D10">
        <w:rPr>
          <w:szCs w:val="24"/>
        </w:rPr>
        <w:t xml:space="preserve">from </w:t>
      </w:r>
      <w:r w:rsidR="00A24638">
        <w:rPr>
          <w:szCs w:val="24"/>
        </w:rPr>
        <w:t xml:space="preserve">some </w:t>
      </w:r>
      <w:r w:rsidR="005C3F17" w:rsidRPr="00C10D10">
        <w:rPr>
          <w:szCs w:val="24"/>
        </w:rPr>
        <w:t>nuclear</w:t>
      </w:r>
      <w:r w:rsidR="002867E6" w:rsidRPr="00C10D10">
        <w:rPr>
          <w:szCs w:val="24"/>
        </w:rPr>
        <w:t xml:space="preserve"> </w:t>
      </w:r>
      <w:r w:rsidR="00E47D3F">
        <w:rPr>
          <w:szCs w:val="24"/>
        </w:rPr>
        <w:t>installations</w:t>
      </w:r>
      <w:r w:rsidRPr="00C10D10">
        <w:rPr>
          <w:szCs w:val="24"/>
        </w:rPr>
        <w:t xml:space="preserve"> and</w:t>
      </w:r>
      <w:r w:rsidR="00E77A0D" w:rsidRPr="00C10D10">
        <w:rPr>
          <w:szCs w:val="24"/>
        </w:rPr>
        <w:t xml:space="preserve"> </w:t>
      </w:r>
      <w:r w:rsidR="00525E88">
        <w:rPr>
          <w:szCs w:val="24"/>
        </w:rPr>
        <w:t>iodine</w:t>
      </w:r>
      <w:r w:rsidR="00BD43AA" w:rsidRPr="00C10D10">
        <w:rPr>
          <w:szCs w:val="24"/>
        </w:rPr>
        <w:t xml:space="preserve">-131 </w:t>
      </w:r>
      <w:r w:rsidR="002867E6" w:rsidRPr="00C10D10">
        <w:rPr>
          <w:szCs w:val="24"/>
        </w:rPr>
        <w:t xml:space="preserve">used in </w:t>
      </w:r>
      <w:r w:rsidR="00E47D3F">
        <w:rPr>
          <w:szCs w:val="24"/>
        </w:rPr>
        <w:t>hospitals</w:t>
      </w:r>
      <w:r w:rsidR="002867E6" w:rsidRPr="00C10D10">
        <w:rPr>
          <w:szCs w:val="24"/>
        </w:rPr>
        <w:t xml:space="preserve"> for</w:t>
      </w:r>
      <w:r w:rsidR="00E25C77" w:rsidRPr="00C10D10">
        <w:rPr>
          <w:szCs w:val="24"/>
        </w:rPr>
        <w:t xml:space="preserve"> </w:t>
      </w:r>
      <w:r w:rsidR="00050450">
        <w:rPr>
          <w:szCs w:val="24"/>
        </w:rPr>
        <w:t xml:space="preserve">nuclear </w:t>
      </w:r>
      <w:r w:rsidR="00E25C77" w:rsidRPr="00C10D10">
        <w:rPr>
          <w:szCs w:val="24"/>
        </w:rPr>
        <w:t>medic</w:t>
      </w:r>
      <w:r w:rsidR="00050450">
        <w:rPr>
          <w:szCs w:val="24"/>
        </w:rPr>
        <w:t>ine</w:t>
      </w:r>
      <w:r w:rsidR="002867E6" w:rsidRPr="00C10D10">
        <w:rPr>
          <w:szCs w:val="24"/>
        </w:rPr>
        <w:t xml:space="preserve"> </w:t>
      </w:r>
      <w:r w:rsidR="00E25C77" w:rsidRPr="00C10D10">
        <w:rPr>
          <w:szCs w:val="24"/>
        </w:rPr>
        <w:t>therapy</w:t>
      </w:r>
      <w:r w:rsidR="00906CA3" w:rsidRPr="00C10D10">
        <w:rPr>
          <w:szCs w:val="24"/>
        </w:rPr>
        <w:t>.</w:t>
      </w:r>
    </w:p>
    <w:p w:rsidR="00BE11B0" w:rsidRPr="00C10D10" w:rsidRDefault="00BD43AA" w:rsidP="0091132F">
      <w:pPr>
        <w:pStyle w:val="ListParagraph"/>
        <w:numPr>
          <w:ilvl w:val="0"/>
          <w:numId w:val="7"/>
        </w:numPr>
        <w:autoSpaceDE w:val="0"/>
        <w:autoSpaceDN w:val="0"/>
        <w:adjustRightInd w:val="0"/>
        <w:spacing w:before="120"/>
        <w:contextualSpacing w:val="0"/>
        <w:jc w:val="both"/>
        <w:rPr>
          <w:szCs w:val="24"/>
        </w:rPr>
      </w:pPr>
      <w:r w:rsidRPr="00C10D10">
        <w:rPr>
          <w:szCs w:val="24"/>
        </w:rPr>
        <w:t>For these</w:t>
      </w:r>
      <w:r w:rsidR="005C3F17" w:rsidRPr="00C10D10">
        <w:rPr>
          <w:szCs w:val="24"/>
        </w:rPr>
        <w:t xml:space="preserve"> particular</w:t>
      </w:r>
      <w:r w:rsidRPr="00C10D10">
        <w:rPr>
          <w:szCs w:val="24"/>
        </w:rPr>
        <w:t xml:space="preserve"> </w:t>
      </w:r>
      <w:r w:rsidR="00C4063A" w:rsidRPr="00C10D10">
        <w:rPr>
          <w:szCs w:val="24"/>
        </w:rPr>
        <w:t>practices and</w:t>
      </w:r>
      <w:r w:rsidR="00E7351C" w:rsidRPr="00C10D10">
        <w:rPr>
          <w:szCs w:val="24"/>
        </w:rPr>
        <w:t xml:space="preserve"> </w:t>
      </w:r>
      <w:r w:rsidR="00C4063A" w:rsidRPr="00C10D10">
        <w:rPr>
          <w:szCs w:val="24"/>
        </w:rPr>
        <w:t xml:space="preserve">radionuclides, </w:t>
      </w:r>
      <w:r w:rsidR="00B9406F" w:rsidRPr="00C10D10">
        <w:rPr>
          <w:szCs w:val="24"/>
        </w:rPr>
        <w:t>the</w:t>
      </w:r>
      <w:r w:rsidR="005C3F17" w:rsidRPr="00C10D10">
        <w:rPr>
          <w:szCs w:val="24"/>
        </w:rPr>
        <w:t xml:space="preserve"> </w:t>
      </w:r>
      <w:r w:rsidR="005A3563" w:rsidRPr="00C10D10">
        <w:rPr>
          <w:szCs w:val="24"/>
        </w:rPr>
        <w:t>operating organization</w:t>
      </w:r>
      <w:r w:rsidR="005C3F17" w:rsidRPr="00C10D10">
        <w:rPr>
          <w:szCs w:val="24"/>
        </w:rPr>
        <w:t xml:space="preserve"> </w:t>
      </w:r>
      <w:r w:rsidR="00C4063A" w:rsidRPr="00C10D10">
        <w:rPr>
          <w:szCs w:val="24"/>
        </w:rPr>
        <w:t xml:space="preserve">should </w:t>
      </w:r>
      <w:r w:rsidR="00E7351C" w:rsidRPr="00C10D10">
        <w:rPr>
          <w:szCs w:val="24"/>
        </w:rPr>
        <w:t>specify</w:t>
      </w:r>
      <w:r w:rsidR="00E25C77" w:rsidRPr="00C10D10">
        <w:rPr>
          <w:szCs w:val="24"/>
        </w:rPr>
        <w:t>,</w:t>
      </w:r>
      <w:r w:rsidR="00C4063A" w:rsidRPr="00C10D10">
        <w:rPr>
          <w:szCs w:val="24"/>
        </w:rPr>
        <w:t xml:space="preserve"> </w:t>
      </w:r>
      <w:r w:rsidR="005C3F17" w:rsidRPr="00C10D10">
        <w:rPr>
          <w:szCs w:val="24"/>
        </w:rPr>
        <w:t>in discussion with the regulatory body</w:t>
      </w:r>
      <w:r w:rsidR="00E25C77" w:rsidRPr="00C10D10">
        <w:rPr>
          <w:szCs w:val="24"/>
        </w:rPr>
        <w:t>,</w:t>
      </w:r>
      <w:r w:rsidR="005C3F17" w:rsidRPr="00C10D10">
        <w:rPr>
          <w:szCs w:val="24"/>
        </w:rPr>
        <w:t xml:space="preserve"> </w:t>
      </w:r>
      <w:r w:rsidR="00C4063A" w:rsidRPr="00C10D10">
        <w:rPr>
          <w:szCs w:val="24"/>
        </w:rPr>
        <w:t xml:space="preserve">the </w:t>
      </w:r>
      <w:r w:rsidR="00B9406F" w:rsidRPr="00C10D10">
        <w:rPr>
          <w:szCs w:val="24"/>
        </w:rPr>
        <w:t>optimum option</w:t>
      </w:r>
      <w:r w:rsidR="00C4063A" w:rsidRPr="00C10D10">
        <w:rPr>
          <w:szCs w:val="24"/>
        </w:rPr>
        <w:t xml:space="preserve"> for discharges</w:t>
      </w:r>
      <w:r w:rsidR="00CA1262">
        <w:rPr>
          <w:szCs w:val="24"/>
        </w:rPr>
        <w:t>,</w:t>
      </w:r>
      <w:r w:rsidR="00B9406F" w:rsidRPr="00C10D10">
        <w:rPr>
          <w:szCs w:val="24"/>
        </w:rPr>
        <w:t xml:space="preserve"> tak</w:t>
      </w:r>
      <w:r w:rsidR="00C4063A" w:rsidRPr="00C10D10">
        <w:rPr>
          <w:szCs w:val="24"/>
        </w:rPr>
        <w:t>ing</w:t>
      </w:r>
      <w:r w:rsidR="00E7351C" w:rsidRPr="00C10D10">
        <w:rPr>
          <w:szCs w:val="24"/>
        </w:rPr>
        <w:t xml:space="preserve"> </w:t>
      </w:r>
      <w:r w:rsidR="00B9406F" w:rsidRPr="00C10D10">
        <w:rPr>
          <w:szCs w:val="24"/>
        </w:rPr>
        <w:t>into account</w:t>
      </w:r>
      <w:r w:rsidR="00CD3695">
        <w:rPr>
          <w:szCs w:val="24"/>
        </w:rPr>
        <w:t xml:space="preserve"> the following</w:t>
      </w:r>
      <w:r w:rsidR="00B9406F" w:rsidRPr="00C10D10">
        <w:rPr>
          <w:szCs w:val="24"/>
        </w:rPr>
        <w:t>:</w:t>
      </w:r>
    </w:p>
    <w:p w:rsidR="00E25C77" w:rsidRPr="00C10D10" w:rsidRDefault="00CA1262" w:rsidP="0091132F">
      <w:pPr>
        <w:pStyle w:val="ListNumber2"/>
        <w:numPr>
          <w:ilvl w:val="0"/>
          <w:numId w:val="32"/>
        </w:numPr>
      </w:pPr>
      <w:r>
        <w:t>T</w:t>
      </w:r>
      <w:r w:rsidR="00B9406F" w:rsidRPr="00C10D10">
        <w:t xml:space="preserve">echnical </w:t>
      </w:r>
      <w:r w:rsidR="00C4063A" w:rsidRPr="00C10D10">
        <w:t>characteristic</w:t>
      </w:r>
      <w:r>
        <w:t>s</w:t>
      </w:r>
      <w:r w:rsidR="00C4063A" w:rsidRPr="00C10D10">
        <w:t xml:space="preserve"> relat</w:t>
      </w:r>
      <w:r>
        <w:t>ing</w:t>
      </w:r>
      <w:r w:rsidR="00C4063A" w:rsidRPr="00C10D10">
        <w:t xml:space="preserve"> to the control of discharges</w:t>
      </w:r>
      <w:r w:rsidR="00E25C77" w:rsidRPr="00C10D10">
        <w:t xml:space="preserve"> of </w:t>
      </w:r>
      <w:r w:rsidR="00676B16">
        <w:t>these</w:t>
      </w:r>
      <w:r w:rsidR="00E25C77" w:rsidRPr="00C10D10">
        <w:t xml:space="preserve"> radionuclides</w:t>
      </w:r>
      <w:r w:rsidR="00C4063A" w:rsidRPr="00C10D10">
        <w:t>,</w:t>
      </w:r>
      <w:r w:rsidR="00B9406F" w:rsidRPr="00C10D10">
        <w:t xml:space="preserve"> such as </w:t>
      </w:r>
      <w:r w:rsidR="00C4063A" w:rsidRPr="00C10D10">
        <w:t xml:space="preserve">the </w:t>
      </w:r>
      <w:r w:rsidR="00B9406F" w:rsidRPr="00C10D10">
        <w:t xml:space="preserve">availability of abatement techniques on a scale consistent with the </w:t>
      </w:r>
      <w:r w:rsidR="00C4063A" w:rsidRPr="00C10D10">
        <w:t>needs for the particular practice</w:t>
      </w:r>
      <w:r w:rsidR="00BE11B0" w:rsidRPr="00C10D10">
        <w:t xml:space="preserve"> (</w:t>
      </w:r>
      <w:r w:rsidR="00654E29" w:rsidRPr="00C10D10">
        <w:t xml:space="preserve">in particular for large </w:t>
      </w:r>
      <w:r w:rsidR="00253819" w:rsidRPr="00C10D10">
        <w:t xml:space="preserve">volumes </w:t>
      </w:r>
      <w:r w:rsidR="00F24DD4" w:rsidRPr="00C10D10">
        <w:t>of liquid</w:t>
      </w:r>
      <w:r w:rsidR="00253819" w:rsidRPr="00C10D10">
        <w:t xml:space="preserve"> or gaseous </w:t>
      </w:r>
      <w:r w:rsidR="00654E29" w:rsidRPr="00C10D10">
        <w:t>effluent</w:t>
      </w:r>
      <w:r w:rsidR="00253819" w:rsidRPr="00C10D10">
        <w:t>s</w:t>
      </w:r>
      <w:r w:rsidR="00654E29" w:rsidRPr="00C10D10">
        <w:t xml:space="preserve"> with low concentrations of </w:t>
      </w:r>
      <w:r w:rsidR="00253819" w:rsidRPr="00C10D10">
        <w:t>radio</w:t>
      </w:r>
      <w:r w:rsidR="00654E29" w:rsidRPr="00C10D10">
        <w:t>nuclides</w:t>
      </w:r>
      <w:r w:rsidR="00BE11B0" w:rsidRPr="00C10D10">
        <w:t>)</w:t>
      </w:r>
      <w:r w:rsidR="00E25C77" w:rsidRPr="00C10D10">
        <w:t>;</w:t>
      </w:r>
    </w:p>
    <w:p w:rsidR="00BE11B0" w:rsidRPr="00C10D10" w:rsidRDefault="00CA1262" w:rsidP="00525E88">
      <w:pPr>
        <w:pStyle w:val="ListNumber2"/>
      </w:pPr>
      <w:r>
        <w:t>E</w:t>
      </w:r>
      <w:r w:rsidR="00B65BB9" w:rsidRPr="00C10D10">
        <w:t>conomic</w:t>
      </w:r>
      <w:r w:rsidR="00B9406F" w:rsidRPr="00C10D10">
        <w:t xml:space="preserve"> </w:t>
      </w:r>
      <w:r w:rsidR="00253819" w:rsidRPr="00C10D10">
        <w:t>characteristics</w:t>
      </w:r>
      <w:r w:rsidR="00F24DD4" w:rsidRPr="00C10D10">
        <w:t>, such</w:t>
      </w:r>
      <w:r w:rsidR="00B9406F" w:rsidRPr="00C10D10">
        <w:t xml:space="preserve"> as the </w:t>
      </w:r>
      <w:r w:rsidR="00654E29" w:rsidRPr="00C10D10">
        <w:t xml:space="preserve">costs of the </w:t>
      </w:r>
      <w:r w:rsidR="00246E97">
        <w:t xml:space="preserve">waste </w:t>
      </w:r>
      <w:r w:rsidR="00BF7502" w:rsidRPr="00C10D10">
        <w:t>abatement techniques</w:t>
      </w:r>
      <w:r>
        <w:t>,</w:t>
      </w:r>
      <w:r w:rsidR="009E3C08" w:rsidRPr="00C10D10">
        <w:t xml:space="preserve"> </w:t>
      </w:r>
      <w:r w:rsidR="00E044A0" w:rsidRPr="00C10D10">
        <w:t xml:space="preserve">which might be excessive and unjustified </w:t>
      </w:r>
      <w:r w:rsidR="009E3C08" w:rsidRPr="00C10D10">
        <w:t xml:space="preserve">in the framework of the general </w:t>
      </w:r>
      <w:r w:rsidR="00253819" w:rsidRPr="00C10D10">
        <w:t>optimization</w:t>
      </w:r>
      <w:r>
        <w:t xml:space="preserve"> of protection and safety</w:t>
      </w:r>
      <w:r w:rsidR="00253819" w:rsidRPr="00C10D10">
        <w:t xml:space="preserve"> </w:t>
      </w:r>
      <w:r w:rsidR="005C3F17" w:rsidRPr="00C10D10">
        <w:t>for the</w:t>
      </w:r>
      <w:r w:rsidR="009E3C08" w:rsidRPr="00C10D10">
        <w:t xml:space="preserve"> </w:t>
      </w:r>
      <w:r w:rsidR="00253819" w:rsidRPr="00C10D10">
        <w:t>type of practice</w:t>
      </w:r>
      <w:r w:rsidR="00BF7502" w:rsidRPr="00C10D10">
        <w:t>;</w:t>
      </w:r>
    </w:p>
    <w:p w:rsidR="00BE11B0" w:rsidRPr="00C10D10" w:rsidRDefault="00CA1262" w:rsidP="00525E88">
      <w:pPr>
        <w:pStyle w:val="ListNumber2"/>
      </w:pPr>
      <w:r>
        <w:t>S</w:t>
      </w:r>
      <w:r w:rsidR="00BF7502" w:rsidRPr="00C10D10">
        <w:t>ocietal considerations</w:t>
      </w:r>
      <w:r>
        <w:t>,</w:t>
      </w:r>
      <w:r w:rsidR="00BF7502" w:rsidRPr="00C10D10">
        <w:t xml:space="preserve"> such as public acceptance</w:t>
      </w:r>
      <w:r w:rsidR="00B3141D" w:rsidRPr="00C10D10">
        <w:t xml:space="preserve"> </w:t>
      </w:r>
      <w:r>
        <w:t>of</w:t>
      </w:r>
      <w:r w:rsidRPr="00C10D10">
        <w:t xml:space="preserve"> </w:t>
      </w:r>
      <w:r w:rsidR="00B3141D" w:rsidRPr="00C10D10">
        <w:t xml:space="preserve">the </w:t>
      </w:r>
      <w:r w:rsidR="00253819" w:rsidRPr="00C10D10">
        <w:t xml:space="preserve">type of practice under </w:t>
      </w:r>
      <w:r w:rsidR="00F24DD4" w:rsidRPr="00C10D10">
        <w:t>consideration</w:t>
      </w:r>
      <w:r>
        <w:t>,</w:t>
      </w:r>
      <w:r w:rsidR="00F24DD4" w:rsidRPr="00C10D10">
        <w:t xml:space="preserve"> as</w:t>
      </w:r>
      <w:r w:rsidR="00E044A0" w:rsidRPr="00C10D10">
        <w:t xml:space="preserve"> well as individual and </w:t>
      </w:r>
      <w:r w:rsidR="00253819" w:rsidRPr="00C10D10">
        <w:t>societal</w:t>
      </w:r>
      <w:r w:rsidR="00E044A0" w:rsidRPr="00C10D10">
        <w:t xml:space="preserve"> benefits </w:t>
      </w:r>
      <w:r w:rsidR="00125BB9">
        <w:t xml:space="preserve">derived </w:t>
      </w:r>
      <w:r w:rsidR="00E044A0" w:rsidRPr="00C10D10">
        <w:t xml:space="preserve">from the </w:t>
      </w:r>
      <w:r>
        <w:t>type</w:t>
      </w:r>
      <w:r w:rsidRPr="00C10D10">
        <w:t xml:space="preserve"> </w:t>
      </w:r>
      <w:r w:rsidR="00E044A0" w:rsidRPr="00C10D10">
        <w:t xml:space="preserve">of </w:t>
      </w:r>
      <w:r w:rsidR="00FE74AA" w:rsidRPr="00C10D10">
        <w:t xml:space="preserve">facility or </w:t>
      </w:r>
      <w:r w:rsidR="00E044A0" w:rsidRPr="00C10D10">
        <w:t>activity</w:t>
      </w:r>
      <w:r w:rsidR="00BF7502" w:rsidRPr="00C10D10">
        <w:t>;</w:t>
      </w:r>
    </w:p>
    <w:p w:rsidR="00BE11B0" w:rsidRPr="00C10D10" w:rsidRDefault="00CA1262" w:rsidP="00525E88">
      <w:pPr>
        <w:pStyle w:val="ListNumber2"/>
      </w:pPr>
      <w:r>
        <w:t>E</w:t>
      </w:r>
      <w:r w:rsidR="00BF7502" w:rsidRPr="00C10D10">
        <w:t xml:space="preserve">nvironmental </w:t>
      </w:r>
      <w:r w:rsidR="00FE74AA" w:rsidRPr="00C10D10">
        <w:t xml:space="preserve">and efficiency </w:t>
      </w:r>
      <w:r w:rsidR="00BF7502" w:rsidRPr="00C10D10">
        <w:t>considerations</w:t>
      </w:r>
      <w:r>
        <w:t>,</w:t>
      </w:r>
      <w:r w:rsidR="00BF7502" w:rsidRPr="00C10D10">
        <w:t xml:space="preserve"> such as </w:t>
      </w:r>
      <w:r w:rsidR="00DD2FE4" w:rsidRPr="00C10D10">
        <w:t xml:space="preserve">the effects of </w:t>
      </w:r>
      <w:r w:rsidR="00676B16">
        <w:t xml:space="preserve">any </w:t>
      </w:r>
      <w:r w:rsidR="00253819" w:rsidRPr="00C10D10">
        <w:t xml:space="preserve">releases </w:t>
      </w:r>
      <w:r w:rsidR="00F24DD4" w:rsidRPr="00C10D10">
        <w:t>of hazardous</w:t>
      </w:r>
      <w:r w:rsidR="00B51724" w:rsidRPr="00C10D10">
        <w:t xml:space="preserve"> </w:t>
      </w:r>
      <w:r w:rsidR="00B3141D" w:rsidRPr="00C10D10">
        <w:t xml:space="preserve">chemical substances or </w:t>
      </w:r>
      <w:r w:rsidR="00D425D7" w:rsidRPr="00C10D10">
        <w:t xml:space="preserve">high </w:t>
      </w:r>
      <w:r w:rsidR="00B3141D" w:rsidRPr="00C10D10">
        <w:t>energy consumption entailed by the</w:t>
      </w:r>
      <w:r w:rsidR="008913B0">
        <w:t xml:space="preserve"> waste </w:t>
      </w:r>
      <w:r w:rsidR="00B3141D" w:rsidRPr="00C10D10">
        <w:t>abatement technique</w:t>
      </w:r>
      <w:r w:rsidR="000F3045" w:rsidRPr="00C10D10">
        <w:t>s</w:t>
      </w:r>
      <w:r w:rsidR="00B3141D" w:rsidRPr="00C10D10">
        <w:t>;</w:t>
      </w:r>
    </w:p>
    <w:p w:rsidR="00BE11B0" w:rsidRPr="00C10D10" w:rsidRDefault="00CA1262" w:rsidP="00525E88">
      <w:pPr>
        <w:pStyle w:val="ListNumber2"/>
      </w:pPr>
      <w:r>
        <w:t>S</w:t>
      </w:r>
      <w:r w:rsidR="00B3141D" w:rsidRPr="00C10D10">
        <w:t>afety considerations</w:t>
      </w:r>
      <w:r>
        <w:t>,</w:t>
      </w:r>
      <w:r w:rsidR="00B3141D" w:rsidRPr="00C10D10">
        <w:t xml:space="preserve"> such as</w:t>
      </w:r>
      <w:r w:rsidR="00253819" w:rsidRPr="00C10D10">
        <w:t xml:space="preserve"> those relat</w:t>
      </w:r>
      <w:r>
        <w:t>ing</w:t>
      </w:r>
      <w:r w:rsidR="00253819" w:rsidRPr="00C10D10">
        <w:t xml:space="preserve"> to </w:t>
      </w:r>
      <w:r w:rsidR="000B7B48" w:rsidRPr="00C10D10">
        <w:t xml:space="preserve">the safe </w:t>
      </w:r>
      <w:r w:rsidR="00B3141D" w:rsidRPr="00C10D10">
        <w:t xml:space="preserve">storage of large amount of radioactive </w:t>
      </w:r>
      <w:r w:rsidR="001426CC" w:rsidRPr="00C10D10">
        <w:t xml:space="preserve">solid, liquid or gaseous </w:t>
      </w:r>
      <w:r w:rsidR="00B3141D" w:rsidRPr="00C10D10">
        <w:t>material</w:t>
      </w:r>
      <w:r w:rsidR="00253819" w:rsidRPr="00C10D10">
        <w:t xml:space="preserve"> for long times, </w:t>
      </w:r>
      <w:r>
        <w:t>as well as</w:t>
      </w:r>
      <w:r w:rsidR="00DD2FE4" w:rsidRPr="00C10D10">
        <w:t xml:space="preserve"> the</w:t>
      </w:r>
      <w:r w:rsidR="00253819" w:rsidRPr="00C10D10">
        <w:t xml:space="preserve"> risk </w:t>
      </w:r>
      <w:r w:rsidR="00F24DD4" w:rsidRPr="00C10D10">
        <w:t>of accidental</w:t>
      </w:r>
      <w:r w:rsidR="00C80E05" w:rsidRPr="00C10D10">
        <w:t xml:space="preserve"> releases</w:t>
      </w:r>
      <w:r w:rsidR="00B3141D" w:rsidRPr="00C10D10">
        <w:t>;</w:t>
      </w:r>
    </w:p>
    <w:p w:rsidR="00BE11B0" w:rsidRPr="00C10D10" w:rsidRDefault="00CA1262" w:rsidP="00525E88">
      <w:pPr>
        <w:pStyle w:val="ListNumber2"/>
      </w:pPr>
      <w:r>
        <w:t xml:space="preserve">Issues relating to the management of </w:t>
      </w:r>
      <w:r w:rsidR="00C212C6" w:rsidRPr="00C10D10">
        <w:t xml:space="preserve">radioactive </w:t>
      </w:r>
      <w:r w:rsidR="00B3141D" w:rsidRPr="00C10D10">
        <w:t>waste</w:t>
      </w:r>
      <w:r w:rsidR="00DB0B83" w:rsidRPr="00C10D10">
        <w:t xml:space="preserve">, </w:t>
      </w:r>
      <w:r w:rsidR="00B3141D" w:rsidRPr="00C10D10">
        <w:t xml:space="preserve">such as </w:t>
      </w:r>
      <w:r w:rsidR="00125BB9">
        <w:t>issues</w:t>
      </w:r>
      <w:r w:rsidR="006355D9" w:rsidRPr="00C10D10">
        <w:t xml:space="preserve"> relat</w:t>
      </w:r>
      <w:r w:rsidR="00694FB1">
        <w:t>ing</w:t>
      </w:r>
      <w:r w:rsidR="006355D9" w:rsidRPr="00C10D10">
        <w:t xml:space="preserve"> to </w:t>
      </w:r>
      <w:r w:rsidR="000B7B48" w:rsidRPr="00C10D10">
        <w:t xml:space="preserve">the transport and storage of </w:t>
      </w:r>
      <w:r w:rsidR="00891E1E" w:rsidRPr="00C10D10">
        <w:t>large quantit</w:t>
      </w:r>
      <w:r w:rsidR="00125BB9">
        <w:t>ies</w:t>
      </w:r>
      <w:r w:rsidR="00891E1E" w:rsidRPr="00C10D10">
        <w:t xml:space="preserve"> </w:t>
      </w:r>
      <w:r w:rsidR="00F24DD4" w:rsidRPr="00C10D10">
        <w:t xml:space="preserve">of </w:t>
      </w:r>
      <w:r w:rsidR="00257B5F">
        <w:t xml:space="preserve">low level </w:t>
      </w:r>
      <w:r w:rsidR="00F24DD4" w:rsidRPr="00C10D10">
        <w:t>waste</w:t>
      </w:r>
      <w:r w:rsidR="00FD1EFB">
        <w:rPr>
          <w:rStyle w:val="FootnoteReference"/>
          <w:szCs w:val="24"/>
        </w:rPr>
        <w:footnoteReference w:id="18"/>
      </w:r>
      <w:r w:rsidR="00891E1E" w:rsidRPr="00C10D10">
        <w:t>;</w:t>
      </w:r>
    </w:p>
    <w:p w:rsidR="00BE11B0" w:rsidRPr="00C10D10" w:rsidRDefault="00CA1262" w:rsidP="00525E88">
      <w:pPr>
        <w:pStyle w:val="ListNumber2"/>
      </w:pPr>
      <w:r>
        <w:t>R</w:t>
      </w:r>
      <w:r w:rsidR="00B3141D" w:rsidRPr="00C10D10">
        <w:t>adiation protection considerations</w:t>
      </w:r>
      <w:r>
        <w:t>,</w:t>
      </w:r>
      <w:r w:rsidR="00891E1E" w:rsidRPr="00C10D10">
        <w:t xml:space="preserve"> such as individual </w:t>
      </w:r>
      <w:r>
        <w:t xml:space="preserve">doses </w:t>
      </w:r>
      <w:r w:rsidR="00891E1E" w:rsidRPr="00C10D10">
        <w:t>and collective doses received by workers</w:t>
      </w:r>
      <w:r w:rsidR="006355D9" w:rsidRPr="00C10D10">
        <w:t xml:space="preserve"> in connection with the abatement process and </w:t>
      </w:r>
      <w:r w:rsidR="00125BB9">
        <w:t xml:space="preserve">with </w:t>
      </w:r>
      <w:r w:rsidR="006355D9" w:rsidRPr="00C10D10">
        <w:t>the storage</w:t>
      </w:r>
      <w:r w:rsidR="00CA271F">
        <w:t xml:space="preserve"> of waste</w:t>
      </w:r>
      <w:r w:rsidR="00891E1E" w:rsidRPr="00C10D10">
        <w:t>.</w:t>
      </w:r>
    </w:p>
    <w:p w:rsidR="006355D9" w:rsidRPr="00C10D10" w:rsidRDefault="006355D9"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regulatory body and the </w:t>
      </w:r>
      <w:r w:rsidR="005A3563" w:rsidRPr="00C10D10">
        <w:rPr>
          <w:szCs w:val="24"/>
        </w:rPr>
        <w:t>operating organization</w:t>
      </w:r>
      <w:r w:rsidRPr="00C10D10">
        <w:rPr>
          <w:szCs w:val="24"/>
        </w:rPr>
        <w:t xml:space="preserve"> should take into account that, f</w:t>
      </w:r>
      <w:r w:rsidR="00891E1E" w:rsidRPr="00C10D10">
        <w:rPr>
          <w:szCs w:val="24"/>
        </w:rPr>
        <w:t xml:space="preserve">or </w:t>
      </w:r>
      <w:r w:rsidR="00D14BFE" w:rsidRPr="00C10D10">
        <w:rPr>
          <w:szCs w:val="24"/>
        </w:rPr>
        <w:t xml:space="preserve">the above mentioned </w:t>
      </w:r>
      <w:r w:rsidR="00937134">
        <w:rPr>
          <w:szCs w:val="24"/>
        </w:rPr>
        <w:t xml:space="preserve">specific </w:t>
      </w:r>
      <w:r w:rsidR="00D14BFE" w:rsidRPr="00C10D10">
        <w:rPr>
          <w:szCs w:val="24"/>
        </w:rPr>
        <w:t xml:space="preserve">practices and </w:t>
      </w:r>
      <w:r w:rsidRPr="00C10D10">
        <w:rPr>
          <w:szCs w:val="24"/>
        </w:rPr>
        <w:t>radionuclides</w:t>
      </w:r>
      <w:r w:rsidR="00DD2FE4" w:rsidRPr="00C10D10">
        <w:rPr>
          <w:szCs w:val="24"/>
        </w:rPr>
        <w:t>,</w:t>
      </w:r>
      <w:r w:rsidRPr="00C10D10">
        <w:rPr>
          <w:szCs w:val="24"/>
        </w:rPr>
        <w:t xml:space="preserve"> the</w:t>
      </w:r>
      <w:r w:rsidR="00891E1E" w:rsidRPr="00C10D10">
        <w:rPr>
          <w:szCs w:val="24"/>
        </w:rPr>
        <w:t xml:space="preserve"> </w:t>
      </w:r>
      <w:r w:rsidR="007E70AC" w:rsidRPr="00C10D10">
        <w:rPr>
          <w:szCs w:val="24"/>
        </w:rPr>
        <w:t xml:space="preserve">optimal </w:t>
      </w:r>
      <w:r w:rsidRPr="00C10D10">
        <w:rPr>
          <w:szCs w:val="24"/>
        </w:rPr>
        <w:t xml:space="preserve">management </w:t>
      </w:r>
      <w:r w:rsidR="007E70AC" w:rsidRPr="00C10D10">
        <w:rPr>
          <w:szCs w:val="24"/>
        </w:rPr>
        <w:t>option</w:t>
      </w:r>
      <w:r w:rsidR="00047AF0">
        <w:rPr>
          <w:szCs w:val="24"/>
        </w:rPr>
        <w:t xml:space="preserve"> from </w:t>
      </w:r>
      <w:r w:rsidR="00CA271F">
        <w:rPr>
          <w:szCs w:val="24"/>
        </w:rPr>
        <w:t xml:space="preserve">a </w:t>
      </w:r>
      <w:r w:rsidR="00047AF0">
        <w:rPr>
          <w:szCs w:val="24"/>
        </w:rPr>
        <w:t>radiation protection perspective</w:t>
      </w:r>
      <w:r w:rsidR="007E70AC" w:rsidRPr="00C10D10">
        <w:rPr>
          <w:szCs w:val="24"/>
        </w:rPr>
        <w:t xml:space="preserve"> might not </w:t>
      </w:r>
      <w:r w:rsidR="007D63AC" w:rsidRPr="00C10D10">
        <w:rPr>
          <w:szCs w:val="24"/>
        </w:rPr>
        <w:t xml:space="preserve">result </w:t>
      </w:r>
      <w:r w:rsidR="00640F3A">
        <w:rPr>
          <w:szCs w:val="24"/>
        </w:rPr>
        <w:t xml:space="preserve">in </w:t>
      </w:r>
      <w:r w:rsidR="00257B5F">
        <w:rPr>
          <w:szCs w:val="24"/>
        </w:rPr>
        <w:t xml:space="preserve">the </w:t>
      </w:r>
      <w:r w:rsidR="00787E63">
        <w:rPr>
          <w:szCs w:val="24"/>
        </w:rPr>
        <w:t xml:space="preserve">application of </w:t>
      </w:r>
      <w:r w:rsidR="00937134">
        <w:rPr>
          <w:szCs w:val="24"/>
        </w:rPr>
        <w:t>particular</w:t>
      </w:r>
      <w:r w:rsidR="00937134" w:rsidRPr="00047AF0" w:rsidDel="00937134">
        <w:rPr>
          <w:szCs w:val="24"/>
        </w:rPr>
        <w:t xml:space="preserve"> </w:t>
      </w:r>
      <w:r w:rsidR="00760CEC" w:rsidRPr="00047AF0">
        <w:rPr>
          <w:szCs w:val="24"/>
        </w:rPr>
        <w:t xml:space="preserve">costly </w:t>
      </w:r>
      <w:r w:rsidR="00246E97">
        <w:t xml:space="preserve">waste </w:t>
      </w:r>
      <w:r w:rsidR="00787E63" w:rsidRPr="00047AF0">
        <w:rPr>
          <w:szCs w:val="24"/>
        </w:rPr>
        <w:t>abatement</w:t>
      </w:r>
      <w:r w:rsidR="00787E63">
        <w:rPr>
          <w:szCs w:val="24"/>
        </w:rPr>
        <w:t xml:space="preserve"> </w:t>
      </w:r>
      <w:r w:rsidR="00AF4DD7" w:rsidRPr="00760CEC">
        <w:rPr>
          <w:szCs w:val="24"/>
        </w:rPr>
        <w:t>techniques</w:t>
      </w:r>
      <w:r w:rsidR="00891E1E" w:rsidRPr="00760CEC">
        <w:rPr>
          <w:szCs w:val="24"/>
        </w:rPr>
        <w:t>,</w:t>
      </w:r>
      <w:r w:rsidR="00891E1E" w:rsidRPr="00C10D10">
        <w:rPr>
          <w:szCs w:val="24"/>
        </w:rPr>
        <w:t xml:space="preserve"> but </w:t>
      </w:r>
      <w:r w:rsidR="007D63AC" w:rsidRPr="00C10D10">
        <w:rPr>
          <w:szCs w:val="24"/>
        </w:rPr>
        <w:t xml:space="preserve">in </w:t>
      </w:r>
      <w:r w:rsidR="00891E1E" w:rsidRPr="00C10D10">
        <w:rPr>
          <w:szCs w:val="24"/>
        </w:rPr>
        <w:t xml:space="preserve">the </w:t>
      </w:r>
      <w:r w:rsidR="00681822" w:rsidRPr="00C10D10">
        <w:rPr>
          <w:szCs w:val="24"/>
        </w:rPr>
        <w:t xml:space="preserve">application of more stringent </w:t>
      </w:r>
      <w:r w:rsidR="00257B5F" w:rsidRPr="00C10D10">
        <w:rPr>
          <w:szCs w:val="24"/>
        </w:rPr>
        <w:t xml:space="preserve">measures </w:t>
      </w:r>
      <w:r w:rsidR="00257B5F">
        <w:rPr>
          <w:szCs w:val="24"/>
        </w:rPr>
        <w:t xml:space="preserve">for the </w:t>
      </w:r>
      <w:r w:rsidRPr="00C10D10">
        <w:rPr>
          <w:szCs w:val="24"/>
        </w:rPr>
        <w:lastRenderedPageBreak/>
        <w:t xml:space="preserve">verification </w:t>
      </w:r>
      <w:r w:rsidR="00FC02D5" w:rsidRPr="00C10D10">
        <w:rPr>
          <w:szCs w:val="24"/>
        </w:rPr>
        <w:t xml:space="preserve">of compliance </w:t>
      </w:r>
      <w:r w:rsidR="00681822" w:rsidRPr="00C10D10">
        <w:rPr>
          <w:szCs w:val="24"/>
        </w:rPr>
        <w:t xml:space="preserve">by the </w:t>
      </w:r>
      <w:r w:rsidR="005A3563" w:rsidRPr="00C10D10">
        <w:rPr>
          <w:szCs w:val="24"/>
        </w:rPr>
        <w:t>operating organization</w:t>
      </w:r>
      <w:r w:rsidR="00681822" w:rsidRPr="00C10D10">
        <w:rPr>
          <w:szCs w:val="24"/>
        </w:rPr>
        <w:t xml:space="preserve"> and the </w:t>
      </w:r>
      <w:r w:rsidR="00EB3D33" w:rsidRPr="00C10D10">
        <w:rPr>
          <w:szCs w:val="24"/>
        </w:rPr>
        <w:t>regulatory body</w:t>
      </w:r>
      <w:r w:rsidR="00FE74AA" w:rsidRPr="00C10D10">
        <w:rPr>
          <w:szCs w:val="24"/>
        </w:rPr>
        <w:t>,</w:t>
      </w:r>
      <w:r w:rsidR="00681822" w:rsidRPr="00C10D10">
        <w:rPr>
          <w:szCs w:val="24"/>
        </w:rPr>
        <w:t xml:space="preserve"> as relevant. </w:t>
      </w:r>
      <w:r w:rsidR="00DF30D0" w:rsidRPr="00C10D10">
        <w:rPr>
          <w:szCs w:val="24"/>
        </w:rPr>
        <w:t>Th</w:t>
      </w:r>
      <w:r w:rsidR="00257B5F">
        <w:rPr>
          <w:szCs w:val="24"/>
        </w:rPr>
        <w:t>e</w:t>
      </w:r>
      <w:r w:rsidR="00DD2FE4" w:rsidRPr="00C10D10">
        <w:rPr>
          <w:szCs w:val="24"/>
        </w:rPr>
        <w:t xml:space="preserve"> optimal</w:t>
      </w:r>
      <w:r w:rsidR="00DF30D0" w:rsidRPr="00C10D10">
        <w:rPr>
          <w:szCs w:val="24"/>
        </w:rPr>
        <w:t xml:space="preserve"> </w:t>
      </w:r>
      <w:r w:rsidRPr="00C10D10">
        <w:rPr>
          <w:szCs w:val="24"/>
        </w:rPr>
        <w:t xml:space="preserve">management </w:t>
      </w:r>
      <w:r w:rsidR="00DF30D0" w:rsidRPr="00C10D10">
        <w:rPr>
          <w:szCs w:val="24"/>
        </w:rPr>
        <w:t>option and the justification</w:t>
      </w:r>
      <w:r w:rsidR="00125BB9">
        <w:rPr>
          <w:szCs w:val="24"/>
        </w:rPr>
        <w:t xml:space="preserve"> of the selection of this option</w:t>
      </w:r>
      <w:r w:rsidR="00681822" w:rsidRPr="00C10D10">
        <w:rPr>
          <w:szCs w:val="24"/>
        </w:rPr>
        <w:t xml:space="preserve"> should be presented by the </w:t>
      </w:r>
      <w:r w:rsidR="005A3563" w:rsidRPr="00C10D10">
        <w:rPr>
          <w:szCs w:val="24"/>
        </w:rPr>
        <w:t>operating organization</w:t>
      </w:r>
      <w:r w:rsidR="00681822" w:rsidRPr="00C10D10">
        <w:rPr>
          <w:szCs w:val="24"/>
        </w:rPr>
        <w:t xml:space="preserve"> and</w:t>
      </w:r>
      <w:r w:rsidR="00DF30D0" w:rsidRPr="00C10D10">
        <w:rPr>
          <w:szCs w:val="24"/>
        </w:rPr>
        <w:t xml:space="preserve"> endorsed</w:t>
      </w:r>
      <w:r w:rsidR="00624388">
        <w:rPr>
          <w:szCs w:val="24"/>
        </w:rPr>
        <w:t>, if acceptable,</w:t>
      </w:r>
      <w:r w:rsidR="00DF30D0" w:rsidRPr="00C10D10">
        <w:rPr>
          <w:szCs w:val="24"/>
        </w:rPr>
        <w:t xml:space="preserve"> by the regulatory body. </w:t>
      </w:r>
      <w:r w:rsidR="00681822" w:rsidRPr="00C10D10">
        <w:rPr>
          <w:szCs w:val="24"/>
        </w:rPr>
        <w:t xml:space="preserve">Examples of more stringent </w:t>
      </w:r>
      <w:r w:rsidR="00351D56">
        <w:rPr>
          <w:szCs w:val="24"/>
        </w:rPr>
        <w:t xml:space="preserve">measures for </w:t>
      </w:r>
      <w:r w:rsidR="00681822" w:rsidRPr="00C10D10">
        <w:rPr>
          <w:szCs w:val="24"/>
        </w:rPr>
        <w:t>verification</w:t>
      </w:r>
      <w:r w:rsidR="00FC02D5" w:rsidRPr="00C10D10">
        <w:rPr>
          <w:szCs w:val="24"/>
        </w:rPr>
        <w:t xml:space="preserve"> of compliance for complex </w:t>
      </w:r>
      <w:r w:rsidR="004817FE">
        <w:rPr>
          <w:szCs w:val="24"/>
        </w:rPr>
        <w:t>facilities</w:t>
      </w:r>
      <w:r w:rsidR="00FC02D5" w:rsidRPr="00C10D10">
        <w:rPr>
          <w:szCs w:val="24"/>
        </w:rPr>
        <w:t xml:space="preserve">, including nuclear </w:t>
      </w:r>
      <w:r w:rsidR="004817FE">
        <w:rPr>
          <w:szCs w:val="24"/>
        </w:rPr>
        <w:t>installations</w:t>
      </w:r>
      <w:r w:rsidR="00FC02D5" w:rsidRPr="00C10D10">
        <w:rPr>
          <w:szCs w:val="24"/>
        </w:rPr>
        <w:t xml:space="preserve">, </w:t>
      </w:r>
      <w:r w:rsidR="00257B5F">
        <w:rPr>
          <w:szCs w:val="24"/>
        </w:rPr>
        <w:t>are:</w:t>
      </w:r>
      <w:r w:rsidR="00FC02D5" w:rsidRPr="00C10D10">
        <w:rPr>
          <w:szCs w:val="24"/>
        </w:rPr>
        <w:t xml:space="preserve"> </w:t>
      </w:r>
      <w:r w:rsidR="00681822" w:rsidRPr="00C10D10">
        <w:rPr>
          <w:szCs w:val="24"/>
        </w:rPr>
        <w:t xml:space="preserve">a </w:t>
      </w:r>
      <w:r w:rsidR="00DD2FE4" w:rsidRPr="00C10D10">
        <w:rPr>
          <w:szCs w:val="24"/>
        </w:rPr>
        <w:t xml:space="preserve">radionuclide </w:t>
      </w:r>
      <w:r w:rsidR="00681822" w:rsidRPr="00C10D10">
        <w:rPr>
          <w:szCs w:val="24"/>
        </w:rPr>
        <w:t xml:space="preserve">specific </w:t>
      </w:r>
      <w:r w:rsidR="00891E1E" w:rsidRPr="00C10D10">
        <w:rPr>
          <w:szCs w:val="24"/>
        </w:rPr>
        <w:t xml:space="preserve">source </w:t>
      </w:r>
      <w:r w:rsidR="00CA271F">
        <w:rPr>
          <w:szCs w:val="24"/>
        </w:rPr>
        <w:t xml:space="preserve">monitoring </w:t>
      </w:r>
      <w:r w:rsidR="00FC02D5" w:rsidRPr="00C10D10">
        <w:rPr>
          <w:szCs w:val="24"/>
        </w:rPr>
        <w:t>and environment</w:t>
      </w:r>
      <w:r w:rsidR="004349DA">
        <w:rPr>
          <w:szCs w:val="24"/>
        </w:rPr>
        <w:t>al</w:t>
      </w:r>
      <w:r w:rsidR="00FC02D5" w:rsidRPr="00C10D10">
        <w:rPr>
          <w:szCs w:val="24"/>
        </w:rPr>
        <w:t xml:space="preserve"> </w:t>
      </w:r>
      <w:r w:rsidR="00891E1E" w:rsidRPr="00C10D10">
        <w:rPr>
          <w:szCs w:val="24"/>
        </w:rPr>
        <w:t>monitoring</w:t>
      </w:r>
      <w:r w:rsidR="00FE74AA" w:rsidRPr="00C10D10">
        <w:rPr>
          <w:szCs w:val="24"/>
        </w:rPr>
        <w:t xml:space="preserve"> programme</w:t>
      </w:r>
      <w:r w:rsidR="00FC02D5" w:rsidRPr="00C10D10">
        <w:rPr>
          <w:szCs w:val="24"/>
        </w:rPr>
        <w:t xml:space="preserve">; </w:t>
      </w:r>
      <w:r w:rsidR="00DD2FE4" w:rsidRPr="00C10D10">
        <w:rPr>
          <w:szCs w:val="24"/>
        </w:rPr>
        <w:t xml:space="preserve">more detailed </w:t>
      </w:r>
      <w:r w:rsidR="00CA271F">
        <w:rPr>
          <w:szCs w:val="24"/>
        </w:rPr>
        <w:t xml:space="preserve">assessment of the </w:t>
      </w:r>
      <w:r w:rsidR="00625645" w:rsidRPr="00C10D10">
        <w:rPr>
          <w:szCs w:val="24"/>
        </w:rPr>
        <w:t xml:space="preserve">dose </w:t>
      </w:r>
      <w:r w:rsidR="00891E1E" w:rsidRPr="00C10D10">
        <w:rPr>
          <w:szCs w:val="24"/>
        </w:rPr>
        <w:t>to the representative person</w:t>
      </w:r>
      <w:r w:rsidR="007D63AC" w:rsidRPr="00C10D10">
        <w:rPr>
          <w:szCs w:val="24"/>
        </w:rPr>
        <w:t>,</w:t>
      </w:r>
      <w:r w:rsidR="00891E1E" w:rsidRPr="00C10D10">
        <w:rPr>
          <w:szCs w:val="24"/>
        </w:rPr>
        <w:t xml:space="preserve"> </w:t>
      </w:r>
      <w:r w:rsidR="00DD2FE4" w:rsidRPr="00C10D10">
        <w:rPr>
          <w:szCs w:val="24"/>
        </w:rPr>
        <w:t xml:space="preserve">including the </w:t>
      </w:r>
      <w:r w:rsidR="007D63AC" w:rsidRPr="00C10D10">
        <w:rPr>
          <w:szCs w:val="24"/>
        </w:rPr>
        <w:t xml:space="preserve">identification of </w:t>
      </w:r>
      <w:r w:rsidR="00DD2FE4" w:rsidRPr="00C10D10">
        <w:rPr>
          <w:szCs w:val="24"/>
        </w:rPr>
        <w:t>relevant exposure pathways</w:t>
      </w:r>
      <w:r w:rsidR="00FC02D5" w:rsidRPr="00C10D10">
        <w:rPr>
          <w:szCs w:val="24"/>
        </w:rPr>
        <w:t xml:space="preserve">; </w:t>
      </w:r>
      <w:r w:rsidR="00891E1E" w:rsidRPr="00C10D10">
        <w:rPr>
          <w:szCs w:val="24"/>
        </w:rPr>
        <w:t>and</w:t>
      </w:r>
      <w:r w:rsidR="00FC02D5" w:rsidRPr="00C10D10">
        <w:rPr>
          <w:szCs w:val="24"/>
        </w:rPr>
        <w:t xml:space="preserve"> </w:t>
      </w:r>
      <w:r w:rsidR="007D63AC" w:rsidRPr="00C10D10">
        <w:rPr>
          <w:szCs w:val="24"/>
        </w:rPr>
        <w:t xml:space="preserve">more </w:t>
      </w:r>
      <w:r w:rsidR="00681822" w:rsidRPr="00C10D10">
        <w:rPr>
          <w:szCs w:val="24"/>
        </w:rPr>
        <w:t xml:space="preserve">frequent </w:t>
      </w:r>
      <w:r w:rsidR="00891E1E" w:rsidRPr="00C10D10">
        <w:rPr>
          <w:szCs w:val="24"/>
        </w:rPr>
        <w:t xml:space="preserve">reporting </w:t>
      </w:r>
      <w:r w:rsidR="00624388">
        <w:rPr>
          <w:szCs w:val="24"/>
        </w:rPr>
        <w:t xml:space="preserve">of discharges </w:t>
      </w:r>
      <w:r w:rsidR="00891E1E" w:rsidRPr="00C10D10">
        <w:rPr>
          <w:szCs w:val="24"/>
        </w:rPr>
        <w:t>to the regulatory body</w:t>
      </w:r>
      <w:r w:rsidR="00F24DD4" w:rsidRPr="00C10D10">
        <w:rPr>
          <w:szCs w:val="24"/>
        </w:rPr>
        <w:t>.</w:t>
      </w:r>
    </w:p>
    <w:p w:rsidR="003B08B6" w:rsidRPr="00C10D10" w:rsidRDefault="003B08B6" w:rsidP="008B680D">
      <w:pPr>
        <w:pStyle w:val="Heading3"/>
        <w:spacing w:before="120" w:after="0"/>
        <w:rPr>
          <w:lang w:val="en-GB"/>
        </w:rPr>
      </w:pPr>
      <w:r w:rsidRPr="00C10D10">
        <w:rPr>
          <w:lang w:val="en-GB"/>
        </w:rPr>
        <w:t>Decision aiding techniques</w:t>
      </w:r>
    </w:p>
    <w:p w:rsidR="002F423A" w:rsidRPr="00C10D10" w:rsidRDefault="003B08B6" w:rsidP="00632C31">
      <w:pPr>
        <w:pStyle w:val="ListParagraph"/>
        <w:numPr>
          <w:ilvl w:val="0"/>
          <w:numId w:val="7"/>
        </w:numPr>
        <w:autoSpaceDE w:val="0"/>
        <w:autoSpaceDN w:val="0"/>
        <w:adjustRightInd w:val="0"/>
        <w:spacing w:before="120"/>
        <w:contextualSpacing w:val="0"/>
        <w:jc w:val="both"/>
        <w:rPr>
          <w:szCs w:val="24"/>
        </w:rPr>
      </w:pPr>
      <w:r w:rsidRPr="00C10D10">
        <w:rPr>
          <w:szCs w:val="24"/>
        </w:rPr>
        <w:t>Depending upon the circumstances, the process of optimization of the protection of the public can include the use of a variety of quantitative and qualitative techniques.</w:t>
      </w:r>
      <w:r w:rsidR="00B17A0D" w:rsidRPr="00C10D10">
        <w:rPr>
          <w:szCs w:val="24"/>
        </w:rPr>
        <w:t xml:space="preserve"> Formal decision</w:t>
      </w:r>
      <w:r w:rsidR="00351D56">
        <w:rPr>
          <w:szCs w:val="24"/>
        </w:rPr>
        <w:t xml:space="preserve"> </w:t>
      </w:r>
      <w:r w:rsidR="00B17A0D" w:rsidRPr="00C10D10">
        <w:rPr>
          <w:szCs w:val="24"/>
        </w:rPr>
        <w:t xml:space="preserve">aiding techniques </w:t>
      </w:r>
      <w:r w:rsidR="002F2C6A" w:rsidRPr="00C10D10">
        <w:rPr>
          <w:szCs w:val="24"/>
        </w:rPr>
        <w:t xml:space="preserve">should </w:t>
      </w:r>
      <w:r w:rsidR="00B17A0D" w:rsidRPr="00C10D10">
        <w:rPr>
          <w:szCs w:val="24"/>
        </w:rPr>
        <w:t xml:space="preserve">be used </w:t>
      </w:r>
      <w:r w:rsidR="002F2C6A" w:rsidRPr="00C10D10">
        <w:rPr>
          <w:szCs w:val="24"/>
        </w:rPr>
        <w:t xml:space="preserve">as appropriate </w:t>
      </w:r>
      <w:r w:rsidR="00B17A0D" w:rsidRPr="00C10D10">
        <w:rPr>
          <w:szCs w:val="24"/>
        </w:rPr>
        <w:t>in the optimization process.</w:t>
      </w:r>
      <w:r w:rsidR="00632C31" w:rsidRPr="00632C31">
        <w:t xml:space="preserve"> </w:t>
      </w:r>
      <w:r w:rsidR="00632C31" w:rsidRPr="00632C31">
        <w:rPr>
          <w:szCs w:val="24"/>
        </w:rPr>
        <w:t>The advantage of formal decision aiding techniques is that they allow each of the elements involved in making a decision to be explicitly identified.</w:t>
      </w:r>
      <w:r w:rsidR="00C505DE">
        <w:rPr>
          <w:szCs w:val="24"/>
        </w:rPr>
        <w:t xml:space="preserve"> </w:t>
      </w:r>
      <w:r w:rsidR="00351D56">
        <w:rPr>
          <w:szCs w:val="24"/>
        </w:rPr>
        <w:t>If</w:t>
      </w:r>
      <w:r w:rsidR="00B17A0D" w:rsidRPr="00C10D10">
        <w:rPr>
          <w:szCs w:val="24"/>
        </w:rPr>
        <w:t xml:space="preserve"> the doses to the representative person are assessed to be very low (e.g. of the order of 10 µ</w:t>
      </w:r>
      <w:proofErr w:type="spellStart"/>
      <w:r w:rsidR="00B17A0D" w:rsidRPr="00C10D10">
        <w:rPr>
          <w:szCs w:val="24"/>
        </w:rPr>
        <w:t>Sv</w:t>
      </w:r>
      <w:proofErr w:type="spellEnd"/>
      <w:r w:rsidR="00B17A0D" w:rsidRPr="00C10D10">
        <w:rPr>
          <w:szCs w:val="24"/>
        </w:rPr>
        <w:t xml:space="preserve"> in a year or less), a formal analysis of the optimization of protection</w:t>
      </w:r>
      <w:r w:rsidR="00374568" w:rsidRPr="00C10D10">
        <w:rPr>
          <w:szCs w:val="24"/>
        </w:rPr>
        <w:t xml:space="preserve"> </w:t>
      </w:r>
      <w:r w:rsidR="00351D56">
        <w:rPr>
          <w:szCs w:val="24"/>
        </w:rPr>
        <w:t>will</w:t>
      </w:r>
      <w:r w:rsidR="00351D56" w:rsidRPr="00C10D10">
        <w:rPr>
          <w:szCs w:val="24"/>
        </w:rPr>
        <w:t xml:space="preserve"> </w:t>
      </w:r>
      <w:r w:rsidR="00B17A0D" w:rsidRPr="00C10D10">
        <w:rPr>
          <w:szCs w:val="24"/>
        </w:rPr>
        <w:t xml:space="preserve">generally not </w:t>
      </w:r>
      <w:r w:rsidR="00CE17F3" w:rsidRPr="00C10D10">
        <w:rPr>
          <w:szCs w:val="24"/>
        </w:rPr>
        <w:t xml:space="preserve">be </w:t>
      </w:r>
      <w:r w:rsidR="00B17A0D" w:rsidRPr="00C10D10">
        <w:rPr>
          <w:szCs w:val="24"/>
        </w:rPr>
        <w:t>necessary.</w:t>
      </w:r>
    </w:p>
    <w:p w:rsidR="002F423A" w:rsidRPr="00C10D10" w:rsidRDefault="003B08B6" w:rsidP="0091132F">
      <w:pPr>
        <w:pStyle w:val="ListParagraph"/>
        <w:numPr>
          <w:ilvl w:val="0"/>
          <w:numId w:val="7"/>
        </w:numPr>
        <w:autoSpaceDE w:val="0"/>
        <w:autoSpaceDN w:val="0"/>
        <w:adjustRightInd w:val="0"/>
        <w:spacing w:before="120"/>
        <w:contextualSpacing w:val="0"/>
        <w:jc w:val="both"/>
        <w:rPr>
          <w:szCs w:val="24"/>
        </w:rPr>
      </w:pPr>
      <w:r w:rsidRPr="00C10D10">
        <w:rPr>
          <w:szCs w:val="24"/>
        </w:rPr>
        <w:t>Various analytical techniques have been proposed to assist in determining the optimized level of protection</w:t>
      </w:r>
      <w:r w:rsidR="00374568" w:rsidRPr="00C10D10">
        <w:rPr>
          <w:szCs w:val="24"/>
        </w:rPr>
        <w:t>, which may be applied for discharges</w:t>
      </w:r>
      <w:r w:rsidR="00624388">
        <w:rPr>
          <w:szCs w:val="24"/>
        </w:rPr>
        <w:t xml:space="preserve"> [</w:t>
      </w:r>
      <w:r w:rsidR="00684098">
        <w:rPr>
          <w:szCs w:val="24"/>
        </w:rPr>
        <w:t>25</w:t>
      </w:r>
      <w:r w:rsidR="00624388">
        <w:rPr>
          <w:szCs w:val="24"/>
        </w:rPr>
        <w:t>]</w:t>
      </w:r>
      <w:r w:rsidRPr="00C10D10">
        <w:rPr>
          <w:szCs w:val="24"/>
        </w:rPr>
        <w:t>. Decision</w:t>
      </w:r>
      <w:r w:rsidR="00351D56">
        <w:rPr>
          <w:szCs w:val="24"/>
        </w:rPr>
        <w:t xml:space="preserve"> </w:t>
      </w:r>
      <w:r w:rsidRPr="00C10D10">
        <w:rPr>
          <w:szCs w:val="24"/>
        </w:rPr>
        <w:t>aiding techniques include cost–benefit analysis and multi</w:t>
      </w:r>
      <w:r w:rsidR="0043299D">
        <w:rPr>
          <w:szCs w:val="24"/>
        </w:rPr>
        <w:noBreakHyphen/>
      </w:r>
      <w:r w:rsidRPr="00C10D10">
        <w:rPr>
          <w:szCs w:val="24"/>
        </w:rPr>
        <w:t xml:space="preserve">criteria methods. The main limitation of cost–benefit analysis is that it requires explicit valuation of all factors in monetary terms. This tends to restrict the range of factors that </w:t>
      </w:r>
      <w:r w:rsidR="00351D56">
        <w:rPr>
          <w:szCs w:val="24"/>
        </w:rPr>
        <w:t>can</w:t>
      </w:r>
      <w:r w:rsidR="00351D56" w:rsidRPr="00C10D10">
        <w:rPr>
          <w:szCs w:val="24"/>
        </w:rPr>
        <w:t xml:space="preserve"> </w:t>
      </w:r>
      <w:r w:rsidRPr="00C10D10">
        <w:rPr>
          <w:szCs w:val="24"/>
        </w:rPr>
        <w:t>be included in the optimization process. Multi</w:t>
      </w:r>
      <w:r w:rsidR="0043299D">
        <w:rPr>
          <w:szCs w:val="24"/>
        </w:rPr>
        <w:noBreakHyphen/>
      </w:r>
      <w:r w:rsidRPr="00C10D10">
        <w:rPr>
          <w:szCs w:val="24"/>
        </w:rPr>
        <w:t>criteria methods do not necessarily require such explicit valuation and are potentially more flexible decision</w:t>
      </w:r>
      <w:r w:rsidR="00351D56">
        <w:rPr>
          <w:szCs w:val="24"/>
        </w:rPr>
        <w:t xml:space="preserve"> </w:t>
      </w:r>
      <w:r w:rsidRPr="00C10D10">
        <w:rPr>
          <w:szCs w:val="24"/>
        </w:rPr>
        <w:t xml:space="preserve">aiding techniques because they allow additional factors to be considered. For example, equity in time and space, risk perception of the public and </w:t>
      </w:r>
      <w:r w:rsidR="00351D56">
        <w:rPr>
          <w:szCs w:val="24"/>
        </w:rPr>
        <w:t xml:space="preserve">the </w:t>
      </w:r>
      <w:r w:rsidRPr="00C10D10">
        <w:rPr>
          <w:szCs w:val="24"/>
        </w:rPr>
        <w:t xml:space="preserve">potential </w:t>
      </w:r>
      <w:r w:rsidR="00351D56">
        <w:rPr>
          <w:szCs w:val="24"/>
        </w:rPr>
        <w:t xml:space="preserve">for </w:t>
      </w:r>
      <w:r w:rsidR="0078734D">
        <w:rPr>
          <w:szCs w:val="24"/>
        </w:rPr>
        <w:t xml:space="preserve">an </w:t>
      </w:r>
      <w:r w:rsidR="00351D56">
        <w:rPr>
          <w:szCs w:val="24"/>
        </w:rPr>
        <w:t>accident</w:t>
      </w:r>
      <w:r w:rsidR="003402AE">
        <w:rPr>
          <w:szCs w:val="24"/>
        </w:rPr>
        <w:t>al release</w:t>
      </w:r>
      <w:r w:rsidR="00351D56">
        <w:rPr>
          <w:szCs w:val="24"/>
        </w:rPr>
        <w:t xml:space="preserve"> </w:t>
      </w:r>
      <w:r w:rsidRPr="00C10D10">
        <w:rPr>
          <w:szCs w:val="24"/>
        </w:rPr>
        <w:t>are additional factors that can be taken into account by means of multi</w:t>
      </w:r>
      <w:r w:rsidR="0043299D">
        <w:rPr>
          <w:szCs w:val="24"/>
        </w:rPr>
        <w:noBreakHyphen/>
      </w:r>
      <w:r w:rsidRPr="00C10D10">
        <w:rPr>
          <w:szCs w:val="24"/>
        </w:rPr>
        <w:t>criteria methods. The distributions over time of investments and operating costs can also be considered.</w:t>
      </w:r>
      <w:r w:rsidR="002F423A" w:rsidRPr="00C10D10">
        <w:rPr>
          <w:szCs w:val="24"/>
        </w:rPr>
        <w:t xml:space="preserve"> </w:t>
      </w:r>
    </w:p>
    <w:p w:rsidR="00BA55F1" w:rsidRPr="00C10D10" w:rsidRDefault="00726443" w:rsidP="008B680D">
      <w:pPr>
        <w:pStyle w:val="Heading3"/>
        <w:spacing w:before="120" w:after="0"/>
        <w:rPr>
          <w:lang w:val="en-GB"/>
        </w:rPr>
      </w:pPr>
      <w:r w:rsidRPr="00C10D10">
        <w:rPr>
          <w:lang w:val="en-GB"/>
        </w:rPr>
        <w:t>Best available techniques</w:t>
      </w:r>
    </w:p>
    <w:p w:rsidR="002F423A" w:rsidRPr="00C10D10" w:rsidRDefault="00D55E6C"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In optimizing the protection </w:t>
      </w:r>
      <w:r w:rsidR="00374568" w:rsidRPr="00C10D10">
        <w:rPr>
          <w:szCs w:val="24"/>
        </w:rPr>
        <w:t>of the public, the measures used</w:t>
      </w:r>
      <w:r w:rsidRPr="00C10D10">
        <w:rPr>
          <w:szCs w:val="24"/>
        </w:rPr>
        <w:t xml:space="preserve"> in the management of </w:t>
      </w:r>
      <w:r w:rsidR="002B5382">
        <w:rPr>
          <w:szCs w:val="24"/>
        </w:rPr>
        <w:t xml:space="preserve">radioactive </w:t>
      </w:r>
      <w:r w:rsidRPr="00C10D10">
        <w:rPr>
          <w:szCs w:val="24"/>
        </w:rPr>
        <w:t xml:space="preserve">waste and </w:t>
      </w:r>
      <w:r w:rsidR="00C40EBA">
        <w:rPr>
          <w:szCs w:val="24"/>
        </w:rPr>
        <w:t>effluents</w:t>
      </w:r>
      <w:r w:rsidRPr="00C10D10">
        <w:rPr>
          <w:szCs w:val="24"/>
        </w:rPr>
        <w:t xml:space="preserve"> and the way they are applied </w:t>
      </w:r>
      <w:r w:rsidR="00374568" w:rsidRPr="00C10D10">
        <w:rPr>
          <w:szCs w:val="24"/>
        </w:rPr>
        <w:t>should</w:t>
      </w:r>
      <w:r w:rsidRPr="00C10D10">
        <w:rPr>
          <w:szCs w:val="24"/>
        </w:rPr>
        <w:t xml:space="preserve"> be considered and compared </w:t>
      </w:r>
      <w:r w:rsidR="0068699C">
        <w:rPr>
          <w:szCs w:val="24"/>
        </w:rPr>
        <w:t>with</w:t>
      </w:r>
      <w:r w:rsidR="0068699C" w:rsidRPr="00C10D10">
        <w:rPr>
          <w:szCs w:val="24"/>
        </w:rPr>
        <w:t xml:space="preserve"> </w:t>
      </w:r>
      <w:r w:rsidRPr="00C10D10">
        <w:rPr>
          <w:szCs w:val="24"/>
        </w:rPr>
        <w:t xml:space="preserve">other possible options. Concepts such as </w:t>
      </w:r>
      <w:r w:rsidR="00F04394">
        <w:rPr>
          <w:szCs w:val="24"/>
        </w:rPr>
        <w:t>‘</w:t>
      </w:r>
      <w:r w:rsidR="00726443" w:rsidRPr="00C10D10">
        <w:rPr>
          <w:szCs w:val="24"/>
        </w:rPr>
        <w:t>best available techniques</w:t>
      </w:r>
      <w:r w:rsidR="00F04394">
        <w:rPr>
          <w:szCs w:val="24"/>
        </w:rPr>
        <w:t xml:space="preserve">’ </w:t>
      </w:r>
      <w:r w:rsidRPr="00C10D10">
        <w:rPr>
          <w:szCs w:val="24"/>
        </w:rPr>
        <w:t xml:space="preserve">are </w:t>
      </w:r>
      <w:r w:rsidR="0068699C">
        <w:rPr>
          <w:szCs w:val="24"/>
        </w:rPr>
        <w:t>applied</w:t>
      </w:r>
      <w:r w:rsidR="0068699C" w:rsidRPr="00C10D10">
        <w:rPr>
          <w:szCs w:val="24"/>
        </w:rPr>
        <w:t xml:space="preserve"> </w:t>
      </w:r>
      <w:r w:rsidRPr="00C10D10">
        <w:rPr>
          <w:szCs w:val="24"/>
        </w:rPr>
        <w:t>in some States [</w:t>
      </w:r>
      <w:r w:rsidR="0078734D">
        <w:rPr>
          <w:szCs w:val="24"/>
        </w:rPr>
        <w:t>26</w:t>
      </w:r>
      <w:r w:rsidR="00416371" w:rsidRPr="00C10D10">
        <w:rPr>
          <w:szCs w:val="24"/>
        </w:rPr>
        <w:t xml:space="preserve">] </w:t>
      </w:r>
      <w:r w:rsidRPr="00C10D10">
        <w:rPr>
          <w:szCs w:val="24"/>
        </w:rPr>
        <w:t xml:space="preserve">and under certain international </w:t>
      </w:r>
      <w:r w:rsidR="00D204CE" w:rsidRPr="00C10D10">
        <w:rPr>
          <w:szCs w:val="24"/>
        </w:rPr>
        <w:t>frameworks</w:t>
      </w:r>
      <w:r w:rsidRPr="00C10D10">
        <w:rPr>
          <w:szCs w:val="24"/>
        </w:rPr>
        <w:t xml:space="preserve"> [</w:t>
      </w:r>
      <w:r w:rsidR="0078734D">
        <w:rPr>
          <w:szCs w:val="24"/>
        </w:rPr>
        <w:t>27</w:t>
      </w:r>
      <w:r w:rsidR="006F0199" w:rsidRPr="00C10D10">
        <w:rPr>
          <w:szCs w:val="24"/>
        </w:rPr>
        <w:t>, 2</w:t>
      </w:r>
      <w:r w:rsidR="0078734D">
        <w:rPr>
          <w:szCs w:val="24"/>
        </w:rPr>
        <w:t>8</w:t>
      </w:r>
      <w:r w:rsidR="00995868" w:rsidRPr="00C10D10">
        <w:rPr>
          <w:szCs w:val="24"/>
        </w:rPr>
        <w:t xml:space="preserve">] </w:t>
      </w:r>
      <w:r w:rsidRPr="00C10D10">
        <w:rPr>
          <w:szCs w:val="24"/>
        </w:rPr>
        <w:t>and in other industries for controlling pollutants generally</w:t>
      </w:r>
      <w:r w:rsidR="0017289D">
        <w:rPr>
          <w:szCs w:val="24"/>
        </w:rPr>
        <w:t xml:space="preserve">. </w:t>
      </w:r>
      <w:r w:rsidR="0068699C">
        <w:rPr>
          <w:szCs w:val="24"/>
        </w:rPr>
        <w:t>The u</w:t>
      </w:r>
      <w:r w:rsidR="0017289D">
        <w:rPr>
          <w:szCs w:val="24"/>
        </w:rPr>
        <w:t>se</w:t>
      </w:r>
      <w:r w:rsidRPr="00C10D10">
        <w:rPr>
          <w:szCs w:val="24"/>
        </w:rPr>
        <w:t xml:space="preserve"> of </w:t>
      </w:r>
      <w:r w:rsidR="00726443" w:rsidRPr="00C10D10">
        <w:rPr>
          <w:szCs w:val="24"/>
        </w:rPr>
        <w:t>best available techniques</w:t>
      </w:r>
      <w:r w:rsidRPr="00C10D10">
        <w:rPr>
          <w:szCs w:val="24"/>
        </w:rPr>
        <w:t xml:space="preserve"> </w:t>
      </w:r>
      <w:r w:rsidRPr="00C10D10">
        <w:rPr>
          <w:szCs w:val="24"/>
        </w:rPr>
        <w:lastRenderedPageBreak/>
        <w:t xml:space="preserve">corresponds to optimization </w:t>
      </w:r>
      <w:r w:rsidR="0017289D">
        <w:rPr>
          <w:szCs w:val="24"/>
        </w:rPr>
        <w:t xml:space="preserve">if the </w:t>
      </w:r>
      <w:r w:rsidR="00726443" w:rsidRPr="00C10D10">
        <w:rPr>
          <w:szCs w:val="24"/>
        </w:rPr>
        <w:t>techniques</w:t>
      </w:r>
      <w:r w:rsidRPr="00C10D10">
        <w:rPr>
          <w:szCs w:val="24"/>
        </w:rPr>
        <w:t xml:space="preserve"> </w:t>
      </w:r>
      <w:r w:rsidR="00BA3C22">
        <w:rPr>
          <w:szCs w:val="24"/>
        </w:rPr>
        <w:t xml:space="preserve">are verified and </w:t>
      </w:r>
      <w:r w:rsidR="0068699C">
        <w:rPr>
          <w:szCs w:val="24"/>
        </w:rPr>
        <w:t>their use is</w:t>
      </w:r>
      <w:r w:rsidR="0068699C" w:rsidRPr="00C10D10">
        <w:rPr>
          <w:szCs w:val="24"/>
        </w:rPr>
        <w:t xml:space="preserve"> </w:t>
      </w:r>
      <w:r w:rsidR="003B08B6" w:rsidRPr="00C10D10">
        <w:rPr>
          <w:szCs w:val="24"/>
        </w:rPr>
        <w:t xml:space="preserve">not simply </w:t>
      </w:r>
      <w:r w:rsidR="0068699C">
        <w:rPr>
          <w:szCs w:val="24"/>
        </w:rPr>
        <w:t xml:space="preserve">a matter of </w:t>
      </w:r>
      <w:r w:rsidR="003B08B6" w:rsidRPr="00C10D10">
        <w:rPr>
          <w:szCs w:val="24"/>
        </w:rPr>
        <w:t>consider</w:t>
      </w:r>
      <w:r w:rsidR="0068699C">
        <w:rPr>
          <w:szCs w:val="24"/>
        </w:rPr>
        <w:t>ing</w:t>
      </w:r>
      <w:r w:rsidR="003B08B6" w:rsidRPr="00C10D10">
        <w:rPr>
          <w:szCs w:val="24"/>
        </w:rPr>
        <w:t xml:space="preserve"> what techniques are or could be available </w:t>
      </w:r>
      <w:r w:rsidR="0068699C">
        <w:rPr>
          <w:szCs w:val="24"/>
        </w:rPr>
        <w:t>for</w:t>
      </w:r>
      <w:r w:rsidR="0068699C" w:rsidRPr="00C10D10">
        <w:rPr>
          <w:szCs w:val="24"/>
        </w:rPr>
        <w:t xml:space="preserve"> </w:t>
      </w:r>
      <w:r w:rsidR="003B08B6" w:rsidRPr="00C10D10">
        <w:rPr>
          <w:szCs w:val="24"/>
        </w:rPr>
        <w:t>reduc</w:t>
      </w:r>
      <w:r w:rsidR="0068699C">
        <w:rPr>
          <w:szCs w:val="24"/>
        </w:rPr>
        <w:t>ing</w:t>
      </w:r>
      <w:r w:rsidR="003B08B6" w:rsidRPr="00C10D10">
        <w:rPr>
          <w:szCs w:val="24"/>
        </w:rPr>
        <w:t xml:space="preserve"> discharges</w:t>
      </w:r>
      <w:r w:rsidR="0068699C">
        <w:rPr>
          <w:szCs w:val="24"/>
        </w:rPr>
        <w:t>,</w:t>
      </w:r>
      <w:r w:rsidR="003B08B6" w:rsidRPr="00C10D10">
        <w:rPr>
          <w:szCs w:val="24"/>
        </w:rPr>
        <w:t xml:space="preserve"> but </w:t>
      </w:r>
      <w:r w:rsidR="0068699C">
        <w:rPr>
          <w:szCs w:val="24"/>
        </w:rPr>
        <w:t xml:space="preserve">rather </w:t>
      </w:r>
      <w:r w:rsidR="00F07D66">
        <w:rPr>
          <w:szCs w:val="24"/>
        </w:rPr>
        <w:t>consider</w:t>
      </w:r>
      <w:r w:rsidR="0078734D">
        <w:rPr>
          <w:szCs w:val="24"/>
        </w:rPr>
        <w:t>ing</w:t>
      </w:r>
      <w:r w:rsidR="003B08B6" w:rsidRPr="00C10D10">
        <w:rPr>
          <w:szCs w:val="24"/>
        </w:rPr>
        <w:t xml:space="preserve"> the situation as a whole to determine </w:t>
      </w:r>
      <w:r w:rsidR="0068699C">
        <w:rPr>
          <w:szCs w:val="24"/>
        </w:rPr>
        <w:t>the</w:t>
      </w:r>
      <w:r w:rsidR="003B08B6" w:rsidRPr="00C10D10">
        <w:rPr>
          <w:szCs w:val="24"/>
        </w:rPr>
        <w:t xml:space="preserve"> optimum</w:t>
      </w:r>
      <w:r w:rsidR="0068699C">
        <w:rPr>
          <w:szCs w:val="24"/>
        </w:rPr>
        <w:t xml:space="preserve"> </w:t>
      </w:r>
      <w:r w:rsidR="0078734D">
        <w:rPr>
          <w:szCs w:val="24"/>
        </w:rPr>
        <w:t xml:space="preserve">level of </w:t>
      </w:r>
      <w:proofErr w:type="gramStart"/>
      <w:r w:rsidR="0078734D">
        <w:rPr>
          <w:szCs w:val="24"/>
        </w:rPr>
        <w:t xml:space="preserve">protection </w:t>
      </w:r>
      <w:r w:rsidR="00374568" w:rsidRPr="00C10D10">
        <w:rPr>
          <w:szCs w:val="24"/>
        </w:rPr>
        <w:t>,</w:t>
      </w:r>
      <w:proofErr w:type="gramEnd"/>
      <w:r w:rsidR="00374568" w:rsidRPr="00C10D10">
        <w:rPr>
          <w:szCs w:val="24"/>
        </w:rPr>
        <w:t xml:space="preserve"> including the availability of the options and the costs involved.</w:t>
      </w:r>
      <w:r w:rsidR="00C40EBA">
        <w:rPr>
          <w:szCs w:val="24"/>
        </w:rPr>
        <w:t xml:space="preserve"> </w:t>
      </w:r>
      <w:r w:rsidR="0068699C">
        <w:rPr>
          <w:szCs w:val="24"/>
        </w:rPr>
        <w:t>Application of t</w:t>
      </w:r>
      <w:r w:rsidR="00F04394">
        <w:rPr>
          <w:szCs w:val="24"/>
        </w:rPr>
        <w:t xml:space="preserve">he concept of </w:t>
      </w:r>
      <w:r w:rsidR="00C40EBA" w:rsidRPr="00C10D10">
        <w:t xml:space="preserve">best available techniques to particular processes, facilities or methods of operation to reduce discharges of radionuclides to the environment is </w:t>
      </w:r>
      <w:r w:rsidR="001354A8">
        <w:t>described</w:t>
      </w:r>
      <w:r w:rsidR="001354A8" w:rsidRPr="00C10D10">
        <w:t xml:space="preserve"> </w:t>
      </w:r>
      <w:r w:rsidR="00C40EBA" w:rsidRPr="00C10D10">
        <w:t xml:space="preserve">in more detail in Annex </w:t>
      </w:r>
      <w:r w:rsidR="00C40EBA">
        <w:t xml:space="preserve">I </w:t>
      </w:r>
      <w:r w:rsidR="00C40EBA" w:rsidRPr="00C10D10">
        <w:t>in the framework</w:t>
      </w:r>
      <w:r w:rsidR="00C40EBA" w:rsidRPr="00BA5ADE">
        <w:t xml:space="preserve"> of optimization of protection.</w:t>
      </w:r>
    </w:p>
    <w:p w:rsidR="00AE67CE" w:rsidRPr="00C10D10" w:rsidRDefault="00AE67CE" w:rsidP="007D32C1">
      <w:pPr>
        <w:pStyle w:val="Heading3"/>
        <w:spacing w:before="120" w:after="0"/>
        <w:rPr>
          <w:lang w:val="en-GB"/>
        </w:rPr>
      </w:pPr>
      <w:r w:rsidRPr="00C10D10">
        <w:rPr>
          <w:lang w:val="en-GB"/>
        </w:rPr>
        <w:t>Use of collective dose</w:t>
      </w:r>
    </w:p>
    <w:p w:rsidR="002F423A" w:rsidRPr="00C10D10" w:rsidRDefault="000805E5"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estimation of collective doses </w:t>
      </w:r>
      <w:r w:rsidR="003927EF">
        <w:rPr>
          <w:szCs w:val="24"/>
        </w:rPr>
        <w:t xml:space="preserve">to members of the public </w:t>
      </w:r>
      <w:r w:rsidRPr="00C10D10">
        <w:rPr>
          <w:szCs w:val="24"/>
        </w:rPr>
        <w:t xml:space="preserve">resulting from </w:t>
      </w:r>
      <w:r w:rsidR="002B5382">
        <w:rPr>
          <w:szCs w:val="24"/>
        </w:rPr>
        <w:t>alternative</w:t>
      </w:r>
      <w:r w:rsidRPr="00C10D10">
        <w:rPr>
          <w:szCs w:val="24"/>
        </w:rPr>
        <w:t xml:space="preserve"> </w:t>
      </w:r>
      <w:r w:rsidR="001A55B5">
        <w:rPr>
          <w:szCs w:val="24"/>
        </w:rPr>
        <w:t xml:space="preserve">options for managing </w:t>
      </w:r>
      <w:r w:rsidR="003927EF">
        <w:rPr>
          <w:szCs w:val="24"/>
        </w:rPr>
        <w:t>discharge</w:t>
      </w:r>
      <w:r w:rsidR="001A55B5">
        <w:rPr>
          <w:szCs w:val="24"/>
        </w:rPr>
        <w:t>s</w:t>
      </w:r>
      <w:r w:rsidR="003927EF">
        <w:rPr>
          <w:szCs w:val="24"/>
        </w:rPr>
        <w:t xml:space="preserve"> </w:t>
      </w:r>
      <w:r w:rsidRPr="00C10D10">
        <w:rPr>
          <w:szCs w:val="24"/>
        </w:rPr>
        <w:t xml:space="preserve">and their comparison </w:t>
      </w:r>
      <w:r w:rsidR="00ED318B" w:rsidRPr="00C10D10">
        <w:rPr>
          <w:szCs w:val="24"/>
        </w:rPr>
        <w:t>is</w:t>
      </w:r>
      <w:r w:rsidRPr="00C10D10">
        <w:rPr>
          <w:szCs w:val="24"/>
        </w:rPr>
        <w:t xml:space="preserve"> another </w:t>
      </w:r>
      <w:r w:rsidR="003927EF">
        <w:rPr>
          <w:szCs w:val="24"/>
        </w:rPr>
        <w:t>approach</w:t>
      </w:r>
      <w:r w:rsidR="003927EF" w:rsidRPr="00C10D10">
        <w:rPr>
          <w:szCs w:val="24"/>
        </w:rPr>
        <w:t xml:space="preserve"> </w:t>
      </w:r>
      <w:r w:rsidR="003927EF">
        <w:rPr>
          <w:szCs w:val="24"/>
        </w:rPr>
        <w:t>that</w:t>
      </w:r>
      <w:r w:rsidR="00ED318B" w:rsidRPr="00C10D10">
        <w:rPr>
          <w:szCs w:val="24"/>
        </w:rPr>
        <w:t xml:space="preserve"> could be</w:t>
      </w:r>
      <w:r w:rsidRPr="00C10D10">
        <w:rPr>
          <w:szCs w:val="24"/>
        </w:rPr>
        <w:t xml:space="preserve"> include</w:t>
      </w:r>
      <w:r w:rsidR="00ED318B" w:rsidRPr="00C10D10">
        <w:rPr>
          <w:szCs w:val="24"/>
        </w:rPr>
        <w:t>d</w:t>
      </w:r>
      <w:r w:rsidRPr="00C10D10">
        <w:rPr>
          <w:szCs w:val="24"/>
        </w:rPr>
        <w:t xml:space="preserve"> in the optimization process</w:t>
      </w:r>
      <w:r w:rsidR="00374568" w:rsidRPr="00C10D10">
        <w:rPr>
          <w:szCs w:val="24"/>
        </w:rPr>
        <w:t>.</w:t>
      </w:r>
      <w:r w:rsidR="002F423A" w:rsidRPr="00C10D10">
        <w:rPr>
          <w:szCs w:val="24"/>
        </w:rPr>
        <w:t xml:space="preserve"> </w:t>
      </w:r>
    </w:p>
    <w:p w:rsidR="002F423A" w:rsidRPr="00C10D10" w:rsidRDefault="0068699C" w:rsidP="0091132F">
      <w:pPr>
        <w:pStyle w:val="ListParagraph"/>
        <w:numPr>
          <w:ilvl w:val="0"/>
          <w:numId w:val="7"/>
        </w:numPr>
        <w:autoSpaceDE w:val="0"/>
        <w:autoSpaceDN w:val="0"/>
        <w:adjustRightInd w:val="0"/>
        <w:spacing w:before="120"/>
        <w:contextualSpacing w:val="0"/>
        <w:jc w:val="both"/>
        <w:rPr>
          <w:szCs w:val="24"/>
        </w:rPr>
      </w:pPr>
      <w:r>
        <w:rPr>
          <w:szCs w:val="24"/>
        </w:rPr>
        <w:t>The c</w:t>
      </w:r>
      <w:r w:rsidR="00AE67CE" w:rsidRPr="00C10D10">
        <w:rPr>
          <w:szCs w:val="24"/>
        </w:rPr>
        <w:t xml:space="preserve">ollective dose </w:t>
      </w:r>
      <w:r w:rsidR="00374568" w:rsidRPr="00C10D10">
        <w:rPr>
          <w:szCs w:val="24"/>
        </w:rPr>
        <w:t>is</w:t>
      </w:r>
      <w:r w:rsidR="00AE67CE" w:rsidRPr="00C10D10">
        <w:rPr>
          <w:szCs w:val="24"/>
        </w:rPr>
        <w:t xml:space="preserve"> </w:t>
      </w:r>
      <w:r>
        <w:rPr>
          <w:szCs w:val="24"/>
        </w:rPr>
        <w:t>the total</w:t>
      </w:r>
      <w:r w:rsidR="007F4FE7" w:rsidRPr="00C10D10">
        <w:rPr>
          <w:szCs w:val="24"/>
        </w:rPr>
        <w:t xml:space="preserve"> radiation </w:t>
      </w:r>
      <w:r>
        <w:rPr>
          <w:szCs w:val="24"/>
        </w:rPr>
        <w:t>dose</w:t>
      </w:r>
      <w:r w:rsidRPr="00C10D10">
        <w:rPr>
          <w:szCs w:val="24"/>
        </w:rPr>
        <w:t xml:space="preserve"> </w:t>
      </w:r>
      <w:r w:rsidR="007F4FE7" w:rsidRPr="00C10D10">
        <w:rPr>
          <w:szCs w:val="24"/>
        </w:rPr>
        <w:t xml:space="preserve">from a source </w:t>
      </w:r>
      <w:r>
        <w:rPr>
          <w:szCs w:val="24"/>
        </w:rPr>
        <w:t>incurred by</w:t>
      </w:r>
      <w:r w:rsidRPr="00C10D10">
        <w:rPr>
          <w:szCs w:val="24"/>
        </w:rPr>
        <w:t xml:space="preserve"> </w:t>
      </w:r>
      <w:r w:rsidR="007F4FE7" w:rsidRPr="00C10D10">
        <w:rPr>
          <w:szCs w:val="24"/>
        </w:rPr>
        <w:t xml:space="preserve">a given group of population </w:t>
      </w:r>
      <w:r>
        <w:rPr>
          <w:szCs w:val="24"/>
        </w:rPr>
        <w:t xml:space="preserve">[3] </w:t>
      </w:r>
      <w:r w:rsidR="007F4FE7" w:rsidRPr="00C10D10">
        <w:rPr>
          <w:szCs w:val="24"/>
        </w:rPr>
        <w:t>and</w:t>
      </w:r>
      <w:r>
        <w:rPr>
          <w:szCs w:val="24"/>
        </w:rPr>
        <w:t xml:space="preserve"> it</w:t>
      </w:r>
      <w:r w:rsidR="007F4FE7" w:rsidRPr="00C10D10">
        <w:rPr>
          <w:szCs w:val="24"/>
        </w:rPr>
        <w:t xml:space="preserve"> can be obtained by multiplying the average </w:t>
      </w:r>
      <w:r w:rsidR="00DE020D">
        <w:rPr>
          <w:szCs w:val="24"/>
        </w:rPr>
        <w:t>dose</w:t>
      </w:r>
      <w:r w:rsidR="007F4FE7" w:rsidRPr="00C10D10">
        <w:rPr>
          <w:szCs w:val="24"/>
        </w:rPr>
        <w:t xml:space="preserve"> to the exposed group by the number of individuals in the group [</w:t>
      </w:r>
      <w:r w:rsidR="0078734D">
        <w:rPr>
          <w:szCs w:val="24"/>
        </w:rPr>
        <w:t>25</w:t>
      </w:r>
      <w:r w:rsidR="008E530B" w:rsidRPr="00C10D10">
        <w:rPr>
          <w:szCs w:val="24"/>
        </w:rPr>
        <w:t>, 2</w:t>
      </w:r>
      <w:r w:rsidR="0078734D">
        <w:rPr>
          <w:szCs w:val="24"/>
        </w:rPr>
        <w:t>9</w:t>
      </w:r>
      <w:r w:rsidR="007F4FE7" w:rsidRPr="00C10D10">
        <w:rPr>
          <w:szCs w:val="24"/>
        </w:rPr>
        <w:t>]</w:t>
      </w:r>
      <w:r w:rsidR="00FC02D5" w:rsidRPr="00C10D10">
        <w:rPr>
          <w:szCs w:val="24"/>
        </w:rPr>
        <w:t>.</w:t>
      </w:r>
      <w:r w:rsidR="007F4FE7" w:rsidRPr="00C10D10">
        <w:rPr>
          <w:szCs w:val="24"/>
        </w:rPr>
        <w:t xml:space="preserve"> </w:t>
      </w:r>
      <w:r w:rsidR="000805E5" w:rsidRPr="00C10D10">
        <w:rPr>
          <w:szCs w:val="24"/>
        </w:rPr>
        <w:t xml:space="preserve">When estimating </w:t>
      </w:r>
      <w:r>
        <w:rPr>
          <w:szCs w:val="24"/>
        </w:rPr>
        <w:t xml:space="preserve">the </w:t>
      </w:r>
      <w:r w:rsidR="000805E5" w:rsidRPr="00C10D10">
        <w:rPr>
          <w:szCs w:val="24"/>
        </w:rPr>
        <w:t>collective dose to the public</w:t>
      </w:r>
      <w:r>
        <w:rPr>
          <w:szCs w:val="24"/>
        </w:rPr>
        <w:t>,</w:t>
      </w:r>
      <w:r w:rsidR="000805E5" w:rsidRPr="00C10D10">
        <w:rPr>
          <w:szCs w:val="24"/>
        </w:rPr>
        <w:t xml:space="preserve"> care should be taken </w:t>
      </w:r>
      <w:r w:rsidR="00374568" w:rsidRPr="00C10D10">
        <w:rPr>
          <w:szCs w:val="24"/>
        </w:rPr>
        <w:t>to avoid</w:t>
      </w:r>
      <w:r w:rsidR="00AE67CE" w:rsidRPr="00C10D10">
        <w:rPr>
          <w:szCs w:val="24"/>
        </w:rPr>
        <w:t xml:space="preserve"> inappropriate aggregation of, for example, very low individual doses over </w:t>
      </w:r>
      <w:r w:rsidR="00AE67CE" w:rsidRPr="007F1B9F">
        <w:rPr>
          <w:szCs w:val="24"/>
        </w:rPr>
        <w:t>extended time periods and wide geographical regions,</w:t>
      </w:r>
      <w:r w:rsidR="00FC02D5" w:rsidRPr="00FD46D4">
        <w:rPr>
          <w:szCs w:val="24"/>
        </w:rPr>
        <w:t xml:space="preserve"> </w:t>
      </w:r>
      <w:r w:rsidR="00ED318B" w:rsidRPr="00FD46D4">
        <w:rPr>
          <w:szCs w:val="24"/>
        </w:rPr>
        <w:t>i.e.</w:t>
      </w:r>
      <w:r w:rsidR="00AE67CE" w:rsidRPr="00541685">
        <w:rPr>
          <w:szCs w:val="24"/>
        </w:rPr>
        <w:t xml:space="preserve"> </w:t>
      </w:r>
      <w:r w:rsidR="00067D35" w:rsidRPr="00541685">
        <w:rPr>
          <w:szCs w:val="24"/>
        </w:rPr>
        <w:t xml:space="preserve">truncating </w:t>
      </w:r>
      <w:r w:rsidR="00AE67CE" w:rsidRPr="002A7051">
        <w:rPr>
          <w:szCs w:val="24"/>
        </w:rPr>
        <w:t xml:space="preserve">conditions </w:t>
      </w:r>
      <w:r w:rsidR="00CE17F3" w:rsidRPr="002A7051">
        <w:rPr>
          <w:szCs w:val="24"/>
        </w:rPr>
        <w:t>should</w:t>
      </w:r>
      <w:r w:rsidR="00AE67CE" w:rsidRPr="002A7051">
        <w:rPr>
          <w:szCs w:val="24"/>
        </w:rPr>
        <w:t xml:space="preserve"> be set</w:t>
      </w:r>
      <w:r w:rsidR="00651D84" w:rsidRPr="002A7051">
        <w:rPr>
          <w:szCs w:val="24"/>
        </w:rPr>
        <w:t xml:space="preserve"> [</w:t>
      </w:r>
      <w:r w:rsidR="0078734D">
        <w:rPr>
          <w:szCs w:val="24"/>
        </w:rPr>
        <w:t>25</w:t>
      </w:r>
      <w:r w:rsidR="00651D84" w:rsidRPr="00C158A4">
        <w:rPr>
          <w:szCs w:val="24"/>
        </w:rPr>
        <w:t>]</w:t>
      </w:r>
      <w:r w:rsidR="00374568" w:rsidRPr="00C158A4">
        <w:rPr>
          <w:szCs w:val="24"/>
        </w:rPr>
        <w:t>.</w:t>
      </w:r>
      <w:r w:rsidR="002F423A" w:rsidRPr="00D15F4C">
        <w:rPr>
          <w:szCs w:val="24"/>
        </w:rPr>
        <w:t xml:space="preserve"> </w:t>
      </w:r>
      <w:r w:rsidR="007F1B9F" w:rsidRPr="00FD31BD">
        <w:rPr>
          <w:szCs w:val="24"/>
        </w:rPr>
        <w:t xml:space="preserve">Collective dose should be used </w:t>
      </w:r>
      <w:r w:rsidRPr="00FD31BD">
        <w:rPr>
          <w:szCs w:val="24"/>
        </w:rPr>
        <w:t xml:space="preserve">only </w:t>
      </w:r>
      <w:r w:rsidR="007F1B9F" w:rsidRPr="00FD31BD">
        <w:rPr>
          <w:szCs w:val="24"/>
        </w:rPr>
        <w:t xml:space="preserve">in the comparison of options, and any truncation applied to the calculations </w:t>
      </w:r>
      <w:r>
        <w:rPr>
          <w:szCs w:val="24"/>
        </w:rPr>
        <w:t>has to</w:t>
      </w:r>
      <w:r w:rsidRPr="00FD31BD">
        <w:rPr>
          <w:szCs w:val="24"/>
        </w:rPr>
        <w:t xml:space="preserve"> </w:t>
      </w:r>
      <w:r w:rsidR="007F1B9F" w:rsidRPr="00FD31BD">
        <w:rPr>
          <w:szCs w:val="24"/>
        </w:rPr>
        <w:t xml:space="preserve">be consistent so that the comparisons are </w:t>
      </w:r>
      <w:r w:rsidR="003927EF">
        <w:rPr>
          <w:szCs w:val="24"/>
        </w:rPr>
        <w:t>meaningful</w:t>
      </w:r>
      <w:r w:rsidR="007F1B9F" w:rsidRPr="00FD31BD">
        <w:rPr>
          <w:szCs w:val="24"/>
        </w:rPr>
        <w:t>.</w:t>
      </w:r>
      <w:r w:rsidR="00C505DE">
        <w:t xml:space="preserve"> </w:t>
      </w:r>
    </w:p>
    <w:p w:rsidR="002F423A" w:rsidRPr="00C10D10" w:rsidRDefault="0068699C" w:rsidP="0091132F">
      <w:pPr>
        <w:pStyle w:val="ListParagraph"/>
        <w:numPr>
          <w:ilvl w:val="0"/>
          <w:numId w:val="7"/>
        </w:numPr>
        <w:autoSpaceDE w:val="0"/>
        <w:autoSpaceDN w:val="0"/>
        <w:adjustRightInd w:val="0"/>
        <w:spacing w:before="120"/>
        <w:contextualSpacing w:val="0"/>
        <w:jc w:val="both"/>
        <w:rPr>
          <w:szCs w:val="24"/>
        </w:rPr>
      </w:pPr>
      <w:r>
        <w:rPr>
          <w:szCs w:val="24"/>
        </w:rPr>
        <w:t>Use has been made</w:t>
      </w:r>
      <w:r w:rsidR="00C64DC4" w:rsidRPr="00C10D10">
        <w:rPr>
          <w:szCs w:val="24"/>
        </w:rPr>
        <w:t xml:space="preserve"> of collective dose </w:t>
      </w:r>
      <w:r>
        <w:rPr>
          <w:szCs w:val="24"/>
        </w:rPr>
        <w:t xml:space="preserve">in different ways </w:t>
      </w:r>
      <w:r w:rsidR="00C64DC4" w:rsidRPr="00C10D10">
        <w:rPr>
          <w:szCs w:val="24"/>
        </w:rPr>
        <w:t xml:space="preserve">to assist in the selection of an optimum level of protection of the public, for instance to assign a monetary cost to the radiation detriment and </w:t>
      </w:r>
      <w:r w:rsidR="001A55B5">
        <w:rPr>
          <w:szCs w:val="24"/>
        </w:rPr>
        <w:t xml:space="preserve">to </w:t>
      </w:r>
      <w:r w:rsidR="00C64DC4" w:rsidRPr="00C10D10">
        <w:rPr>
          <w:szCs w:val="24"/>
        </w:rPr>
        <w:t xml:space="preserve">compare this with the cost of </w:t>
      </w:r>
      <w:r w:rsidR="0078734D">
        <w:rPr>
          <w:szCs w:val="24"/>
        </w:rPr>
        <w:t>each</w:t>
      </w:r>
      <w:r w:rsidR="0078734D" w:rsidRPr="00C10D10">
        <w:rPr>
          <w:szCs w:val="24"/>
        </w:rPr>
        <w:t xml:space="preserve"> </w:t>
      </w:r>
      <w:r w:rsidR="00C64DC4" w:rsidRPr="00C10D10">
        <w:rPr>
          <w:szCs w:val="24"/>
        </w:rPr>
        <w:t xml:space="preserve">option to reduce discharges. This </w:t>
      </w:r>
      <w:r w:rsidR="005A7B8E" w:rsidRPr="00C10D10">
        <w:rPr>
          <w:szCs w:val="24"/>
        </w:rPr>
        <w:t xml:space="preserve">Safety Guide </w:t>
      </w:r>
      <w:r w:rsidR="00C64DC4" w:rsidRPr="00C10D10">
        <w:rPr>
          <w:szCs w:val="24"/>
        </w:rPr>
        <w:t xml:space="preserve">does not provide </w:t>
      </w:r>
      <w:r w:rsidR="009D05F3">
        <w:rPr>
          <w:szCs w:val="24"/>
        </w:rPr>
        <w:t xml:space="preserve">detailed </w:t>
      </w:r>
      <w:r w:rsidR="00C64DC4" w:rsidRPr="00C10D10">
        <w:rPr>
          <w:szCs w:val="24"/>
        </w:rPr>
        <w:t>guidance on the use of collective dose</w:t>
      </w:r>
      <w:r w:rsidR="005A7B8E" w:rsidRPr="00C10D10">
        <w:rPr>
          <w:szCs w:val="24"/>
        </w:rPr>
        <w:t>;</w:t>
      </w:r>
      <w:r w:rsidR="00CD6FC7" w:rsidRPr="00C10D10">
        <w:rPr>
          <w:szCs w:val="24"/>
        </w:rPr>
        <w:t xml:space="preserve"> however</w:t>
      </w:r>
      <w:r w:rsidR="005A7B8E" w:rsidRPr="00C10D10">
        <w:rPr>
          <w:szCs w:val="24"/>
        </w:rPr>
        <w:t>,</w:t>
      </w:r>
      <w:r w:rsidR="00CD6FC7" w:rsidRPr="00C10D10">
        <w:rPr>
          <w:szCs w:val="24"/>
        </w:rPr>
        <w:t xml:space="preserve"> with adequate consideration and care, </w:t>
      </w:r>
      <w:r w:rsidR="001A55B5">
        <w:rPr>
          <w:szCs w:val="24"/>
        </w:rPr>
        <w:t xml:space="preserve">the use of </w:t>
      </w:r>
      <w:r w:rsidR="00CD6FC7" w:rsidRPr="00C10D10">
        <w:rPr>
          <w:szCs w:val="24"/>
        </w:rPr>
        <w:t>collective dose could be a practical mean</w:t>
      </w:r>
      <w:r w:rsidR="009517D3" w:rsidRPr="00C10D10">
        <w:rPr>
          <w:szCs w:val="24"/>
        </w:rPr>
        <w:t>s</w:t>
      </w:r>
      <w:r w:rsidR="00CD6FC7" w:rsidRPr="00C10D10">
        <w:rPr>
          <w:szCs w:val="24"/>
        </w:rPr>
        <w:t xml:space="preserve"> to apply optimization</w:t>
      </w:r>
      <w:r w:rsidR="009B3DB8">
        <w:rPr>
          <w:szCs w:val="24"/>
        </w:rPr>
        <w:t>, by comparing the protection outcome of different technologies</w:t>
      </w:r>
      <w:r w:rsidR="00CD6FC7" w:rsidRPr="00C10D10">
        <w:rPr>
          <w:szCs w:val="24"/>
        </w:rPr>
        <w:t xml:space="preserve">. </w:t>
      </w:r>
      <w:r w:rsidR="001A55B5">
        <w:rPr>
          <w:szCs w:val="24"/>
        </w:rPr>
        <w:t>C</w:t>
      </w:r>
      <w:r w:rsidR="00281688" w:rsidRPr="00C10D10">
        <w:rPr>
          <w:szCs w:val="24"/>
        </w:rPr>
        <w:t xml:space="preserve">ollective dose </w:t>
      </w:r>
      <w:r w:rsidR="009D05F3">
        <w:rPr>
          <w:szCs w:val="24"/>
        </w:rPr>
        <w:t xml:space="preserve">must </w:t>
      </w:r>
      <w:r w:rsidR="00281688" w:rsidRPr="00C10D10">
        <w:rPr>
          <w:szCs w:val="24"/>
        </w:rPr>
        <w:t xml:space="preserve">not be used to attribute specific risk </w:t>
      </w:r>
      <w:r w:rsidR="00FC02D5" w:rsidRPr="00C10D10">
        <w:rPr>
          <w:szCs w:val="24"/>
        </w:rPr>
        <w:t>of health effects</w:t>
      </w:r>
      <w:r w:rsidR="000625FD">
        <w:rPr>
          <w:szCs w:val="24"/>
        </w:rPr>
        <w:t xml:space="preserve"> </w:t>
      </w:r>
      <w:r w:rsidR="000625FD" w:rsidRPr="00F00A7F">
        <w:rPr>
          <w:szCs w:val="24"/>
        </w:rPr>
        <w:t>[UNSCEAR 2012 Report</w:t>
      </w:r>
      <w:proofErr w:type="gramStart"/>
      <w:r w:rsidR="009B3DB8" w:rsidRPr="00F00A7F">
        <w:rPr>
          <w:szCs w:val="24"/>
        </w:rPr>
        <w:t>]</w:t>
      </w:r>
      <w:r w:rsidR="000625FD">
        <w:rPr>
          <w:szCs w:val="24"/>
        </w:rPr>
        <w:t xml:space="preserve"> </w:t>
      </w:r>
      <w:r w:rsidR="00FC02D5" w:rsidRPr="00C10D10">
        <w:rPr>
          <w:szCs w:val="24"/>
        </w:rPr>
        <w:t>.</w:t>
      </w:r>
      <w:proofErr w:type="gramEnd"/>
      <w:r w:rsidR="00FC02D5" w:rsidRPr="00C10D10">
        <w:rPr>
          <w:szCs w:val="24"/>
        </w:rPr>
        <w:t xml:space="preserve"> </w:t>
      </w:r>
      <w:r w:rsidR="003927EF">
        <w:rPr>
          <w:szCs w:val="24"/>
        </w:rPr>
        <w:t xml:space="preserve">ICRP </w:t>
      </w:r>
      <w:r w:rsidR="00CD6FC7" w:rsidRPr="00C10D10">
        <w:rPr>
          <w:szCs w:val="24"/>
        </w:rPr>
        <w:t xml:space="preserve">Publication </w:t>
      </w:r>
      <w:r w:rsidR="003927EF">
        <w:rPr>
          <w:szCs w:val="24"/>
        </w:rPr>
        <w:t xml:space="preserve">101 </w:t>
      </w:r>
      <w:r w:rsidR="00CD6FC7" w:rsidRPr="00C10D10">
        <w:rPr>
          <w:szCs w:val="24"/>
        </w:rPr>
        <w:t>[</w:t>
      </w:r>
      <w:r w:rsidR="0078734D">
        <w:rPr>
          <w:szCs w:val="24"/>
        </w:rPr>
        <w:t>25</w:t>
      </w:r>
      <w:r w:rsidR="00CD6FC7" w:rsidRPr="00C10D10">
        <w:rPr>
          <w:szCs w:val="24"/>
        </w:rPr>
        <w:t xml:space="preserve">] </w:t>
      </w:r>
      <w:r w:rsidR="001354A8">
        <w:rPr>
          <w:szCs w:val="24"/>
        </w:rPr>
        <w:t>describes</w:t>
      </w:r>
      <w:r w:rsidR="001354A8" w:rsidRPr="00C10D10">
        <w:rPr>
          <w:szCs w:val="24"/>
        </w:rPr>
        <w:t xml:space="preserve"> </w:t>
      </w:r>
      <w:r w:rsidR="00CD6FC7" w:rsidRPr="00C10D10">
        <w:rPr>
          <w:szCs w:val="24"/>
        </w:rPr>
        <w:t xml:space="preserve">optimization and </w:t>
      </w:r>
      <w:r w:rsidR="001A55B5">
        <w:rPr>
          <w:szCs w:val="24"/>
        </w:rPr>
        <w:t xml:space="preserve">the </w:t>
      </w:r>
      <w:r w:rsidR="00CD6FC7" w:rsidRPr="00C10D10">
        <w:rPr>
          <w:szCs w:val="24"/>
        </w:rPr>
        <w:t>use of collective dose in more detail.</w:t>
      </w:r>
    </w:p>
    <w:p w:rsidR="00482223" w:rsidRPr="00C10D10" w:rsidRDefault="001924B2" w:rsidP="008B680D">
      <w:pPr>
        <w:pStyle w:val="Heading2"/>
        <w:rPr>
          <w:caps w:val="0"/>
          <w:lang w:val="en-GB"/>
        </w:rPr>
      </w:pPr>
      <w:bookmarkStart w:id="44" w:name="_Toc452966953"/>
      <w:r w:rsidRPr="00C10D10">
        <w:rPr>
          <w:caps w:val="0"/>
          <w:lang w:val="en-GB"/>
        </w:rPr>
        <w:t xml:space="preserve">ASSESSMENT OF </w:t>
      </w:r>
      <w:r w:rsidR="00D37912">
        <w:rPr>
          <w:caps w:val="0"/>
          <w:lang w:val="en-GB"/>
        </w:rPr>
        <w:t xml:space="preserve">THE </w:t>
      </w:r>
      <w:r w:rsidRPr="00C10D10">
        <w:rPr>
          <w:caps w:val="0"/>
          <w:lang w:val="en-GB"/>
        </w:rPr>
        <w:t xml:space="preserve">DOSE TO </w:t>
      </w:r>
      <w:r w:rsidR="00AF2F52">
        <w:rPr>
          <w:caps w:val="0"/>
          <w:lang w:val="en-GB"/>
        </w:rPr>
        <w:t xml:space="preserve">THE </w:t>
      </w:r>
      <w:r w:rsidRPr="00C10D10">
        <w:rPr>
          <w:caps w:val="0"/>
          <w:lang w:val="en-GB"/>
        </w:rPr>
        <w:t>REPRESENTATIVE PERSON</w:t>
      </w:r>
      <w:bookmarkEnd w:id="44"/>
    </w:p>
    <w:p w:rsidR="00B96B04" w:rsidRDefault="002513CA"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establishment of an authorization </w:t>
      </w:r>
      <w:r w:rsidR="00C12738">
        <w:rPr>
          <w:szCs w:val="24"/>
        </w:rPr>
        <w:t>for</w:t>
      </w:r>
      <w:r w:rsidR="00C12738" w:rsidRPr="00C10D10">
        <w:rPr>
          <w:szCs w:val="24"/>
        </w:rPr>
        <w:t xml:space="preserve"> </w:t>
      </w:r>
      <w:r w:rsidR="00482223" w:rsidRPr="00C10D10">
        <w:rPr>
          <w:szCs w:val="24"/>
        </w:rPr>
        <w:t xml:space="preserve">discharges </w:t>
      </w:r>
      <w:r w:rsidR="005A7B8E" w:rsidRPr="00C10D10">
        <w:rPr>
          <w:szCs w:val="24"/>
        </w:rPr>
        <w:t>should</w:t>
      </w:r>
      <w:r w:rsidR="00482223" w:rsidRPr="00C10D10">
        <w:rPr>
          <w:szCs w:val="24"/>
        </w:rPr>
        <w:t xml:space="preserve"> take into account the results of a</w:t>
      </w:r>
      <w:r w:rsidR="00AF2F52">
        <w:rPr>
          <w:szCs w:val="24"/>
        </w:rPr>
        <w:t>n</w:t>
      </w:r>
      <w:r w:rsidR="00E36F59" w:rsidRPr="00C10D10">
        <w:rPr>
          <w:szCs w:val="24"/>
        </w:rPr>
        <w:t xml:space="preserve"> </w:t>
      </w:r>
      <w:r w:rsidR="00482223" w:rsidRPr="00C10D10">
        <w:rPr>
          <w:szCs w:val="24"/>
        </w:rPr>
        <w:t>assessment of the radiological environmental impacts</w:t>
      </w:r>
      <w:r w:rsidR="00ED3C9F" w:rsidRPr="00C10D10">
        <w:rPr>
          <w:szCs w:val="24"/>
        </w:rPr>
        <w:t xml:space="preserve"> commensurate with the radiation risk associated with the facility or activity</w:t>
      </w:r>
      <w:r w:rsidR="0098516E" w:rsidRPr="00C10D10">
        <w:rPr>
          <w:szCs w:val="24"/>
        </w:rPr>
        <w:t xml:space="preserve"> [</w:t>
      </w:r>
      <w:r w:rsidR="0078734D">
        <w:rPr>
          <w:szCs w:val="24"/>
        </w:rPr>
        <w:t>3</w:t>
      </w:r>
      <w:r w:rsidR="002B5382">
        <w:rPr>
          <w:szCs w:val="24"/>
        </w:rPr>
        <w:t xml:space="preserve">, </w:t>
      </w:r>
      <w:r w:rsidR="0078734D">
        <w:rPr>
          <w:szCs w:val="24"/>
        </w:rPr>
        <w:t>7</w:t>
      </w:r>
      <w:r w:rsidR="0098516E" w:rsidRPr="00C10D10">
        <w:rPr>
          <w:szCs w:val="24"/>
        </w:rPr>
        <w:t>]</w:t>
      </w:r>
      <w:r w:rsidR="008B680D" w:rsidRPr="00C10D10">
        <w:rPr>
          <w:szCs w:val="24"/>
        </w:rPr>
        <w:t xml:space="preserve">. To set the discharge limits, </w:t>
      </w:r>
      <w:r w:rsidR="007D32C1" w:rsidRPr="00C10D10">
        <w:rPr>
          <w:szCs w:val="24"/>
        </w:rPr>
        <w:t xml:space="preserve">prospective </w:t>
      </w:r>
      <w:r w:rsidR="007D32C1" w:rsidRPr="00C10D10">
        <w:rPr>
          <w:szCs w:val="24"/>
        </w:rPr>
        <w:lastRenderedPageBreak/>
        <w:t xml:space="preserve">estimations of </w:t>
      </w:r>
      <w:r w:rsidR="008B680D" w:rsidRPr="00C10D10">
        <w:rPr>
          <w:szCs w:val="24"/>
        </w:rPr>
        <w:t>the dose to</w:t>
      </w:r>
      <w:r w:rsidR="00C505DE">
        <w:rPr>
          <w:szCs w:val="24"/>
        </w:rPr>
        <w:t xml:space="preserve"> </w:t>
      </w:r>
      <w:r w:rsidR="0091132F">
        <w:rPr>
          <w:szCs w:val="24"/>
        </w:rPr>
        <w:t>members of the public</w:t>
      </w:r>
      <w:r w:rsidR="003759F4" w:rsidRPr="00C10D10">
        <w:rPr>
          <w:szCs w:val="24"/>
        </w:rPr>
        <w:t xml:space="preserve"> should be used</w:t>
      </w:r>
      <w:r w:rsidR="007D32C1" w:rsidRPr="00C10D10">
        <w:rPr>
          <w:szCs w:val="24"/>
        </w:rPr>
        <w:t xml:space="preserve"> to</w:t>
      </w:r>
      <w:r w:rsidR="00E36F59" w:rsidRPr="00C10D10">
        <w:rPr>
          <w:szCs w:val="24"/>
        </w:rPr>
        <w:t xml:space="preserve"> </w:t>
      </w:r>
      <w:r w:rsidR="005357FA">
        <w:rPr>
          <w:szCs w:val="24"/>
        </w:rPr>
        <w:t>determine</w:t>
      </w:r>
      <w:r w:rsidR="007D32C1" w:rsidRPr="00C10D10">
        <w:rPr>
          <w:szCs w:val="24"/>
        </w:rPr>
        <w:t xml:space="preserve"> acceptable optimized discharge levels </w:t>
      </w:r>
      <w:r w:rsidR="00D37912">
        <w:rPr>
          <w:szCs w:val="24"/>
        </w:rPr>
        <w:t>that meet</w:t>
      </w:r>
      <w:r w:rsidR="00D37912" w:rsidRPr="00C10D10">
        <w:rPr>
          <w:szCs w:val="24"/>
        </w:rPr>
        <w:t xml:space="preserve"> </w:t>
      </w:r>
      <w:r w:rsidR="007D32C1" w:rsidRPr="00C10D10">
        <w:rPr>
          <w:szCs w:val="24"/>
        </w:rPr>
        <w:t>the established radiological criteria</w:t>
      </w:r>
      <w:r w:rsidR="00B96B04" w:rsidRPr="00C10D10">
        <w:rPr>
          <w:szCs w:val="24"/>
        </w:rPr>
        <w:t>.</w:t>
      </w:r>
      <w:r w:rsidR="0091132F">
        <w:rPr>
          <w:szCs w:val="24"/>
        </w:rPr>
        <w:t xml:space="preserve"> </w:t>
      </w:r>
    </w:p>
    <w:p w:rsidR="0091132F" w:rsidRPr="00C10D10" w:rsidRDefault="0091132F" w:rsidP="0091132F">
      <w:pPr>
        <w:pStyle w:val="ListParagraph"/>
        <w:numPr>
          <w:ilvl w:val="0"/>
          <w:numId w:val="7"/>
        </w:numPr>
        <w:autoSpaceDE w:val="0"/>
        <w:autoSpaceDN w:val="0"/>
        <w:adjustRightInd w:val="0"/>
        <w:spacing w:before="120"/>
        <w:contextualSpacing w:val="0"/>
        <w:jc w:val="both"/>
        <w:rPr>
          <w:szCs w:val="24"/>
        </w:rPr>
      </w:pPr>
      <w:r w:rsidRPr="0091132F">
        <w:rPr>
          <w:szCs w:val="24"/>
        </w:rPr>
        <w:t xml:space="preserve">The estimation of the effective dose </w:t>
      </w:r>
      <w:r w:rsidR="00D37912">
        <w:rPr>
          <w:szCs w:val="24"/>
        </w:rPr>
        <w:t>that</w:t>
      </w:r>
      <w:r w:rsidR="00D37912" w:rsidRPr="0091132F">
        <w:rPr>
          <w:szCs w:val="24"/>
        </w:rPr>
        <w:t xml:space="preserve"> </w:t>
      </w:r>
      <w:r w:rsidRPr="0091132F">
        <w:rPr>
          <w:szCs w:val="24"/>
        </w:rPr>
        <w:t xml:space="preserve">may be </w:t>
      </w:r>
      <w:r w:rsidR="00D37912">
        <w:rPr>
          <w:szCs w:val="24"/>
        </w:rPr>
        <w:t>incurred by</w:t>
      </w:r>
      <w:r w:rsidRPr="0091132F">
        <w:rPr>
          <w:szCs w:val="24"/>
        </w:rPr>
        <w:t xml:space="preserve"> members of the public depends upon a number of factors, such as the characteristics of the source term, the behaviour of radionuclides in the environment and their transfer to people, the duration of exposure and other relevant factors. These factors cause a wide variation in the effective dose among the exposed population. </w:t>
      </w:r>
      <w:r>
        <w:rPr>
          <w:szCs w:val="24"/>
        </w:rPr>
        <w:t>For</w:t>
      </w:r>
      <w:r w:rsidRPr="0091132F">
        <w:rPr>
          <w:szCs w:val="24"/>
        </w:rPr>
        <w:t xml:space="preserve"> the purpose of setting discharge limits</w:t>
      </w:r>
      <w:r w:rsidR="00D37912">
        <w:rPr>
          <w:szCs w:val="24"/>
        </w:rPr>
        <w:t>,</w:t>
      </w:r>
      <w:r w:rsidRPr="0091132F">
        <w:rPr>
          <w:szCs w:val="24"/>
        </w:rPr>
        <w:t xml:space="preserve"> </w:t>
      </w:r>
      <w:r w:rsidR="00520E51">
        <w:rPr>
          <w:szCs w:val="24"/>
        </w:rPr>
        <w:t xml:space="preserve">the dose to </w:t>
      </w:r>
      <w:r w:rsidRPr="0091132F">
        <w:rPr>
          <w:szCs w:val="24"/>
        </w:rPr>
        <w:t>a</w:t>
      </w:r>
      <w:r w:rsidR="0034651E">
        <w:rPr>
          <w:szCs w:val="24"/>
        </w:rPr>
        <w:t>n</w:t>
      </w:r>
      <w:r w:rsidRPr="0091132F">
        <w:rPr>
          <w:szCs w:val="24"/>
        </w:rPr>
        <w:t xml:space="preserve"> individual receiving a dose that is representative of the doses to the more highly exposed individuals in the population (i.e. the representative person) should be </w:t>
      </w:r>
      <w:r w:rsidR="00520E51">
        <w:rPr>
          <w:szCs w:val="24"/>
        </w:rPr>
        <w:t>assessed</w:t>
      </w:r>
      <w:r w:rsidRPr="0091132F">
        <w:rPr>
          <w:szCs w:val="24"/>
        </w:rPr>
        <w:t xml:space="preserve">. The dose to the representative person </w:t>
      </w:r>
      <w:r w:rsidR="00D37912">
        <w:rPr>
          <w:szCs w:val="24"/>
        </w:rPr>
        <w:t>“</w:t>
      </w:r>
      <w:r w:rsidRPr="0091132F">
        <w:rPr>
          <w:szCs w:val="24"/>
        </w:rPr>
        <w:t>is the equivalent of, and replaces, the mean dose in the ‘critical</w:t>
      </w:r>
      <w:r w:rsidR="00D37912">
        <w:rPr>
          <w:szCs w:val="24"/>
        </w:rPr>
        <w:t>’</w:t>
      </w:r>
      <w:r w:rsidRPr="0091132F">
        <w:rPr>
          <w:szCs w:val="24"/>
        </w:rPr>
        <w:t xml:space="preserve"> group</w:t>
      </w:r>
      <w:r w:rsidR="00D37912">
        <w:rPr>
          <w:szCs w:val="24"/>
        </w:rPr>
        <w:t>”</w:t>
      </w:r>
      <w:r w:rsidRPr="0091132F">
        <w:rPr>
          <w:szCs w:val="24"/>
        </w:rPr>
        <w:t xml:space="preserve"> [</w:t>
      </w:r>
      <w:r w:rsidR="00386C39">
        <w:rPr>
          <w:szCs w:val="24"/>
        </w:rPr>
        <w:t>25</w:t>
      </w:r>
      <w:r w:rsidRPr="0091132F">
        <w:rPr>
          <w:szCs w:val="24"/>
        </w:rPr>
        <w:t>].</w:t>
      </w:r>
    </w:p>
    <w:p w:rsidR="00B96B04" w:rsidRPr="00C10D10" w:rsidRDefault="00482223"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Before starting </w:t>
      </w:r>
      <w:r w:rsidR="00B96B04" w:rsidRPr="00C10D10">
        <w:rPr>
          <w:szCs w:val="24"/>
        </w:rPr>
        <w:t xml:space="preserve">the estimation of doses to the representative person, </w:t>
      </w:r>
      <w:r w:rsidRPr="00C10D10">
        <w:rPr>
          <w:szCs w:val="24"/>
        </w:rPr>
        <w:t xml:space="preserve">a judgement should be made </w:t>
      </w:r>
      <w:r w:rsidR="00B96B04" w:rsidRPr="00C10D10">
        <w:rPr>
          <w:szCs w:val="24"/>
        </w:rPr>
        <w:t xml:space="preserve">by the applicant </w:t>
      </w:r>
      <w:r w:rsidRPr="00C10D10">
        <w:rPr>
          <w:szCs w:val="24"/>
        </w:rPr>
        <w:t xml:space="preserve">regarding the scope and level of detail and the resources that should be allocated to </w:t>
      </w:r>
      <w:r w:rsidR="00520E51">
        <w:rPr>
          <w:szCs w:val="24"/>
        </w:rPr>
        <w:t>the assessment</w:t>
      </w:r>
      <w:r w:rsidRPr="00C10D10">
        <w:rPr>
          <w:szCs w:val="24"/>
        </w:rPr>
        <w:t xml:space="preserve">. These matters should be </w:t>
      </w:r>
      <w:r w:rsidR="00B96B04" w:rsidRPr="00C10D10">
        <w:rPr>
          <w:szCs w:val="24"/>
        </w:rPr>
        <w:t xml:space="preserve">discussed with and </w:t>
      </w:r>
      <w:r w:rsidR="00CE17F3" w:rsidRPr="00C10D10">
        <w:rPr>
          <w:szCs w:val="24"/>
        </w:rPr>
        <w:t>should be subject to the agreement of</w:t>
      </w:r>
      <w:r w:rsidR="00B96B04" w:rsidRPr="00C10D10">
        <w:rPr>
          <w:szCs w:val="24"/>
        </w:rPr>
        <w:t xml:space="preserve"> </w:t>
      </w:r>
      <w:r w:rsidRPr="00C10D10">
        <w:rPr>
          <w:szCs w:val="24"/>
        </w:rPr>
        <w:t xml:space="preserve">the regulatory body. </w:t>
      </w:r>
    </w:p>
    <w:p w:rsidR="001C522C" w:rsidRPr="00C10D10" w:rsidRDefault="008A26C5"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level of </w:t>
      </w:r>
      <w:r w:rsidR="00C26974">
        <w:rPr>
          <w:szCs w:val="24"/>
        </w:rPr>
        <w:t>detail</w:t>
      </w:r>
      <w:r w:rsidR="00C26974" w:rsidRPr="00C10D10">
        <w:rPr>
          <w:szCs w:val="24"/>
        </w:rPr>
        <w:t xml:space="preserve"> of</w:t>
      </w:r>
      <w:r w:rsidRPr="00C10D10">
        <w:rPr>
          <w:szCs w:val="24"/>
        </w:rPr>
        <w:t xml:space="preserve"> the assessment model should depend upon the type of facility under consideration, the nature of the discharge</w:t>
      </w:r>
      <w:r w:rsidR="00520E51">
        <w:rPr>
          <w:szCs w:val="24"/>
        </w:rPr>
        <w:t>s</w:t>
      </w:r>
      <w:r w:rsidRPr="00C10D10">
        <w:rPr>
          <w:szCs w:val="24"/>
        </w:rPr>
        <w:t xml:space="preserve"> and the availability of information and </w:t>
      </w:r>
      <w:r w:rsidR="00520E51">
        <w:rPr>
          <w:szCs w:val="24"/>
        </w:rPr>
        <w:t xml:space="preserve">should </w:t>
      </w:r>
      <w:r w:rsidRPr="00C10D10">
        <w:rPr>
          <w:szCs w:val="24"/>
        </w:rPr>
        <w:t>be consistent with a graded approach.</w:t>
      </w:r>
      <w:r w:rsidR="0016346A" w:rsidRPr="00C10D10">
        <w:rPr>
          <w:szCs w:val="24"/>
        </w:rPr>
        <w:t xml:space="preserve"> </w:t>
      </w:r>
      <w:r w:rsidR="001C522C" w:rsidRPr="00C10D10">
        <w:rPr>
          <w:szCs w:val="24"/>
        </w:rPr>
        <w:t>In order to make effective use of assessment resources, a structured iterative approach for assessing doses to the representative person</w:t>
      </w:r>
      <w:r w:rsidR="002A72A2">
        <w:rPr>
          <w:szCs w:val="24"/>
        </w:rPr>
        <w:t xml:space="preserve"> may be useful</w:t>
      </w:r>
      <w:r w:rsidR="001C522C" w:rsidRPr="00C10D10">
        <w:rPr>
          <w:szCs w:val="24"/>
        </w:rPr>
        <w:t>. Such an approach should start with a simple assessment based</w:t>
      </w:r>
      <w:r w:rsidR="00D77873" w:rsidRPr="00C10D10">
        <w:rPr>
          <w:szCs w:val="24"/>
        </w:rPr>
        <w:t xml:space="preserve"> </w:t>
      </w:r>
      <w:r w:rsidR="001C522C" w:rsidRPr="00C10D10">
        <w:rPr>
          <w:szCs w:val="24"/>
        </w:rPr>
        <w:t xml:space="preserve">on very </w:t>
      </w:r>
      <w:r w:rsidR="00D77873" w:rsidRPr="00C10D10">
        <w:rPr>
          <w:szCs w:val="24"/>
        </w:rPr>
        <w:t>cautious (</w:t>
      </w:r>
      <w:r w:rsidR="001C522C" w:rsidRPr="00C10D10">
        <w:rPr>
          <w:szCs w:val="24"/>
        </w:rPr>
        <w:t>conservative</w:t>
      </w:r>
      <w:r w:rsidR="00D77873" w:rsidRPr="00C10D10">
        <w:rPr>
          <w:szCs w:val="24"/>
        </w:rPr>
        <w:t>)</w:t>
      </w:r>
      <w:r w:rsidR="001C522C" w:rsidRPr="00C10D10">
        <w:rPr>
          <w:szCs w:val="24"/>
        </w:rPr>
        <w:t xml:space="preserve"> assumptions and </w:t>
      </w:r>
      <w:r w:rsidR="00C76BB9" w:rsidRPr="00C10D10">
        <w:rPr>
          <w:szCs w:val="24"/>
        </w:rPr>
        <w:t>should be</w:t>
      </w:r>
      <w:r w:rsidR="001C522C" w:rsidRPr="00C10D10">
        <w:rPr>
          <w:szCs w:val="24"/>
        </w:rPr>
        <w:t xml:space="preserve"> refined with each iteration</w:t>
      </w:r>
      <w:r w:rsidR="00520E51">
        <w:rPr>
          <w:szCs w:val="24"/>
        </w:rPr>
        <w:t>,</w:t>
      </w:r>
      <w:r w:rsidR="001C522C" w:rsidRPr="00C10D10">
        <w:rPr>
          <w:szCs w:val="24"/>
        </w:rPr>
        <w:t xml:space="preserve"> using progressively</w:t>
      </w:r>
      <w:r w:rsidR="00D77873" w:rsidRPr="00C10D10">
        <w:rPr>
          <w:szCs w:val="24"/>
        </w:rPr>
        <w:t xml:space="preserve"> </w:t>
      </w:r>
      <w:r w:rsidR="001C522C" w:rsidRPr="00C10D10">
        <w:rPr>
          <w:szCs w:val="24"/>
        </w:rPr>
        <w:t>more complex models with more realistic assumptions</w:t>
      </w:r>
      <w:r w:rsidR="00D77873" w:rsidRPr="00C10D10">
        <w:rPr>
          <w:szCs w:val="24"/>
        </w:rPr>
        <w:t xml:space="preserve"> and </w:t>
      </w:r>
      <w:r w:rsidR="00520E51">
        <w:rPr>
          <w:szCs w:val="24"/>
        </w:rPr>
        <w:t xml:space="preserve">site specific </w:t>
      </w:r>
      <w:r w:rsidR="00D77873" w:rsidRPr="00C10D10">
        <w:rPr>
          <w:szCs w:val="24"/>
        </w:rPr>
        <w:t>data</w:t>
      </w:r>
      <w:r w:rsidR="001C522C" w:rsidRPr="00C10D10">
        <w:rPr>
          <w:szCs w:val="24"/>
        </w:rPr>
        <w:t xml:space="preserve">, as necessary. </w:t>
      </w:r>
    </w:p>
    <w:p w:rsidR="00B96B04" w:rsidRPr="00C10D10" w:rsidRDefault="00B96B04" w:rsidP="00C26974">
      <w:pPr>
        <w:pStyle w:val="ListParagraph"/>
        <w:autoSpaceDE w:val="0"/>
        <w:autoSpaceDN w:val="0"/>
        <w:adjustRightInd w:val="0"/>
        <w:spacing w:before="120"/>
        <w:contextualSpacing w:val="0"/>
        <w:jc w:val="both"/>
        <w:rPr>
          <w:szCs w:val="24"/>
        </w:rPr>
      </w:pPr>
    </w:p>
    <w:p w:rsidR="002C19F3" w:rsidRPr="00C10D10" w:rsidRDefault="0001103A" w:rsidP="0091132F">
      <w:pPr>
        <w:pStyle w:val="ListParagraph"/>
        <w:numPr>
          <w:ilvl w:val="0"/>
          <w:numId w:val="7"/>
        </w:numPr>
        <w:autoSpaceDE w:val="0"/>
        <w:autoSpaceDN w:val="0"/>
        <w:adjustRightInd w:val="0"/>
        <w:spacing w:before="120"/>
        <w:contextualSpacing w:val="0"/>
        <w:jc w:val="both"/>
        <w:rPr>
          <w:szCs w:val="24"/>
        </w:rPr>
      </w:pPr>
      <w:r>
        <w:rPr>
          <w:szCs w:val="24"/>
        </w:rPr>
        <w:t xml:space="preserve">Consistent with </w:t>
      </w:r>
      <w:r w:rsidR="00C5228E">
        <w:rPr>
          <w:szCs w:val="24"/>
        </w:rPr>
        <w:t>a</w:t>
      </w:r>
      <w:r>
        <w:rPr>
          <w:szCs w:val="24"/>
        </w:rPr>
        <w:t xml:space="preserve"> graded approach, t</w:t>
      </w:r>
      <w:r w:rsidR="008A26C5" w:rsidRPr="00C10D10">
        <w:rPr>
          <w:szCs w:val="24"/>
        </w:rPr>
        <w:t xml:space="preserve">he use of generic assessments </w:t>
      </w:r>
      <w:r w:rsidR="00A61FA9" w:rsidRPr="00C10D10">
        <w:rPr>
          <w:szCs w:val="24"/>
        </w:rPr>
        <w:t xml:space="preserve">should be </w:t>
      </w:r>
      <w:r w:rsidR="008F29D9">
        <w:rPr>
          <w:szCs w:val="24"/>
        </w:rPr>
        <w:t xml:space="preserve">limited to </w:t>
      </w:r>
      <w:r w:rsidR="008A26C5" w:rsidRPr="00C10D10">
        <w:rPr>
          <w:szCs w:val="24"/>
        </w:rPr>
        <w:t xml:space="preserve">assessing the impacts from small </w:t>
      </w:r>
      <w:r w:rsidR="0020094B">
        <w:rPr>
          <w:szCs w:val="24"/>
        </w:rPr>
        <w:t xml:space="preserve">and simple </w:t>
      </w:r>
      <w:r w:rsidR="008A26C5" w:rsidRPr="00C10D10">
        <w:rPr>
          <w:szCs w:val="24"/>
        </w:rPr>
        <w:t xml:space="preserve">facilities </w:t>
      </w:r>
      <w:r w:rsidR="00657274">
        <w:rPr>
          <w:szCs w:val="24"/>
        </w:rPr>
        <w:t xml:space="preserve">or activities </w:t>
      </w:r>
      <w:r w:rsidR="0020094B">
        <w:rPr>
          <w:szCs w:val="24"/>
        </w:rPr>
        <w:t xml:space="preserve">with standardized practices that result in foreseeable </w:t>
      </w:r>
      <w:r w:rsidR="008A26C5" w:rsidRPr="00C10D10">
        <w:rPr>
          <w:szCs w:val="24"/>
        </w:rPr>
        <w:t>low</w:t>
      </w:r>
      <w:r w:rsidR="0020094B">
        <w:rPr>
          <w:szCs w:val="24"/>
        </w:rPr>
        <w:t xml:space="preserve"> to very low discharges</w:t>
      </w:r>
      <w:r w:rsidR="008A26C5" w:rsidRPr="00C10D10">
        <w:rPr>
          <w:szCs w:val="24"/>
        </w:rPr>
        <w:t xml:space="preserve">. </w:t>
      </w:r>
      <w:r>
        <w:rPr>
          <w:szCs w:val="24"/>
        </w:rPr>
        <w:t>DS427 [</w:t>
      </w:r>
      <w:r w:rsidR="00386C39">
        <w:rPr>
          <w:szCs w:val="24"/>
        </w:rPr>
        <w:t>7</w:t>
      </w:r>
      <w:r>
        <w:rPr>
          <w:szCs w:val="24"/>
        </w:rPr>
        <w:t xml:space="preserve">] provides guidance for </w:t>
      </w:r>
      <w:r w:rsidR="00520E51">
        <w:rPr>
          <w:szCs w:val="24"/>
        </w:rPr>
        <w:t xml:space="preserve">conducting </w:t>
      </w:r>
      <w:r>
        <w:rPr>
          <w:szCs w:val="24"/>
        </w:rPr>
        <w:t>assessments</w:t>
      </w:r>
      <w:r w:rsidR="00C44763">
        <w:rPr>
          <w:szCs w:val="24"/>
        </w:rPr>
        <w:t xml:space="preserve"> </w:t>
      </w:r>
      <w:r w:rsidR="00520E51">
        <w:rPr>
          <w:szCs w:val="24"/>
        </w:rPr>
        <w:t>at</w:t>
      </w:r>
      <w:r w:rsidR="00C44763">
        <w:rPr>
          <w:szCs w:val="24"/>
        </w:rPr>
        <w:t xml:space="preserve"> different level</w:t>
      </w:r>
      <w:r w:rsidR="00520E51">
        <w:rPr>
          <w:szCs w:val="24"/>
        </w:rPr>
        <w:t>s</w:t>
      </w:r>
      <w:r w:rsidR="00C44763">
        <w:rPr>
          <w:szCs w:val="24"/>
        </w:rPr>
        <w:t xml:space="preserve"> of detail and realism</w:t>
      </w:r>
      <w:r>
        <w:rPr>
          <w:szCs w:val="24"/>
        </w:rPr>
        <w:t xml:space="preserve">. </w:t>
      </w:r>
      <w:r w:rsidR="00C44763">
        <w:rPr>
          <w:szCs w:val="24"/>
        </w:rPr>
        <w:t>D</w:t>
      </w:r>
      <w:r w:rsidR="00D97689">
        <w:rPr>
          <w:szCs w:val="24"/>
        </w:rPr>
        <w:t xml:space="preserve">epending on </w:t>
      </w:r>
      <w:r w:rsidR="00520E51">
        <w:rPr>
          <w:szCs w:val="24"/>
        </w:rPr>
        <w:t>its</w:t>
      </w:r>
      <w:r w:rsidR="00D97689">
        <w:rPr>
          <w:szCs w:val="24"/>
        </w:rPr>
        <w:t xml:space="preserve"> characteristics</w:t>
      </w:r>
      <w:r w:rsidR="00520E51">
        <w:rPr>
          <w:szCs w:val="24"/>
        </w:rPr>
        <w:t>,</w:t>
      </w:r>
      <w:r w:rsidR="00D97689">
        <w:rPr>
          <w:szCs w:val="24"/>
        </w:rPr>
        <w:t xml:space="preserve"> </w:t>
      </w:r>
      <w:r w:rsidR="00657274">
        <w:rPr>
          <w:szCs w:val="24"/>
        </w:rPr>
        <w:t>the</w:t>
      </w:r>
      <w:r w:rsidR="00520E51">
        <w:rPr>
          <w:szCs w:val="24"/>
        </w:rPr>
        <w:t xml:space="preserve"> </w:t>
      </w:r>
      <w:r w:rsidR="00657274">
        <w:rPr>
          <w:szCs w:val="24"/>
        </w:rPr>
        <w:t>facilit</w:t>
      </w:r>
      <w:r w:rsidR="00520E51">
        <w:rPr>
          <w:szCs w:val="24"/>
        </w:rPr>
        <w:t>y</w:t>
      </w:r>
      <w:r w:rsidR="00657274">
        <w:rPr>
          <w:szCs w:val="24"/>
        </w:rPr>
        <w:t xml:space="preserve"> </w:t>
      </w:r>
      <w:r w:rsidR="00520E51">
        <w:rPr>
          <w:szCs w:val="24"/>
        </w:rPr>
        <w:t xml:space="preserve">or </w:t>
      </w:r>
      <w:r w:rsidR="00657274">
        <w:rPr>
          <w:szCs w:val="24"/>
        </w:rPr>
        <w:t>activit</w:t>
      </w:r>
      <w:r w:rsidR="00520E51">
        <w:rPr>
          <w:szCs w:val="24"/>
        </w:rPr>
        <w:t>y</w:t>
      </w:r>
      <w:r w:rsidR="00D97689">
        <w:rPr>
          <w:szCs w:val="24"/>
        </w:rPr>
        <w:t xml:space="preserve"> </w:t>
      </w:r>
      <w:r w:rsidR="00657274">
        <w:rPr>
          <w:szCs w:val="24"/>
        </w:rPr>
        <w:t xml:space="preserve">can have discontinuous </w:t>
      </w:r>
      <w:r w:rsidR="00114A49">
        <w:rPr>
          <w:szCs w:val="24"/>
        </w:rPr>
        <w:t>discharges</w:t>
      </w:r>
      <w:r w:rsidR="00657274">
        <w:rPr>
          <w:szCs w:val="24"/>
        </w:rPr>
        <w:t xml:space="preserve"> and can </w:t>
      </w:r>
      <w:r w:rsidR="00520E51">
        <w:rPr>
          <w:szCs w:val="24"/>
        </w:rPr>
        <w:t xml:space="preserve">lead to </w:t>
      </w:r>
      <w:r w:rsidR="00657274">
        <w:rPr>
          <w:szCs w:val="24"/>
        </w:rPr>
        <w:t xml:space="preserve">exposure </w:t>
      </w:r>
      <w:r w:rsidR="00520E51">
        <w:rPr>
          <w:szCs w:val="24"/>
        </w:rPr>
        <w:t xml:space="preserve">of </w:t>
      </w:r>
      <w:r w:rsidR="0045282C">
        <w:rPr>
          <w:szCs w:val="24"/>
        </w:rPr>
        <w:t xml:space="preserve">members of the </w:t>
      </w:r>
      <w:r w:rsidR="00657274">
        <w:rPr>
          <w:szCs w:val="24"/>
        </w:rPr>
        <w:t xml:space="preserve">public </w:t>
      </w:r>
      <w:r w:rsidR="00114A49">
        <w:rPr>
          <w:szCs w:val="24"/>
        </w:rPr>
        <w:t>within</w:t>
      </w:r>
      <w:r w:rsidR="00657274">
        <w:rPr>
          <w:szCs w:val="24"/>
        </w:rPr>
        <w:t xml:space="preserve"> </w:t>
      </w:r>
      <w:r w:rsidR="00520E51">
        <w:rPr>
          <w:szCs w:val="24"/>
        </w:rPr>
        <w:t xml:space="preserve">its </w:t>
      </w:r>
      <w:r w:rsidR="00657274">
        <w:rPr>
          <w:szCs w:val="24"/>
        </w:rPr>
        <w:t>premises</w:t>
      </w:r>
      <w:r w:rsidR="00114A49">
        <w:rPr>
          <w:szCs w:val="24"/>
        </w:rPr>
        <w:t xml:space="preserve"> </w:t>
      </w:r>
      <w:r w:rsidR="009F746E">
        <w:rPr>
          <w:szCs w:val="24"/>
        </w:rPr>
        <w:t>(e.g. hospitals using iodine</w:t>
      </w:r>
      <w:r w:rsidR="00C26974">
        <w:rPr>
          <w:szCs w:val="24"/>
        </w:rPr>
        <w:noBreakHyphen/>
      </w:r>
      <w:r w:rsidR="009F746E">
        <w:rPr>
          <w:szCs w:val="24"/>
        </w:rPr>
        <w:t xml:space="preserve">131 for diagnosis and therapy) </w:t>
      </w:r>
      <w:r w:rsidR="00114A49">
        <w:rPr>
          <w:szCs w:val="24"/>
        </w:rPr>
        <w:t xml:space="preserve">or to </w:t>
      </w:r>
      <w:r w:rsidR="00386C39">
        <w:rPr>
          <w:szCs w:val="24"/>
        </w:rPr>
        <w:t xml:space="preserve">exposure </w:t>
      </w:r>
      <w:r w:rsidR="00520E51">
        <w:rPr>
          <w:szCs w:val="24"/>
        </w:rPr>
        <w:t xml:space="preserve">of </w:t>
      </w:r>
      <w:r w:rsidR="00114A49">
        <w:rPr>
          <w:szCs w:val="24"/>
        </w:rPr>
        <w:t xml:space="preserve">workers </w:t>
      </w:r>
      <w:r w:rsidR="0045282C">
        <w:rPr>
          <w:szCs w:val="24"/>
        </w:rPr>
        <w:t xml:space="preserve">who are </w:t>
      </w:r>
      <w:r w:rsidR="00114A49">
        <w:rPr>
          <w:szCs w:val="24"/>
        </w:rPr>
        <w:t xml:space="preserve">not </w:t>
      </w:r>
      <w:r w:rsidR="0045282C">
        <w:rPr>
          <w:szCs w:val="24"/>
        </w:rPr>
        <w:t xml:space="preserve">normally </w:t>
      </w:r>
      <w:r w:rsidR="00114A49">
        <w:rPr>
          <w:szCs w:val="24"/>
        </w:rPr>
        <w:t xml:space="preserve">subject to </w:t>
      </w:r>
      <w:r w:rsidR="0045282C">
        <w:rPr>
          <w:szCs w:val="24"/>
        </w:rPr>
        <w:t>monitoring for</w:t>
      </w:r>
      <w:r w:rsidR="00BC554E">
        <w:rPr>
          <w:szCs w:val="24"/>
        </w:rPr>
        <w:t xml:space="preserve"> </w:t>
      </w:r>
      <w:r w:rsidR="00114A49">
        <w:rPr>
          <w:szCs w:val="24"/>
        </w:rPr>
        <w:t xml:space="preserve">occupational exposure </w:t>
      </w:r>
      <w:r w:rsidR="00D97689">
        <w:rPr>
          <w:szCs w:val="24"/>
        </w:rPr>
        <w:t>(e.g.</w:t>
      </w:r>
      <w:r w:rsidR="00114A49">
        <w:rPr>
          <w:szCs w:val="24"/>
        </w:rPr>
        <w:t xml:space="preserve"> </w:t>
      </w:r>
      <w:r w:rsidR="00520E51">
        <w:rPr>
          <w:szCs w:val="24"/>
        </w:rPr>
        <w:t>such as</w:t>
      </w:r>
      <w:r w:rsidR="00114A49">
        <w:rPr>
          <w:szCs w:val="24"/>
        </w:rPr>
        <w:t xml:space="preserve"> workers in </w:t>
      </w:r>
      <w:r w:rsidR="00EE2B10">
        <w:rPr>
          <w:szCs w:val="24"/>
        </w:rPr>
        <w:t xml:space="preserve">external </w:t>
      </w:r>
      <w:r w:rsidR="00114A49">
        <w:rPr>
          <w:szCs w:val="24"/>
        </w:rPr>
        <w:t>plants treating the effluents</w:t>
      </w:r>
      <w:r w:rsidR="00520E51">
        <w:rPr>
          <w:szCs w:val="24"/>
        </w:rPr>
        <w:t xml:space="preserve"> </w:t>
      </w:r>
      <w:r w:rsidR="00386C39">
        <w:rPr>
          <w:szCs w:val="24"/>
        </w:rPr>
        <w:t>from</w:t>
      </w:r>
      <w:r w:rsidR="00520E51">
        <w:rPr>
          <w:szCs w:val="24"/>
        </w:rPr>
        <w:t xml:space="preserve"> the facility or activity</w:t>
      </w:r>
      <w:r w:rsidR="00D97689">
        <w:rPr>
          <w:szCs w:val="24"/>
        </w:rPr>
        <w:t>)</w:t>
      </w:r>
      <w:r w:rsidR="00114A49">
        <w:rPr>
          <w:szCs w:val="24"/>
        </w:rPr>
        <w:t xml:space="preserve">; </w:t>
      </w:r>
      <w:r w:rsidR="00520E51">
        <w:rPr>
          <w:szCs w:val="24"/>
        </w:rPr>
        <w:t xml:space="preserve">such </w:t>
      </w:r>
      <w:r w:rsidR="00114A49">
        <w:rPr>
          <w:szCs w:val="24"/>
        </w:rPr>
        <w:t>situations should be considered carefully in the assessments.</w:t>
      </w:r>
    </w:p>
    <w:p w:rsidR="006D1336" w:rsidRPr="00C10D10" w:rsidRDefault="00386C39" w:rsidP="0091132F">
      <w:pPr>
        <w:pStyle w:val="ListParagraph"/>
        <w:numPr>
          <w:ilvl w:val="0"/>
          <w:numId w:val="7"/>
        </w:numPr>
        <w:autoSpaceDE w:val="0"/>
        <w:autoSpaceDN w:val="0"/>
        <w:adjustRightInd w:val="0"/>
        <w:spacing w:before="120"/>
        <w:contextualSpacing w:val="0"/>
        <w:jc w:val="both"/>
        <w:rPr>
          <w:szCs w:val="24"/>
        </w:rPr>
      </w:pPr>
      <w:r>
        <w:rPr>
          <w:szCs w:val="24"/>
        </w:rPr>
        <w:lastRenderedPageBreak/>
        <w:t>T</w:t>
      </w:r>
      <w:r w:rsidRPr="00C10D10">
        <w:rPr>
          <w:szCs w:val="24"/>
        </w:rPr>
        <w:t>o estimate doses to the representative person</w:t>
      </w:r>
      <w:r>
        <w:rPr>
          <w:szCs w:val="24"/>
        </w:rPr>
        <w:t>, a</w:t>
      </w:r>
      <w:r w:rsidR="008A26C5" w:rsidRPr="00C10D10">
        <w:rPr>
          <w:szCs w:val="24"/>
        </w:rPr>
        <w:t xml:space="preserve"> generic approach may </w:t>
      </w:r>
      <w:r w:rsidR="00A61FA9" w:rsidRPr="00C10D10">
        <w:rPr>
          <w:szCs w:val="24"/>
        </w:rPr>
        <w:t xml:space="preserve">also </w:t>
      </w:r>
      <w:r w:rsidR="008A26C5" w:rsidRPr="00C10D10">
        <w:rPr>
          <w:szCs w:val="24"/>
        </w:rPr>
        <w:t xml:space="preserve">be used </w:t>
      </w:r>
      <w:r w:rsidR="00B96B04" w:rsidRPr="00C10D10">
        <w:rPr>
          <w:szCs w:val="24"/>
        </w:rPr>
        <w:t>at</w:t>
      </w:r>
      <w:r w:rsidR="008A26C5" w:rsidRPr="00C10D10">
        <w:rPr>
          <w:szCs w:val="24"/>
        </w:rPr>
        <w:t xml:space="preserve"> the </w:t>
      </w:r>
      <w:r w:rsidR="00B96B04" w:rsidRPr="00C10D10">
        <w:rPr>
          <w:szCs w:val="24"/>
        </w:rPr>
        <w:t>early stages in the life</w:t>
      </w:r>
      <w:r w:rsidR="00ED3C9F" w:rsidRPr="00C10D10">
        <w:rPr>
          <w:szCs w:val="24"/>
        </w:rPr>
        <w:t>time</w:t>
      </w:r>
      <w:r w:rsidR="00B96B04" w:rsidRPr="00C10D10">
        <w:rPr>
          <w:szCs w:val="24"/>
        </w:rPr>
        <w:t xml:space="preserve"> of a complex </w:t>
      </w:r>
      <w:r w:rsidR="006E120D">
        <w:rPr>
          <w:szCs w:val="24"/>
        </w:rPr>
        <w:t>nuclear installation</w:t>
      </w:r>
      <w:r w:rsidR="00B96B04" w:rsidRPr="00C10D10">
        <w:rPr>
          <w:szCs w:val="24"/>
        </w:rPr>
        <w:t xml:space="preserve"> (see Fig</w:t>
      </w:r>
      <w:r w:rsidR="00BC554E">
        <w:rPr>
          <w:szCs w:val="24"/>
        </w:rPr>
        <w:t>.</w:t>
      </w:r>
      <w:r w:rsidR="00B96B04" w:rsidRPr="00C10D10">
        <w:rPr>
          <w:szCs w:val="24"/>
        </w:rPr>
        <w:t xml:space="preserve"> 2)</w:t>
      </w:r>
      <w:r w:rsidR="002C19F3" w:rsidRPr="00C10D10">
        <w:rPr>
          <w:szCs w:val="24"/>
        </w:rPr>
        <w:t xml:space="preserve">, </w:t>
      </w:r>
      <w:r w:rsidR="00BC554E">
        <w:rPr>
          <w:szCs w:val="24"/>
        </w:rPr>
        <w:t>such as</w:t>
      </w:r>
      <w:r w:rsidR="00B96B04" w:rsidRPr="00C10D10">
        <w:rPr>
          <w:szCs w:val="24"/>
        </w:rPr>
        <w:t xml:space="preserve"> during initial discussions </w:t>
      </w:r>
      <w:r w:rsidR="002C19F3" w:rsidRPr="00C10D10">
        <w:rPr>
          <w:szCs w:val="24"/>
        </w:rPr>
        <w:t xml:space="preserve">about </w:t>
      </w:r>
      <w:r w:rsidR="00BC554E">
        <w:rPr>
          <w:szCs w:val="24"/>
        </w:rPr>
        <w:t xml:space="preserve">the </w:t>
      </w:r>
      <w:r w:rsidR="002C19F3" w:rsidRPr="00C10D10">
        <w:rPr>
          <w:szCs w:val="24"/>
        </w:rPr>
        <w:t>control of discharges or</w:t>
      </w:r>
      <w:r w:rsidR="00B96B04" w:rsidRPr="00C10D10">
        <w:rPr>
          <w:szCs w:val="24"/>
        </w:rPr>
        <w:t xml:space="preserve"> to set provisional discharge limits</w:t>
      </w:r>
      <w:r w:rsidR="002C19F3" w:rsidRPr="00C10D10">
        <w:rPr>
          <w:szCs w:val="24"/>
        </w:rPr>
        <w:t>. This should be</w:t>
      </w:r>
      <w:r w:rsidR="008A26C5" w:rsidRPr="00C10D10">
        <w:rPr>
          <w:szCs w:val="24"/>
        </w:rPr>
        <w:t xml:space="preserve"> followed by a more site</w:t>
      </w:r>
      <w:r w:rsidR="00BC554E">
        <w:rPr>
          <w:szCs w:val="24"/>
        </w:rPr>
        <w:t xml:space="preserve"> </w:t>
      </w:r>
      <w:r w:rsidR="008A26C5" w:rsidRPr="00C10D10">
        <w:rPr>
          <w:szCs w:val="24"/>
        </w:rPr>
        <w:t>specific</w:t>
      </w:r>
      <w:r w:rsidR="00BC554E">
        <w:rPr>
          <w:szCs w:val="24"/>
        </w:rPr>
        <w:t>,</w:t>
      </w:r>
      <w:r w:rsidR="008A26C5" w:rsidRPr="00C10D10">
        <w:rPr>
          <w:szCs w:val="24"/>
        </w:rPr>
        <w:t xml:space="preserve"> realistic </w:t>
      </w:r>
      <w:r w:rsidR="0016346A" w:rsidRPr="00C10D10">
        <w:rPr>
          <w:szCs w:val="24"/>
        </w:rPr>
        <w:t>assessment</w:t>
      </w:r>
      <w:r w:rsidR="002C19F3" w:rsidRPr="00C10D10">
        <w:rPr>
          <w:szCs w:val="24"/>
        </w:rPr>
        <w:t xml:space="preserve"> once more information </w:t>
      </w:r>
      <w:r w:rsidR="00AA3DFD">
        <w:rPr>
          <w:szCs w:val="24"/>
        </w:rPr>
        <w:t>becomes</w:t>
      </w:r>
      <w:r w:rsidR="002C19F3" w:rsidRPr="00C10D10">
        <w:rPr>
          <w:szCs w:val="24"/>
        </w:rPr>
        <w:t xml:space="preserve"> available during the </w:t>
      </w:r>
      <w:r w:rsidR="00806D08">
        <w:rPr>
          <w:szCs w:val="24"/>
        </w:rPr>
        <w:t>authorization</w:t>
      </w:r>
      <w:r w:rsidR="00806D08" w:rsidRPr="00C10D10">
        <w:rPr>
          <w:szCs w:val="24"/>
        </w:rPr>
        <w:t xml:space="preserve"> </w:t>
      </w:r>
      <w:r w:rsidR="002C19F3" w:rsidRPr="00C10D10">
        <w:rPr>
          <w:szCs w:val="24"/>
        </w:rPr>
        <w:t>process.</w:t>
      </w:r>
      <w:r w:rsidR="0016346A" w:rsidRPr="00C10D10">
        <w:rPr>
          <w:szCs w:val="24"/>
        </w:rPr>
        <w:t xml:space="preserve"> </w:t>
      </w:r>
      <w:r w:rsidR="00806D08">
        <w:rPr>
          <w:szCs w:val="24"/>
        </w:rPr>
        <w:t>DS427</w:t>
      </w:r>
      <w:r w:rsidR="0016346A" w:rsidRPr="00C10D10">
        <w:rPr>
          <w:szCs w:val="24"/>
        </w:rPr>
        <w:t xml:space="preserve"> [</w:t>
      </w:r>
      <w:r>
        <w:rPr>
          <w:szCs w:val="24"/>
        </w:rPr>
        <w:t>7</w:t>
      </w:r>
      <w:r w:rsidR="0016346A" w:rsidRPr="00C10D10">
        <w:rPr>
          <w:szCs w:val="24"/>
        </w:rPr>
        <w:t xml:space="preserve">] provides guidance on the level of detail and the type of information needed to </w:t>
      </w:r>
      <w:r w:rsidR="00BC554E">
        <w:rPr>
          <w:szCs w:val="24"/>
        </w:rPr>
        <w:t>conduct a</w:t>
      </w:r>
      <w:r w:rsidR="00BC554E" w:rsidRPr="00C10D10">
        <w:rPr>
          <w:szCs w:val="24"/>
        </w:rPr>
        <w:t xml:space="preserve"> </w:t>
      </w:r>
      <w:r w:rsidR="0016346A" w:rsidRPr="00C10D10">
        <w:rPr>
          <w:szCs w:val="24"/>
        </w:rPr>
        <w:t>prospective radiological environmental impact assessment for different facilities and activities during the process of authorization, which also applies to the assessments used to establish discharge limits.</w:t>
      </w:r>
    </w:p>
    <w:p w:rsidR="00D77873" w:rsidRPr="00C10D10" w:rsidRDefault="002C19F3" w:rsidP="0091132F">
      <w:pPr>
        <w:pStyle w:val="ListParagraph"/>
        <w:numPr>
          <w:ilvl w:val="0"/>
          <w:numId w:val="7"/>
        </w:numPr>
        <w:autoSpaceDE w:val="0"/>
        <w:autoSpaceDN w:val="0"/>
        <w:adjustRightInd w:val="0"/>
        <w:spacing w:before="120"/>
        <w:contextualSpacing w:val="0"/>
        <w:jc w:val="both"/>
        <w:rPr>
          <w:szCs w:val="24"/>
        </w:rPr>
      </w:pPr>
      <w:r w:rsidRPr="00C10D10">
        <w:rPr>
          <w:szCs w:val="24"/>
        </w:rPr>
        <w:t>When</w:t>
      </w:r>
      <w:r w:rsidR="00BC554E">
        <w:rPr>
          <w:szCs w:val="24"/>
        </w:rPr>
        <w:t xml:space="preserve"> estimated</w:t>
      </w:r>
      <w:r w:rsidR="008A26C5" w:rsidRPr="00C10D10">
        <w:rPr>
          <w:szCs w:val="24"/>
        </w:rPr>
        <w:t xml:space="preserve"> dose</w:t>
      </w:r>
      <w:r w:rsidRPr="00C10D10">
        <w:rPr>
          <w:szCs w:val="24"/>
        </w:rPr>
        <w:t xml:space="preserve">s </w:t>
      </w:r>
      <w:r w:rsidR="00D97689">
        <w:rPr>
          <w:szCs w:val="24"/>
        </w:rPr>
        <w:t xml:space="preserve">to the </w:t>
      </w:r>
      <w:r w:rsidR="0091132F">
        <w:rPr>
          <w:szCs w:val="24"/>
        </w:rPr>
        <w:t>representative person</w:t>
      </w:r>
      <w:r w:rsidR="00D97689">
        <w:rPr>
          <w:szCs w:val="24"/>
        </w:rPr>
        <w:t xml:space="preserve"> </w:t>
      </w:r>
      <w:r w:rsidRPr="00C10D10">
        <w:rPr>
          <w:szCs w:val="24"/>
        </w:rPr>
        <w:t xml:space="preserve">are above the </w:t>
      </w:r>
      <w:r w:rsidR="00806D08">
        <w:rPr>
          <w:szCs w:val="24"/>
        </w:rPr>
        <w:t xml:space="preserve">dose </w:t>
      </w:r>
      <w:r w:rsidRPr="00C10D10">
        <w:rPr>
          <w:szCs w:val="24"/>
        </w:rPr>
        <w:t>constrain</w:t>
      </w:r>
      <w:r w:rsidR="00A61325" w:rsidRPr="00C10D10">
        <w:rPr>
          <w:szCs w:val="24"/>
        </w:rPr>
        <w:t>t,</w:t>
      </w:r>
      <w:r w:rsidRPr="00C10D10">
        <w:rPr>
          <w:szCs w:val="24"/>
        </w:rPr>
        <w:t xml:space="preserve"> </w:t>
      </w:r>
      <w:r w:rsidR="006D1336" w:rsidRPr="00C10D10">
        <w:rPr>
          <w:szCs w:val="24"/>
        </w:rPr>
        <w:t xml:space="preserve">the </w:t>
      </w:r>
      <w:r w:rsidR="00D77873" w:rsidRPr="00C10D10">
        <w:rPr>
          <w:szCs w:val="24"/>
        </w:rPr>
        <w:t xml:space="preserve">reduction of </w:t>
      </w:r>
      <w:r w:rsidR="006D1336" w:rsidRPr="00C10D10">
        <w:rPr>
          <w:szCs w:val="24"/>
        </w:rPr>
        <w:t xml:space="preserve">projected </w:t>
      </w:r>
      <w:r w:rsidRPr="00C10D10">
        <w:rPr>
          <w:szCs w:val="24"/>
        </w:rPr>
        <w:t xml:space="preserve">discharges </w:t>
      </w:r>
      <w:r w:rsidR="00D77873" w:rsidRPr="00C10D10">
        <w:rPr>
          <w:szCs w:val="24"/>
        </w:rPr>
        <w:t xml:space="preserve">or </w:t>
      </w:r>
      <w:r w:rsidR="00AA66E6">
        <w:rPr>
          <w:szCs w:val="24"/>
        </w:rPr>
        <w:t xml:space="preserve">a change in </w:t>
      </w:r>
      <w:r w:rsidR="00D77873" w:rsidRPr="00C10D10">
        <w:rPr>
          <w:szCs w:val="24"/>
        </w:rPr>
        <w:t xml:space="preserve">their characteristics (for example, </w:t>
      </w:r>
      <w:r w:rsidR="00386C39">
        <w:rPr>
          <w:szCs w:val="24"/>
        </w:rPr>
        <w:t xml:space="preserve">a change in </w:t>
      </w:r>
      <w:r w:rsidR="00D77873" w:rsidRPr="00C10D10">
        <w:rPr>
          <w:szCs w:val="24"/>
        </w:rPr>
        <w:t xml:space="preserve">the </w:t>
      </w:r>
      <w:r w:rsidR="00AA66E6">
        <w:rPr>
          <w:szCs w:val="24"/>
        </w:rPr>
        <w:t>location</w:t>
      </w:r>
      <w:r w:rsidR="00D77873" w:rsidRPr="00C10D10">
        <w:rPr>
          <w:szCs w:val="24"/>
        </w:rPr>
        <w:t xml:space="preserve"> of </w:t>
      </w:r>
      <w:r w:rsidR="00BC554E">
        <w:rPr>
          <w:szCs w:val="24"/>
        </w:rPr>
        <w:t xml:space="preserve">the point of </w:t>
      </w:r>
      <w:r w:rsidR="00D77873" w:rsidRPr="00C10D10">
        <w:rPr>
          <w:szCs w:val="24"/>
        </w:rPr>
        <w:t xml:space="preserve">discharge) should be considered. </w:t>
      </w:r>
      <w:r w:rsidR="00D97689">
        <w:rPr>
          <w:szCs w:val="24"/>
        </w:rPr>
        <w:t>Otherwise</w:t>
      </w:r>
      <w:r w:rsidR="00D77873" w:rsidRPr="00C10D10">
        <w:rPr>
          <w:szCs w:val="24"/>
        </w:rPr>
        <w:t>,</w:t>
      </w:r>
      <w:r w:rsidRPr="00C10D10">
        <w:rPr>
          <w:szCs w:val="24"/>
        </w:rPr>
        <w:t xml:space="preserve"> a more detailed assessment (</w:t>
      </w:r>
      <w:r w:rsidR="00BC554E">
        <w:rPr>
          <w:szCs w:val="24"/>
        </w:rPr>
        <w:t xml:space="preserve">using </w:t>
      </w:r>
      <w:r w:rsidRPr="00C10D10">
        <w:rPr>
          <w:szCs w:val="24"/>
        </w:rPr>
        <w:t>site specific</w:t>
      </w:r>
      <w:r w:rsidR="00BC554E">
        <w:rPr>
          <w:szCs w:val="24"/>
        </w:rPr>
        <w:t xml:space="preserve"> data</w:t>
      </w:r>
      <w:r w:rsidRPr="00C10D10">
        <w:rPr>
          <w:szCs w:val="24"/>
        </w:rPr>
        <w:t xml:space="preserve"> or more realistic models) should be</w:t>
      </w:r>
      <w:r w:rsidR="002E1B3A">
        <w:rPr>
          <w:szCs w:val="24"/>
        </w:rPr>
        <w:t xml:space="preserve"> conducted</w:t>
      </w:r>
      <w:r w:rsidRPr="00C10D10">
        <w:rPr>
          <w:szCs w:val="24"/>
        </w:rPr>
        <w:t xml:space="preserve">. </w:t>
      </w:r>
      <w:r w:rsidR="00D77873" w:rsidRPr="00C10D10">
        <w:rPr>
          <w:szCs w:val="24"/>
        </w:rPr>
        <w:t>In any case, i</w:t>
      </w:r>
      <w:r w:rsidR="008A26C5" w:rsidRPr="00C10D10">
        <w:rPr>
          <w:szCs w:val="24"/>
        </w:rPr>
        <w:t xml:space="preserve">f a generic cautious assessment is used then it </w:t>
      </w:r>
      <w:r w:rsidR="00CE17F3" w:rsidRPr="00C10D10">
        <w:rPr>
          <w:szCs w:val="24"/>
        </w:rPr>
        <w:t>should be</w:t>
      </w:r>
      <w:r w:rsidR="008A26C5" w:rsidRPr="00C10D10">
        <w:rPr>
          <w:szCs w:val="24"/>
        </w:rPr>
        <w:t xml:space="preserve"> ensure</w:t>
      </w:r>
      <w:r w:rsidR="00CE17F3" w:rsidRPr="00C10D10">
        <w:rPr>
          <w:szCs w:val="24"/>
        </w:rPr>
        <w:t>d</w:t>
      </w:r>
      <w:r w:rsidR="008A26C5" w:rsidRPr="00C10D10">
        <w:rPr>
          <w:szCs w:val="24"/>
        </w:rPr>
        <w:t xml:space="preserve"> that this does not unduly affect the </w:t>
      </w:r>
      <w:r w:rsidR="00513100" w:rsidRPr="00C10D10">
        <w:rPr>
          <w:szCs w:val="24"/>
        </w:rPr>
        <w:t>optimization</w:t>
      </w:r>
      <w:r w:rsidR="008A26C5" w:rsidRPr="00C10D10">
        <w:rPr>
          <w:szCs w:val="24"/>
        </w:rPr>
        <w:t xml:space="preserve"> process. Adopting cautious assumptions </w:t>
      </w:r>
      <w:r w:rsidR="002535D6" w:rsidRPr="00C10D10">
        <w:rPr>
          <w:szCs w:val="24"/>
        </w:rPr>
        <w:t xml:space="preserve">in the calculations </w:t>
      </w:r>
      <w:r w:rsidR="008A26C5" w:rsidRPr="00C10D10">
        <w:rPr>
          <w:szCs w:val="24"/>
        </w:rPr>
        <w:t>that are likely to significantly over</w:t>
      </w:r>
      <w:r w:rsidR="001A68A5">
        <w:rPr>
          <w:szCs w:val="24"/>
        </w:rPr>
        <w:noBreakHyphen/>
      </w:r>
      <w:r w:rsidR="008A26C5" w:rsidRPr="00C10D10">
        <w:rPr>
          <w:szCs w:val="24"/>
        </w:rPr>
        <w:t xml:space="preserve">estimate the doses </w:t>
      </w:r>
      <w:r w:rsidR="00FC02D5" w:rsidRPr="00C10D10">
        <w:rPr>
          <w:szCs w:val="24"/>
        </w:rPr>
        <w:t>estimated</w:t>
      </w:r>
      <w:r w:rsidR="008A26C5" w:rsidRPr="00C10D10">
        <w:rPr>
          <w:szCs w:val="24"/>
        </w:rPr>
        <w:t xml:space="preserve"> could lead to </w:t>
      </w:r>
      <w:r w:rsidR="008A26C5" w:rsidRPr="00AF4DD7">
        <w:rPr>
          <w:szCs w:val="24"/>
        </w:rPr>
        <w:t xml:space="preserve">decisions </w:t>
      </w:r>
      <w:r w:rsidR="00AA66E6" w:rsidRPr="00AF4DD7">
        <w:rPr>
          <w:szCs w:val="24"/>
        </w:rPr>
        <w:t xml:space="preserve">that </w:t>
      </w:r>
      <w:r w:rsidR="00BC554E">
        <w:rPr>
          <w:szCs w:val="24"/>
        </w:rPr>
        <w:t>do not meet</w:t>
      </w:r>
      <w:r w:rsidR="00AF4DD7">
        <w:rPr>
          <w:szCs w:val="24"/>
        </w:rPr>
        <w:t xml:space="preserve"> the radiation protection principle </w:t>
      </w:r>
      <w:r w:rsidR="00BC554E">
        <w:rPr>
          <w:szCs w:val="24"/>
        </w:rPr>
        <w:t>of optimization</w:t>
      </w:r>
      <w:r w:rsidR="00AF4DD7">
        <w:rPr>
          <w:szCs w:val="24"/>
        </w:rPr>
        <w:t xml:space="preserve">. </w:t>
      </w:r>
    </w:p>
    <w:p w:rsidR="00390BD8" w:rsidRPr="00C10D10" w:rsidRDefault="00390BD8"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 </w:t>
      </w:r>
      <w:r w:rsidR="00386C39">
        <w:rPr>
          <w:szCs w:val="24"/>
        </w:rPr>
        <w:t>T</w:t>
      </w:r>
      <w:r w:rsidRPr="00C10D10">
        <w:rPr>
          <w:szCs w:val="24"/>
        </w:rPr>
        <w:t xml:space="preserve">he habits (e.g. consumption of foodstuffs, </w:t>
      </w:r>
      <w:r w:rsidR="00BC554E">
        <w:rPr>
          <w:szCs w:val="24"/>
        </w:rPr>
        <w:t>indoor</w:t>
      </w:r>
      <w:r w:rsidR="00BC554E" w:rsidRPr="00C10D10">
        <w:rPr>
          <w:szCs w:val="24"/>
        </w:rPr>
        <w:t xml:space="preserve"> </w:t>
      </w:r>
      <w:r w:rsidR="002535D6" w:rsidRPr="00C10D10">
        <w:rPr>
          <w:szCs w:val="24"/>
        </w:rPr>
        <w:t xml:space="preserve">or </w:t>
      </w:r>
      <w:r w:rsidR="00BC554E">
        <w:rPr>
          <w:szCs w:val="24"/>
        </w:rPr>
        <w:t xml:space="preserve">outdoor </w:t>
      </w:r>
      <w:r w:rsidR="00493B41" w:rsidRPr="00C10D10">
        <w:rPr>
          <w:szCs w:val="24"/>
        </w:rPr>
        <w:t xml:space="preserve">occupation factors, </w:t>
      </w:r>
      <w:r w:rsidR="002E1B3A">
        <w:rPr>
          <w:szCs w:val="24"/>
        </w:rPr>
        <w:t>consumption</w:t>
      </w:r>
      <w:r w:rsidR="002E1B3A" w:rsidRPr="00C10D10">
        <w:rPr>
          <w:szCs w:val="24"/>
        </w:rPr>
        <w:t xml:space="preserve"> </w:t>
      </w:r>
      <w:r w:rsidRPr="00C10D10">
        <w:rPr>
          <w:szCs w:val="24"/>
        </w:rPr>
        <w:t>of local</w:t>
      </w:r>
      <w:r w:rsidR="00EE2B10">
        <w:rPr>
          <w:szCs w:val="24"/>
        </w:rPr>
        <w:t>ly produced foods</w:t>
      </w:r>
      <w:r w:rsidRPr="00C10D10">
        <w:rPr>
          <w:szCs w:val="24"/>
        </w:rPr>
        <w:t xml:space="preserve">) </w:t>
      </w:r>
      <w:r w:rsidR="005369E1" w:rsidRPr="00C10D10">
        <w:rPr>
          <w:szCs w:val="24"/>
        </w:rPr>
        <w:t>adopted</w:t>
      </w:r>
      <w:r w:rsidRPr="00C10D10">
        <w:rPr>
          <w:szCs w:val="24"/>
        </w:rPr>
        <w:t xml:space="preserve"> to characterize the representative person should be typical habits </w:t>
      </w:r>
      <w:r w:rsidR="005369E1" w:rsidRPr="00C10D10">
        <w:rPr>
          <w:szCs w:val="24"/>
        </w:rPr>
        <w:t xml:space="preserve">or characteristics </w:t>
      </w:r>
      <w:r w:rsidRPr="00C10D10">
        <w:rPr>
          <w:szCs w:val="24"/>
        </w:rPr>
        <w:t>of a small number of individuals representati</w:t>
      </w:r>
      <w:r w:rsidR="005369E1" w:rsidRPr="00C10D10">
        <w:rPr>
          <w:szCs w:val="24"/>
        </w:rPr>
        <w:t xml:space="preserve">ve of those </w:t>
      </w:r>
      <w:r w:rsidR="00D4469A">
        <w:rPr>
          <w:szCs w:val="24"/>
        </w:rPr>
        <w:t>more</w:t>
      </w:r>
      <w:r w:rsidR="005369E1" w:rsidRPr="00C10D10">
        <w:rPr>
          <w:szCs w:val="24"/>
        </w:rPr>
        <w:t xml:space="preserve"> highly exposed. The highest</w:t>
      </w:r>
      <w:r w:rsidR="00BC554E">
        <w:rPr>
          <w:szCs w:val="24"/>
        </w:rPr>
        <w:t xml:space="preserve"> percentiles in the distribution of the</w:t>
      </w:r>
      <w:r w:rsidR="005369E1" w:rsidRPr="00C10D10">
        <w:rPr>
          <w:szCs w:val="24"/>
        </w:rPr>
        <w:t xml:space="preserve"> habit data of certain exposure pathways</w:t>
      </w:r>
      <w:r w:rsidR="00B10D3F" w:rsidRPr="00C10D10">
        <w:rPr>
          <w:szCs w:val="24"/>
        </w:rPr>
        <w:t xml:space="preserve"> (e.g. </w:t>
      </w:r>
      <w:r w:rsidR="00BC554E">
        <w:rPr>
          <w:szCs w:val="24"/>
        </w:rPr>
        <w:t xml:space="preserve">the </w:t>
      </w:r>
      <w:r w:rsidR="00B10D3F" w:rsidRPr="00C10D10">
        <w:rPr>
          <w:szCs w:val="24"/>
        </w:rPr>
        <w:t>95</w:t>
      </w:r>
      <w:r w:rsidR="00BC554E" w:rsidRPr="00386C39">
        <w:rPr>
          <w:szCs w:val="24"/>
          <w:vertAlign w:val="superscript"/>
        </w:rPr>
        <w:t>th</w:t>
      </w:r>
      <w:r w:rsidR="00BC554E">
        <w:rPr>
          <w:szCs w:val="24"/>
        </w:rPr>
        <w:t xml:space="preserve"> </w:t>
      </w:r>
      <w:r w:rsidR="00B10D3F" w:rsidRPr="00C10D10">
        <w:rPr>
          <w:szCs w:val="24"/>
        </w:rPr>
        <w:t>percentile)</w:t>
      </w:r>
      <w:r w:rsidR="005369E1" w:rsidRPr="00C10D10">
        <w:rPr>
          <w:szCs w:val="24"/>
        </w:rPr>
        <w:t xml:space="preserve">, </w:t>
      </w:r>
      <w:r w:rsidR="00BC554E">
        <w:rPr>
          <w:szCs w:val="24"/>
        </w:rPr>
        <w:t>such as</w:t>
      </w:r>
      <w:r w:rsidR="005369E1" w:rsidRPr="00C10D10">
        <w:rPr>
          <w:szCs w:val="24"/>
        </w:rPr>
        <w:t xml:space="preserve"> consumption of milk and crops, should be used to characterize the representative person. However</w:t>
      </w:r>
      <w:r w:rsidRPr="00C10D10">
        <w:rPr>
          <w:szCs w:val="24"/>
        </w:rPr>
        <w:t xml:space="preserve"> not </w:t>
      </w:r>
      <w:r w:rsidR="005369E1" w:rsidRPr="00C10D10">
        <w:rPr>
          <w:szCs w:val="24"/>
        </w:rPr>
        <w:t xml:space="preserve">all </w:t>
      </w:r>
      <w:r w:rsidRPr="00C10D10">
        <w:rPr>
          <w:szCs w:val="24"/>
        </w:rPr>
        <w:t xml:space="preserve">extreme habits </w:t>
      </w:r>
      <w:r w:rsidR="005369E1" w:rsidRPr="00C10D10">
        <w:rPr>
          <w:szCs w:val="24"/>
        </w:rPr>
        <w:t>should be used to represent</w:t>
      </w:r>
      <w:r w:rsidRPr="00C10D10">
        <w:rPr>
          <w:szCs w:val="24"/>
        </w:rPr>
        <w:t xml:space="preserve"> a single member of the population</w:t>
      </w:r>
      <w:r w:rsidR="00BC554E">
        <w:rPr>
          <w:szCs w:val="24"/>
        </w:rPr>
        <w:t xml:space="preserve">, </w:t>
      </w:r>
      <w:r w:rsidR="00386C39">
        <w:rPr>
          <w:szCs w:val="24"/>
        </w:rPr>
        <w:t>so</w:t>
      </w:r>
      <w:r w:rsidR="00BC554E">
        <w:rPr>
          <w:szCs w:val="24"/>
        </w:rPr>
        <w:t xml:space="preserve"> as</w:t>
      </w:r>
      <w:r w:rsidR="00B10D3F" w:rsidRPr="00C10D10">
        <w:rPr>
          <w:szCs w:val="24"/>
        </w:rPr>
        <w:t xml:space="preserve"> to avoid </w:t>
      </w:r>
      <w:r w:rsidR="00E10D99">
        <w:rPr>
          <w:szCs w:val="24"/>
        </w:rPr>
        <w:t>over</w:t>
      </w:r>
      <w:r w:rsidR="00BF3AED">
        <w:rPr>
          <w:szCs w:val="24"/>
        </w:rPr>
        <w:noBreakHyphen/>
      </w:r>
      <w:r w:rsidR="00E10D99">
        <w:rPr>
          <w:szCs w:val="24"/>
        </w:rPr>
        <w:t>estimation</w:t>
      </w:r>
      <w:r w:rsidR="00B10D3F" w:rsidRPr="00C10D10">
        <w:rPr>
          <w:szCs w:val="24"/>
        </w:rPr>
        <w:t>.</w:t>
      </w:r>
      <w:r w:rsidRPr="00C10D10">
        <w:rPr>
          <w:szCs w:val="24"/>
        </w:rPr>
        <w:t xml:space="preserve"> Extreme or unusual habits should not dictate the characteristics of the </w:t>
      </w:r>
      <w:r w:rsidR="00B10D3F" w:rsidRPr="00C10D10">
        <w:rPr>
          <w:szCs w:val="24"/>
        </w:rPr>
        <w:t xml:space="preserve">representative person </w:t>
      </w:r>
      <w:r w:rsidRPr="00C10D10">
        <w:rPr>
          <w:szCs w:val="24"/>
        </w:rPr>
        <w:t>considered</w:t>
      </w:r>
      <w:r w:rsidR="00B10D3F" w:rsidRPr="00C10D10">
        <w:rPr>
          <w:szCs w:val="24"/>
        </w:rPr>
        <w:t xml:space="preserve"> [</w:t>
      </w:r>
      <w:r w:rsidR="00386C39">
        <w:rPr>
          <w:szCs w:val="24"/>
        </w:rPr>
        <w:t>25</w:t>
      </w:r>
      <w:r w:rsidR="00B10D3F" w:rsidRPr="00C10D10">
        <w:rPr>
          <w:szCs w:val="24"/>
        </w:rPr>
        <w:t>]</w:t>
      </w:r>
      <w:r w:rsidRPr="00C10D10">
        <w:rPr>
          <w:szCs w:val="24"/>
        </w:rPr>
        <w:t>.</w:t>
      </w:r>
    </w:p>
    <w:p w:rsidR="00C3131B" w:rsidRPr="00C10D10" w:rsidRDefault="00C3131B" w:rsidP="0091132F">
      <w:pPr>
        <w:pStyle w:val="ListParagraph"/>
        <w:numPr>
          <w:ilvl w:val="0"/>
          <w:numId w:val="7"/>
        </w:numPr>
        <w:autoSpaceDE w:val="0"/>
        <w:autoSpaceDN w:val="0"/>
        <w:adjustRightInd w:val="0"/>
        <w:spacing w:before="120"/>
        <w:contextualSpacing w:val="0"/>
        <w:jc w:val="both"/>
        <w:rPr>
          <w:szCs w:val="24"/>
        </w:rPr>
      </w:pPr>
      <w:r w:rsidRPr="00C10D10">
        <w:rPr>
          <w:szCs w:val="24"/>
        </w:rPr>
        <w:t>In assessing doses to the representative person</w:t>
      </w:r>
      <w:r w:rsidR="005357FA">
        <w:rPr>
          <w:szCs w:val="24"/>
        </w:rPr>
        <w:t xml:space="preserve"> from discharges to the environment</w:t>
      </w:r>
      <w:r w:rsidR="001805B4">
        <w:rPr>
          <w:szCs w:val="24"/>
        </w:rPr>
        <w:t>,</w:t>
      </w:r>
      <w:r w:rsidRPr="00C10D10">
        <w:rPr>
          <w:szCs w:val="24"/>
        </w:rPr>
        <w:t xml:space="preserve"> the following three main </w:t>
      </w:r>
      <w:r w:rsidR="001C522C" w:rsidRPr="00C10D10">
        <w:rPr>
          <w:szCs w:val="24"/>
        </w:rPr>
        <w:t>exposure pathways</w:t>
      </w:r>
      <w:r w:rsidR="007968DA" w:rsidRPr="00C10D10">
        <w:rPr>
          <w:szCs w:val="24"/>
        </w:rPr>
        <w:t xml:space="preserve"> should be considered</w:t>
      </w:r>
      <w:r w:rsidRPr="00C10D10">
        <w:rPr>
          <w:szCs w:val="24"/>
        </w:rPr>
        <w:t>:</w:t>
      </w:r>
    </w:p>
    <w:p w:rsidR="00C3131B" w:rsidRPr="00C10D10" w:rsidRDefault="00C3131B" w:rsidP="0091132F">
      <w:pPr>
        <w:pStyle w:val="ListParagraph"/>
        <w:numPr>
          <w:ilvl w:val="1"/>
          <w:numId w:val="8"/>
        </w:numPr>
        <w:autoSpaceDE w:val="0"/>
        <w:autoSpaceDN w:val="0"/>
        <w:adjustRightInd w:val="0"/>
        <w:spacing w:before="120"/>
        <w:ind w:left="0" w:firstLine="0"/>
        <w:contextualSpacing w:val="0"/>
        <w:jc w:val="both"/>
        <w:rPr>
          <w:szCs w:val="24"/>
        </w:rPr>
      </w:pPr>
      <w:r w:rsidRPr="00C10D10">
        <w:rPr>
          <w:szCs w:val="24"/>
        </w:rPr>
        <w:t>External exposure from radionuclides present in the environmental media;</w:t>
      </w:r>
    </w:p>
    <w:p w:rsidR="00C3131B" w:rsidRPr="00C10D10" w:rsidRDefault="00C3131B" w:rsidP="0091132F">
      <w:pPr>
        <w:pStyle w:val="ListParagraph"/>
        <w:numPr>
          <w:ilvl w:val="1"/>
          <w:numId w:val="8"/>
        </w:numPr>
        <w:autoSpaceDE w:val="0"/>
        <w:autoSpaceDN w:val="0"/>
        <w:adjustRightInd w:val="0"/>
        <w:spacing w:before="120"/>
        <w:ind w:left="0" w:firstLine="0"/>
        <w:contextualSpacing w:val="0"/>
        <w:jc w:val="both"/>
        <w:rPr>
          <w:szCs w:val="24"/>
        </w:rPr>
      </w:pPr>
      <w:r w:rsidRPr="00C10D10">
        <w:rPr>
          <w:szCs w:val="24"/>
        </w:rPr>
        <w:t>Internal exposure from the inhalation of radionuclides present in air;</w:t>
      </w:r>
    </w:p>
    <w:p w:rsidR="00C3131B" w:rsidRPr="00C10D10" w:rsidRDefault="00C3131B" w:rsidP="0091132F">
      <w:pPr>
        <w:pStyle w:val="ListParagraph"/>
        <w:numPr>
          <w:ilvl w:val="1"/>
          <w:numId w:val="8"/>
        </w:numPr>
        <w:autoSpaceDE w:val="0"/>
        <w:autoSpaceDN w:val="0"/>
        <w:adjustRightInd w:val="0"/>
        <w:spacing w:before="120"/>
        <w:ind w:left="0" w:firstLine="0"/>
        <w:contextualSpacing w:val="0"/>
        <w:jc w:val="both"/>
        <w:rPr>
          <w:szCs w:val="24"/>
        </w:rPr>
      </w:pPr>
      <w:r w:rsidRPr="00C10D10">
        <w:rPr>
          <w:szCs w:val="24"/>
        </w:rPr>
        <w:t>Internal exposure from the ingestion of radionuclides incorporated in water and foods.</w:t>
      </w:r>
    </w:p>
    <w:p w:rsidR="00A24A1B" w:rsidRDefault="008A26C5" w:rsidP="008B680D">
      <w:pPr>
        <w:pStyle w:val="ListParagraph"/>
        <w:autoSpaceDE w:val="0"/>
        <w:autoSpaceDN w:val="0"/>
        <w:adjustRightInd w:val="0"/>
        <w:spacing w:before="120"/>
        <w:contextualSpacing w:val="0"/>
        <w:jc w:val="both"/>
        <w:rPr>
          <w:szCs w:val="24"/>
        </w:rPr>
      </w:pPr>
      <w:r w:rsidRPr="00C10D10">
        <w:rPr>
          <w:szCs w:val="24"/>
        </w:rPr>
        <w:lastRenderedPageBreak/>
        <w:t xml:space="preserve">External exposure may be caused by radioactive </w:t>
      </w:r>
      <w:r w:rsidR="00615245">
        <w:rPr>
          <w:szCs w:val="24"/>
        </w:rPr>
        <w:t>substances suspended</w:t>
      </w:r>
      <w:r w:rsidR="00615245" w:rsidRPr="00C10D10">
        <w:rPr>
          <w:szCs w:val="24"/>
        </w:rPr>
        <w:t xml:space="preserve"> </w:t>
      </w:r>
      <w:r w:rsidRPr="00C10D10">
        <w:rPr>
          <w:szCs w:val="24"/>
        </w:rPr>
        <w:t xml:space="preserve">in the air </w:t>
      </w:r>
      <w:r w:rsidR="00615245">
        <w:rPr>
          <w:szCs w:val="24"/>
        </w:rPr>
        <w:t>or</w:t>
      </w:r>
      <w:r w:rsidR="00615245" w:rsidRPr="00C10D10">
        <w:rPr>
          <w:szCs w:val="24"/>
        </w:rPr>
        <w:t xml:space="preserve"> </w:t>
      </w:r>
      <w:r w:rsidRPr="00C10D10">
        <w:rPr>
          <w:szCs w:val="24"/>
        </w:rPr>
        <w:t>deposited on the ground</w:t>
      </w:r>
      <w:r w:rsidR="0091132F">
        <w:rPr>
          <w:szCs w:val="24"/>
        </w:rPr>
        <w:t xml:space="preserve"> or other surfaces</w:t>
      </w:r>
      <w:r w:rsidRPr="00C10D10">
        <w:rPr>
          <w:szCs w:val="24"/>
        </w:rPr>
        <w:t>.</w:t>
      </w:r>
      <w:r w:rsidR="00E7351C" w:rsidRPr="00C10D10">
        <w:rPr>
          <w:szCs w:val="24"/>
        </w:rPr>
        <w:t xml:space="preserve"> </w:t>
      </w:r>
      <w:r w:rsidR="001C522C" w:rsidRPr="00C10D10">
        <w:rPr>
          <w:szCs w:val="24"/>
        </w:rPr>
        <w:t xml:space="preserve">More details on the exposure pathways relevant for assessment of doses to the representative person are </w:t>
      </w:r>
      <w:r w:rsidR="00DE3AE9">
        <w:rPr>
          <w:szCs w:val="24"/>
        </w:rPr>
        <w:t>provided</w:t>
      </w:r>
      <w:r w:rsidR="00DE3AE9" w:rsidRPr="00C10D10">
        <w:rPr>
          <w:szCs w:val="24"/>
        </w:rPr>
        <w:t xml:space="preserve"> </w:t>
      </w:r>
      <w:r w:rsidR="001C522C" w:rsidRPr="00C10D10">
        <w:rPr>
          <w:szCs w:val="24"/>
        </w:rPr>
        <w:t xml:space="preserve">in </w:t>
      </w:r>
      <w:r w:rsidR="002535D6" w:rsidRPr="00C10D10">
        <w:rPr>
          <w:szCs w:val="24"/>
        </w:rPr>
        <w:t xml:space="preserve">Refs </w:t>
      </w:r>
      <w:r w:rsidR="001C522C" w:rsidRPr="00C10D10">
        <w:rPr>
          <w:szCs w:val="24"/>
        </w:rPr>
        <w:t>[</w:t>
      </w:r>
      <w:r w:rsidR="0090278A">
        <w:rPr>
          <w:szCs w:val="24"/>
        </w:rPr>
        <w:t>7</w:t>
      </w:r>
      <w:r w:rsidR="00E36F59" w:rsidRPr="00C10D10">
        <w:rPr>
          <w:szCs w:val="24"/>
        </w:rPr>
        <w:t>, 1</w:t>
      </w:r>
      <w:r w:rsidR="0090278A">
        <w:rPr>
          <w:szCs w:val="24"/>
        </w:rPr>
        <w:t>5</w:t>
      </w:r>
      <w:r w:rsidR="001C522C" w:rsidRPr="00C10D10">
        <w:rPr>
          <w:szCs w:val="24"/>
        </w:rPr>
        <w:t>].</w:t>
      </w:r>
      <w:r w:rsidR="00652D1A">
        <w:rPr>
          <w:szCs w:val="24"/>
        </w:rPr>
        <w:t xml:space="preserve"> </w:t>
      </w:r>
    </w:p>
    <w:p w:rsidR="008A26C5" w:rsidRPr="00A24A1B" w:rsidRDefault="004349DA" w:rsidP="0091132F">
      <w:pPr>
        <w:pStyle w:val="ListParagraph"/>
        <w:numPr>
          <w:ilvl w:val="0"/>
          <w:numId w:val="7"/>
        </w:numPr>
        <w:autoSpaceDE w:val="0"/>
        <w:autoSpaceDN w:val="0"/>
        <w:adjustRightInd w:val="0"/>
        <w:spacing w:before="120"/>
        <w:jc w:val="both"/>
        <w:rPr>
          <w:szCs w:val="24"/>
        </w:rPr>
      </w:pPr>
      <w:r>
        <w:rPr>
          <w:szCs w:val="24"/>
        </w:rPr>
        <w:t>In s</w:t>
      </w:r>
      <w:r w:rsidR="00652D1A" w:rsidRPr="00A24A1B">
        <w:rPr>
          <w:szCs w:val="24"/>
        </w:rPr>
        <w:t>ome facilities or activities</w:t>
      </w:r>
      <w:r w:rsidR="00BC554E">
        <w:rPr>
          <w:szCs w:val="24"/>
        </w:rPr>
        <w:t>,</w:t>
      </w:r>
      <w:r w:rsidR="00652D1A" w:rsidRPr="00A24A1B">
        <w:rPr>
          <w:szCs w:val="24"/>
        </w:rPr>
        <w:t xml:space="preserve"> </w:t>
      </w:r>
      <w:r>
        <w:rPr>
          <w:szCs w:val="24"/>
        </w:rPr>
        <w:t xml:space="preserve">radiation sources can contribute to </w:t>
      </w:r>
      <w:r w:rsidR="00652D1A" w:rsidRPr="00A24A1B">
        <w:rPr>
          <w:szCs w:val="24"/>
        </w:rPr>
        <w:t xml:space="preserve">the </w:t>
      </w:r>
      <w:r w:rsidR="00A24A1B">
        <w:rPr>
          <w:szCs w:val="24"/>
        </w:rPr>
        <w:t>external exposure</w:t>
      </w:r>
      <w:r w:rsidR="00652D1A" w:rsidRPr="00A24A1B">
        <w:rPr>
          <w:szCs w:val="24"/>
        </w:rPr>
        <w:t xml:space="preserve"> of</w:t>
      </w:r>
      <w:r w:rsidR="00A24A1B" w:rsidRPr="00A24A1B">
        <w:rPr>
          <w:szCs w:val="24"/>
        </w:rPr>
        <w:t xml:space="preserve"> </w:t>
      </w:r>
      <w:r>
        <w:rPr>
          <w:szCs w:val="24"/>
        </w:rPr>
        <w:t xml:space="preserve">members of </w:t>
      </w:r>
      <w:r w:rsidR="00A24A1B">
        <w:rPr>
          <w:szCs w:val="24"/>
        </w:rPr>
        <w:t xml:space="preserve">the </w:t>
      </w:r>
      <w:r w:rsidR="00A24A1B" w:rsidRPr="00A24A1B">
        <w:rPr>
          <w:szCs w:val="24"/>
        </w:rPr>
        <w:t>public located in the close vicinity</w:t>
      </w:r>
      <w:r w:rsidR="00BC554E">
        <w:rPr>
          <w:szCs w:val="24"/>
        </w:rPr>
        <w:t>,</w:t>
      </w:r>
      <w:r w:rsidR="00A24A1B">
        <w:rPr>
          <w:szCs w:val="24"/>
        </w:rPr>
        <w:t xml:space="preserve"> through </w:t>
      </w:r>
      <w:r w:rsidR="00A24A1B" w:rsidRPr="00A24A1B">
        <w:rPr>
          <w:szCs w:val="24"/>
        </w:rPr>
        <w:t>direct gamma irradiation and, in some cases</w:t>
      </w:r>
      <w:r w:rsidR="00A24A1B">
        <w:rPr>
          <w:szCs w:val="24"/>
        </w:rPr>
        <w:t>,</w:t>
      </w:r>
      <w:r w:rsidR="00A24A1B" w:rsidRPr="00A24A1B">
        <w:rPr>
          <w:szCs w:val="24"/>
        </w:rPr>
        <w:t xml:space="preserve"> sky scattered gamma ray radiation (sky</w:t>
      </w:r>
      <w:r w:rsidR="00BC554E">
        <w:rPr>
          <w:szCs w:val="24"/>
        </w:rPr>
        <w:t xml:space="preserve"> </w:t>
      </w:r>
      <w:r w:rsidR="00A24A1B" w:rsidRPr="00A24A1B">
        <w:rPr>
          <w:szCs w:val="24"/>
        </w:rPr>
        <w:t>shine)</w:t>
      </w:r>
      <w:r w:rsidR="00A24A1B">
        <w:rPr>
          <w:szCs w:val="24"/>
        </w:rPr>
        <w:t xml:space="preserve">. </w:t>
      </w:r>
      <w:r>
        <w:rPr>
          <w:szCs w:val="24"/>
        </w:rPr>
        <w:t>Examples are</w:t>
      </w:r>
      <w:r w:rsidR="00A24A1B" w:rsidRPr="00A24A1B">
        <w:rPr>
          <w:szCs w:val="24"/>
        </w:rPr>
        <w:t xml:space="preserve"> sources</w:t>
      </w:r>
      <w:r w:rsidR="00BC554E">
        <w:rPr>
          <w:szCs w:val="24"/>
        </w:rPr>
        <w:t xml:space="preserve"> of radiation</w:t>
      </w:r>
      <w:r w:rsidR="00A24A1B" w:rsidRPr="00A24A1B">
        <w:rPr>
          <w:szCs w:val="24"/>
        </w:rPr>
        <w:t xml:space="preserve"> stored </w:t>
      </w:r>
      <w:r w:rsidR="00BC554E">
        <w:rPr>
          <w:szCs w:val="24"/>
        </w:rPr>
        <w:t>at</w:t>
      </w:r>
      <w:r w:rsidR="00BC554E" w:rsidRPr="00A24A1B">
        <w:rPr>
          <w:szCs w:val="24"/>
        </w:rPr>
        <w:t xml:space="preserve"> </w:t>
      </w:r>
      <w:r w:rsidR="00A24A1B" w:rsidRPr="00A24A1B">
        <w:rPr>
          <w:szCs w:val="24"/>
        </w:rPr>
        <w:t>the facility (</w:t>
      </w:r>
      <w:r w:rsidR="00BC554E">
        <w:rPr>
          <w:szCs w:val="24"/>
        </w:rPr>
        <w:t>e.g.</w:t>
      </w:r>
      <w:r w:rsidR="00A24A1B" w:rsidRPr="00A24A1B">
        <w:rPr>
          <w:szCs w:val="24"/>
        </w:rPr>
        <w:t xml:space="preserve"> spent fuel or radioactive waste), sources used in the facility </w:t>
      </w:r>
      <w:r w:rsidR="00A24A1B">
        <w:rPr>
          <w:szCs w:val="24"/>
        </w:rPr>
        <w:t xml:space="preserve">or activity </w:t>
      </w:r>
      <w:r w:rsidR="00A24A1B" w:rsidRPr="00A24A1B">
        <w:rPr>
          <w:szCs w:val="24"/>
        </w:rPr>
        <w:t>(</w:t>
      </w:r>
      <w:r w:rsidR="000D4717">
        <w:rPr>
          <w:szCs w:val="24"/>
        </w:rPr>
        <w:t>e.g.</w:t>
      </w:r>
      <w:r w:rsidR="00A24A1B" w:rsidRPr="00A24A1B">
        <w:rPr>
          <w:szCs w:val="24"/>
        </w:rPr>
        <w:t xml:space="preserve"> industrial irradiators) and components of the facility </w:t>
      </w:r>
      <w:r w:rsidR="00B13FB8">
        <w:rPr>
          <w:szCs w:val="24"/>
        </w:rPr>
        <w:t>(</w:t>
      </w:r>
      <w:r w:rsidR="000D4717">
        <w:rPr>
          <w:szCs w:val="24"/>
        </w:rPr>
        <w:t>e.g.</w:t>
      </w:r>
      <w:r w:rsidR="00BC554E" w:rsidRPr="00A24A1B">
        <w:rPr>
          <w:szCs w:val="24"/>
        </w:rPr>
        <w:t xml:space="preserve"> </w:t>
      </w:r>
      <w:r w:rsidR="00A24A1B" w:rsidRPr="00A24A1B">
        <w:rPr>
          <w:szCs w:val="24"/>
        </w:rPr>
        <w:t>nuclear reactors</w:t>
      </w:r>
      <w:r w:rsidR="00B13FB8">
        <w:rPr>
          <w:szCs w:val="24"/>
        </w:rPr>
        <w:t xml:space="preserve"> or</w:t>
      </w:r>
      <w:r w:rsidR="00A24A1B" w:rsidRPr="00A24A1B">
        <w:rPr>
          <w:szCs w:val="24"/>
        </w:rPr>
        <w:t xml:space="preserve"> coolant </w:t>
      </w:r>
      <w:r w:rsidR="000D4717">
        <w:rPr>
          <w:szCs w:val="24"/>
        </w:rPr>
        <w:t xml:space="preserve">systems </w:t>
      </w:r>
      <w:r w:rsidR="00A24A1B" w:rsidRPr="00A24A1B">
        <w:rPr>
          <w:szCs w:val="24"/>
        </w:rPr>
        <w:t>or steam systems).</w:t>
      </w:r>
      <w:r w:rsidR="00A24A1B">
        <w:rPr>
          <w:szCs w:val="24"/>
        </w:rPr>
        <w:t xml:space="preserve"> When direct irradiation influences the exposure conditions of the representative person</w:t>
      </w:r>
      <w:r w:rsidR="00E8082F">
        <w:rPr>
          <w:szCs w:val="24"/>
        </w:rPr>
        <w:t>,</w:t>
      </w:r>
      <w:r w:rsidR="00A24A1B">
        <w:rPr>
          <w:szCs w:val="24"/>
        </w:rPr>
        <w:t xml:space="preserve"> </w:t>
      </w:r>
      <w:r w:rsidR="00D02237">
        <w:rPr>
          <w:szCs w:val="24"/>
        </w:rPr>
        <w:t xml:space="preserve">the resulting </w:t>
      </w:r>
      <w:r w:rsidR="00A24A1B">
        <w:rPr>
          <w:szCs w:val="24"/>
        </w:rPr>
        <w:t>dose</w:t>
      </w:r>
      <w:r w:rsidR="00D02237">
        <w:rPr>
          <w:szCs w:val="24"/>
        </w:rPr>
        <w:t>s</w:t>
      </w:r>
      <w:r w:rsidR="00A24A1B">
        <w:rPr>
          <w:szCs w:val="24"/>
        </w:rPr>
        <w:t xml:space="preserve"> should be estimated and </w:t>
      </w:r>
      <w:r w:rsidR="00D02237">
        <w:rPr>
          <w:szCs w:val="24"/>
        </w:rPr>
        <w:t xml:space="preserve">taken into account when setting discharge limits, so that the established dose </w:t>
      </w:r>
      <w:r w:rsidR="004556C9">
        <w:rPr>
          <w:szCs w:val="24"/>
        </w:rPr>
        <w:t>constraint is</w:t>
      </w:r>
      <w:r w:rsidR="00D02237">
        <w:rPr>
          <w:szCs w:val="24"/>
        </w:rPr>
        <w:t xml:space="preserve"> not exceeded</w:t>
      </w:r>
      <w:r w:rsidR="00A24A1B">
        <w:rPr>
          <w:szCs w:val="24"/>
        </w:rPr>
        <w:t>.</w:t>
      </w:r>
    </w:p>
    <w:p w:rsidR="003B4C6E" w:rsidRPr="00C10D10" w:rsidRDefault="00C3131B"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Given that the initial authorization </w:t>
      </w:r>
      <w:r w:rsidR="001E6B91">
        <w:rPr>
          <w:szCs w:val="24"/>
        </w:rPr>
        <w:t>for</w:t>
      </w:r>
      <w:r w:rsidRPr="00C10D10">
        <w:rPr>
          <w:szCs w:val="24"/>
        </w:rPr>
        <w:t xml:space="preserve"> discharge</w:t>
      </w:r>
      <w:r w:rsidR="001E6B91">
        <w:rPr>
          <w:szCs w:val="24"/>
        </w:rPr>
        <w:t>s</w:t>
      </w:r>
      <w:r w:rsidRPr="00C10D10">
        <w:rPr>
          <w:szCs w:val="24"/>
        </w:rPr>
        <w:t xml:space="preserve"> from a facility </w:t>
      </w:r>
      <w:r w:rsidR="001E6B91">
        <w:rPr>
          <w:szCs w:val="24"/>
        </w:rPr>
        <w:t>or activity is</w:t>
      </w:r>
      <w:r w:rsidRPr="00C10D10">
        <w:rPr>
          <w:szCs w:val="24"/>
        </w:rPr>
        <w:t xml:space="preserve"> based on a prospective assessment, </w:t>
      </w:r>
      <w:r w:rsidR="00131D51">
        <w:rPr>
          <w:szCs w:val="24"/>
        </w:rPr>
        <w:t>mathematical</w:t>
      </w:r>
      <w:r w:rsidR="00131D51" w:rsidRPr="00C10D10">
        <w:rPr>
          <w:szCs w:val="24"/>
        </w:rPr>
        <w:t xml:space="preserve"> </w:t>
      </w:r>
      <w:r w:rsidRPr="00C10D10">
        <w:rPr>
          <w:szCs w:val="24"/>
        </w:rPr>
        <w:t>environmental</w:t>
      </w:r>
      <w:r w:rsidR="00131D51">
        <w:rPr>
          <w:szCs w:val="24"/>
        </w:rPr>
        <w:t xml:space="preserve"> </w:t>
      </w:r>
      <w:r w:rsidRPr="00C10D10">
        <w:rPr>
          <w:szCs w:val="24"/>
        </w:rPr>
        <w:t xml:space="preserve">models should be used to assess the activity concentrations in the air or water. </w:t>
      </w:r>
      <w:r w:rsidR="00275F7B">
        <w:rPr>
          <w:szCs w:val="24"/>
        </w:rPr>
        <w:t>Subsequently, environmental</w:t>
      </w:r>
      <w:r w:rsidRPr="00C10D10">
        <w:rPr>
          <w:szCs w:val="24"/>
        </w:rPr>
        <w:t xml:space="preserve"> transfer </w:t>
      </w:r>
      <w:r w:rsidR="003B4C6E" w:rsidRPr="00C10D10">
        <w:rPr>
          <w:szCs w:val="24"/>
        </w:rPr>
        <w:t>models and parameters</w:t>
      </w:r>
      <w:r w:rsidRPr="00C10D10">
        <w:rPr>
          <w:szCs w:val="24"/>
        </w:rPr>
        <w:t xml:space="preserve"> should be used to assess the activity concentrations in other environmental media</w:t>
      </w:r>
      <w:r w:rsidR="003B4C6E" w:rsidRPr="00C10D10">
        <w:rPr>
          <w:szCs w:val="24"/>
        </w:rPr>
        <w:t xml:space="preserve"> relevant for </w:t>
      </w:r>
      <w:r w:rsidR="000E15A0">
        <w:rPr>
          <w:szCs w:val="24"/>
        </w:rPr>
        <w:t xml:space="preserve">the estimation of </w:t>
      </w:r>
      <w:r w:rsidR="003B4C6E" w:rsidRPr="00C10D10">
        <w:rPr>
          <w:szCs w:val="24"/>
        </w:rPr>
        <w:t>doses</w:t>
      </w:r>
      <w:r w:rsidRPr="00C10D10">
        <w:rPr>
          <w:szCs w:val="24"/>
        </w:rPr>
        <w:t xml:space="preserve"> (e.g. sediment</w:t>
      </w:r>
      <w:r w:rsidR="00131D51">
        <w:rPr>
          <w:szCs w:val="24"/>
        </w:rPr>
        <w:t>s</w:t>
      </w:r>
      <w:r w:rsidRPr="00C10D10">
        <w:rPr>
          <w:szCs w:val="24"/>
        </w:rPr>
        <w:t xml:space="preserve"> or food products). Dispersion and transfer parameters are given in </w:t>
      </w:r>
      <w:r w:rsidR="000D4717">
        <w:rPr>
          <w:szCs w:val="24"/>
        </w:rPr>
        <w:t>Ref.</w:t>
      </w:r>
      <w:r w:rsidRPr="00C10D10">
        <w:rPr>
          <w:szCs w:val="24"/>
        </w:rPr>
        <w:t xml:space="preserve"> [1</w:t>
      </w:r>
      <w:r w:rsidR="001428DF">
        <w:rPr>
          <w:szCs w:val="24"/>
        </w:rPr>
        <w:t>5</w:t>
      </w:r>
      <w:r w:rsidRPr="00C10D10">
        <w:rPr>
          <w:szCs w:val="24"/>
        </w:rPr>
        <w:t xml:space="preserve">]. The possible accumulation </w:t>
      </w:r>
      <w:r w:rsidR="000E15A0">
        <w:rPr>
          <w:szCs w:val="24"/>
        </w:rPr>
        <w:t xml:space="preserve">or </w:t>
      </w:r>
      <w:proofErr w:type="spellStart"/>
      <w:r w:rsidR="00685E3F">
        <w:rPr>
          <w:szCs w:val="24"/>
        </w:rPr>
        <w:t>build up</w:t>
      </w:r>
      <w:proofErr w:type="spellEnd"/>
      <w:r w:rsidR="00685E3F">
        <w:rPr>
          <w:szCs w:val="24"/>
        </w:rPr>
        <w:t xml:space="preserve"> </w:t>
      </w:r>
      <w:r w:rsidRPr="00C10D10">
        <w:rPr>
          <w:szCs w:val="24"/>
        </w:rPr>
        <w:t>of long</w:t>
      </w:r>
      <w:r w:rsidR="001428DF">
        <w:rPr>
          <w:szCs w:val="24"/>
        </w:rPr>
        <w:t xml:space="preserve"> </w:t>
      </w:r>
      <w:r w:rsidRPr="00C10D10">
        <w:rPr>
          <w:szCs w:val="24"/>
        </w:rPr>
        <w:t>lived radionuclides</w:t>
      </w:r>
      <w:r w:rsidR="00C505DE">
        <w:rPr>
          <w:szCs w:val="24"/>
        </w:rPr>
        <w:t xml:space="preserve"> </w:t>
      </w:r>
      <w:r w:rsidR="005357FA">
        <w:rPr>
          <w:szCs w:val="24"/>
        </w:rPr>
        <w:t xml:space="preserve">and the ingrowth of radioactive </w:t>
      </w:r>
      <w:r w:rsidR="000E15A0">
        <w:rPr>
          <w:szCs w:val="24"/>
        </w:rPr>
        <w:t>progeny</w:t>
      </w:r>
      <w:r w:rsidR="005357FA" w:rsidRPr="00C10D10">
        <w:rPr>
          <w:szCs w:val="24"/>
        </w:rPr>
        <w:t xml:space="preserve"> </w:t>
      </w:r>
      <w:r w:rsidR="00ED3C9F" w:rsidRPr="00C10D10">
        <w:rPr>
          <w:szCs w:val="24"/>
        </w:rPr>
        <w:t>in environmental media</w:t>
      </w:r>
      <w:r w:rsidR="00C505DE">
        <w:rPr>
          <w:szCs w:val="24"/>
        </w:rPr>
        <w:t xml:space="preserve"> </w:t>
      </w:r>
      <w:r w:rsidRPr="00C10D10">
        <w:rPr>
          <w:szCs w:val="24"/>
        </w:rPr>
        <w:t>should be taken into account.</w:t>
      </w:r>
    </w:p>
    <w:p w:rsidR="003B4C6E" w:rsidRPr="00C10D10" w:rsidRDefault="003B4C6E" w:rsidP="0091132F">
      <w:pPr>
        <w:pStyle w:val="ListParagraph"/>
        <w:numPr>
          <w:ilvl w:val="0"/>
          <w:numId w:val="7"/>
        </w:numPr>
        <w:autoSpaceDE w:val="0"/>
        <w:autoSpaceDN w:val="0"/>
        <w:adjustRightInd w:val="0"/>
        <w:spacing w:before="120"/>
        <w:contextualSpacing w:val="0"/>
        <w:jc w:val="both"/>
        <w:rPr>
          <w:szCs w:val="24"/>
        </w:rPr>
      </w:pPr>
      <w:r w:rsidRPr="007057DE">
        <w:rPr>
          <w:szCs w:val="24"/>
        </w:rPr>
        <w:t>Models for th</w:t>
      </w:r>
      <w:r w:rsidR="001C522C" w:rsidRPr="00B57A64">
        <w:rPr>
          <w:szCs w:val="24"/>
        </w:rPr>
        <w:t xml:space="preserve">e assessment </w:t>
      </w:r>
      <w:r w:rsidRPr="00B57A64">
        <w:rPr>
          <w:szCs w:val="24"/>
        </w:rPr>
        <w:t>of</w:t>
      </w:r>
      <w:r w:rsidR="001C522C" w:rsidRPr="00B57A64">
        <w:rPr>
          <w:szCs w:val="24"/>
        </w:rPr>
        <w:t xml:space="preserve"> dispersion and transfer in the environment</w:t>
      </w:r>
      <w:r w:rsidRPr="00B57A64">
        <w:rPr>
          <w:szCs w:val="24"/>
        </w:rPr>
        <w:t xml:space="preserve"> should be </w:t>
      </w:r>
      <w:r w:rsidR="006A7685">
        <w:rPr>
          <w:szCs w:val="24"/>
        </w:rPr>
        <w:t xml:space="preserve">adequate </w:t>
      </w:r>
      <w:r w:rsidR="006A7685" w:rsidRPr="00B57A64">
        <w:rPr>
          <w:szCs w:val="24"/>
        </w:rPr>
        <w:t>for</w:t>
      </w:r>
      <w:r w:rsidRPr="00B57A64">
        <w:rPr>
          <w:szCs w:val="24"/>
        </w:rPr>
        <w:t xml:space="preserve"> the situation in which they are being applied, </w:t>
      </w:r>
      <w:r w:rsidR="001E6B91">
        <w:rPr>
          <w:szCs w:val="24"/>
          <w:lang w:val="en-US"/>
        </w:rPr>
        <w:t>to ensure</w:t>
      </w:r>
      <w:r w:rsidR="001E6B91" w:rsidRPr="00536692">
        <w:rPr>
          <w:szCs w:val="24"/>
          <w:lang w:val="en-US"/>
        </w:rPr>
        <w:t xml:space="preserve"> </w:t>
      </w:r>
      <w:r w:rsidR="007057DE" w:rsidRPr="00536692">
        <w:rPr>
          <w:szCs w:val="24"/>
          <w:lang w:val="en-US"/>
        </w:rPr>
        <w:t xml:space="preserve">that the assessment methodologies are suitable </w:t>
      </w:r>
      <w:r w:rsidR="001E6B91">
        <w:rPr>
          <w:szCs w:val="24"/>
          <w:lang w:val="en-US"/>
        </w:rPr>
        <w:t>for</w:t>
      </w:r>
      <w:r w:rsidR="001E6B91" w:rsidRPr="00536692">
        <w:rPr>
          <w:szCs w:val="24"/>
          <w:lang w:val="en-US"/>
        </w:rPr>
        <w:t xml:space="preserve"> </w:t>
      </w:r>
      <w:r w:rsidR="007057DE" w:rsidRPr="00536692">
        <w:rPr>
          <w:szCs w:val="24"/>
          <w:lang w:val="en-US"/>
        </w:rPr>
        <w:t>demonstrat</w:t>
      </w:r>
      <w:r w:rsidR="001E6B91">
        <w:rPr>
          <w:szCs w:val="24"/>
          <w:lang w:val="en-US"/>
        </w:rPr>
        <w:t>ing</w:t>
      </w:r>
      <w:r w:rsidR="007057DE" w:rsidRPr="00536692">
        <w:rPr>
          <w:szCs w:val="24"/>
          <w:lang w:val="en-US"/>
        </w:rPr>
        <w:t xml:space="preserve"> that there is a high likelihood that all compliance requirements can be met under all reasonably foreseeable conditions</w:t>
      </w:r>
      <w:r w:rsidRPr="00536692">
        <w:rPr>
          <w:szCs w:val="24"/>
        </w:rPr>
        <w:t>.</w:t>
      </w:r>
      <w:r w:rsidR="004556C9">
        <w:rPr>
          <w:szCs w:val="24"/>
        </w:rPr>
        <w:t xml:space="preserve"> Models should be verified.</w:t>
      </w:r>
      <w:r w:rsidR="00C505DE">
        <w:rPr>
          <w:szCs w:val="24"/>
        </w:rPr>
        <w:t xml:space="preserve"> </w:t>
      </w:r>
      <w:r w:rsidRPr="00421E96">
        <w:rPr>
          <w:szCs w:val="24"/>
        </w:rPr>
        <w:t>Where</w:t>
      </w:r>
      <w:r w:rsidRPr="00C10D10">
        <w:rPr>
          <w:szCs w:val="24"/>
        </w:rPr>
        <w:t xml:space="preserve"> possible, the selected models should be </w:t>
      </w:r>
      <w:r w:rsidR="004556C9">
        <w:rPr>
          <w:szCs w:val="24"/>
        </w:rPr>
        <w:t xml:space="preserve">validated </w:t>
      </w:r>
      <w:r w:rsidRPr="00C10D10">
        <w:rPr>
          <w:szCs w:val="24"/>
        </w:rPr>
        <w:t xml:space="preserve">through comparison of the results with data for similar exposure scenarios or, at least, by means of benchmarking procedures against other </w:t>
      </w:r>
      <w:r w:rsidR="007332E9">
        <w:rPr>
          <w:szCs w:val="24"/>
        </w:rPr>
        <w:t xml:space="preserve">adequate </w:t>
      </w:r>
      <w:r w:rsidRPr="00C10D10">
        <w:rPr>
          <w:szCs w:val="24"/>
        </w:rPr>
        <w:t>models.</w:t>
      </w:r>
      <w:r w:rsidR="001C522C" w:rsidRPr="00C10D10">
        <w:rPr>
          <w:szCs w:val="24"/>
        </w:rPr>
        <w:t xml:space="preserve"> </w:t>
      </w:r>
      <w:r w:rsidRPr="00C10D10">
        <w:rPr>
          <w:szCs w:val="24"/>
        </w:rPr>
        <w:t xml:space="preserve">Different methods, including </w:t>
      </w:r>
      <w:r w:rsidR="001428DF">
        <w:rPr>
          <w:szCs w:val="24"/>
        </w:rPr>
        <w:t xml:space="preserve">different </w:t>
      </w:r>
      <w:r w:rsidRPr="00C10D10">
        <w:rPr>
          <w:szCs w:val="24"/>
        </w:rPr>
        <w:t>calculation tools and input data, can be used to carry out an assessment</w:t>
      </w:r>
      <w:r w:rsidR="00A71127" w:rsidRPr="00C10D10">
        <w:rPr>
          <w:szCs w:val="24"/>
        </w:rPr>
        <w:t xml:space="preserve"> [</w:t>
      </w:r>
      <w:r w:rsidR="00A4599C" w:rsidRPr="00C10D10">
        <w:rPr>
          <w:szCs w:val="24"/>
        </w:rPr>
        <w:t>1</w:t>
      </w:r>
      <w:r w:rsidR="001428DF">
        <w:rPr>
          <w:szCs w:val="24"/>
        </w:rPr>
        <w:t>5</w:t>
      </w:r>
      <w:r w:rsidR="00A71127" w:rsidRPr="00C10D10">
        <w:rPr>
          <w:szCs w:val="24"/>
        </w:rPr>
        <w:t>]</w:t>
      </w:r>
      <w:r w:rsidRPr="00C10D10">
        <w:rPr>
          <w:szCs w:val="24"/>
        </w:rPr>
        <w:t xml:space="preserve">. The regulatory body </w:t>
      </w:r>
      <w:r w:rsidR="005A7B8E" w:rsidRPr="00C10D10">
        <w:rPr>
          <w:szCs w:val="24"/>
        </w:rPr>
        <w:t>should</w:t>
      </w:r>
      <w:r w:rsidRPr="00C10D10">
        <w:rPr>
          <w:szCs w:val="24"/>
        </w:rPr>
        <w:t xml:space="preserve"> decide in discussion with the </w:t>
      </w:r>
      <w:r w:rsidR="00B57A64">
        <w:rPr>
          <w:szCs w:val="24"/>
        </w:rPr>
        <w:t>applicant</w:t>
      </w:r>
      <w:r w:rsidRPr="00C10D10">
        <w:rPr>
          <w:szCs w:val="24"/>
        </w:rPr>
        <w:t xml:space="preserve"> </w:t>
      </w:r>
      <w:r w:rsidR="00CA77F1">
        <w:rPr>
          <w:szCs w:val="24"/>
        </w:rPr>
        <w:t>and other interested parties,</w:t>
      </w:r>
      <w:r w:rsidR="006A7685">
        <w:rPr>
          <w:szCs w:val="24"/>
        </w:rPr>
        <w:t xml:space="preserve"> </w:t>
      </w:r>
      <w:r w:rsidRPr="00C10D10">
        <w:rPr>
          <w:szCs w:val="24"/>
        </w:rPr>
        <w:t>which methodology is best suited to carry</w:t>
      </w:r>
      <w:r w:rsidR="00CA77F1">
        <w:rPr>
          <w:szCs w:val="24"/>
        </w:rPr>
        <w:t>ing</w:t>
      </w:r>
      <w:r w:rsidRPr="00C10D10">
        <w:rPr>
          <w:szCs w:val="24"/>
        </w:rPr>
        <w:t xml:space="preserve"> out a particular assessment</w:t>
      </w:r>
      <w:r w:rsidR="00CA77F1">
        <w:rPr>
          <w:szCs w:val="24"/>
        </w:rPr>
        <w:t xml:space="preserve"> and should agree that the methodology adopted is adequate for its proposed purp</w:t>
      </w:r>
      <w:r w:rsidR="001428DF">
        <w:rPr>
          <w:szCs w:val="24"/>
        </w:rPr>
        <w:t>o</w:t>
      </w:r>
      <w:r w:rsidR="00CA77F1">
        <w:rPr>
          <w:szCs w:val="24"/>
        </w:rPr>
        <w:t>se</w:t>
      </w:r>
      <w:r w:rsidRPr="00C10D10">
        <w:rPr>
          <w:szCs w:val="24"/>
        </w:rPr>
        <w:t>.</w:t>
      </w:r>
      <w:r w:rsidR="00685E3F">
        <w:rPr>
          <w:szCs w:val="24"/>
        </w:rPr>
        <w:t xml:space="preserve"> </w:t>
      </w:r>
      <w:r w:rsidR="00DA1D7D">
        <w:rPr>
          <w:szCs w:val="24"/>
        </w:rPr>
        <w:t>DS427</w:t>
      </w:r>
      <w:r w:rsidR="00685E3F">
        <w:rPr>
          <w:szCs w:val="24"/>
        </w:rPr>
        <w:t xml:space="preserve"> [</w:t>
      </w:r>
      <w:r w:rsidR="001428DF">
        <w:rPr>
          <w:szCs w:val="24"/>
        </w:rPr>
        <w:t>7</w:t>
      </w:r>
      <w:r w:rsidR="00685E3F">
        <w:rPr>
          <w:szCs w:val="24"/>
        </w:rPr>
        <w:t xml:space="preserve">] provides more information </w:t>
      </w:r>
      <w:r w:rsidR="00E848FB">
        <w:rPr>
          <w:szCs w:val="24"/>
        </w:rPr>
        <w:t xml:space="preserve">on the assessment methodologies and </w:t>
      </w:r>
      <w:r w:rsidR="00685E3F">
        <w:rPr>
          <w:szCs w:val="24"/>
        </w:rPr>
        <w:t xml:space="preserve">the characteristics of models </w:t>
      </w:r>
      <w:r w:rsidR="00B516D4">
        <w:rPr>
          <w:szCs w:val="24"/>
        </w:rPr>
        <w:t xml:space="preserve">and data </w:t>
      </w:r>
      <w:r w:rsidR="00685E3F">
        <w:rPr>
          <w:szCs w:val="24"/>
        </w:rPr>
        <w:t>to be used in the assessment of discharges during normal operation.</w:t>
      </w:r>
    </w:p>
    <w:p w:rsidR="00C3131B" w:rsidRPr="00C10D10" w:rsidRDefault="00C3131B" w:rsidP="0091132F">
      <w:pPr>
        <w:pStyle w:val="ListParagraph"/>
        <w:numPr>
          <w:ilvl w:val="0"/>
          <w:numId w:val="7"/>
        </w:numPr>
        <w:autoSpaceDE w:val="0"/>
        <w:autoSpaceDN w:val="0"/>
        <w:adjustRightInd w:val="0"/>
        <w:spacing w:before="120"/>
        <w:contextualSpacing w:val="0"/>
        <w:jc w:val="both"/>
        <w:rPr>
          <w:szCs w:val="24"/>
        </w:rPr>
      </w:pPr>
      <w:r w:rsidRPr="005756D6">
        <w:rPr>
          <w:szCs w:val="24"/>
        </w:rPr>
        <w:lastRenderedPageBreak/>
        <w:t>Different age groups</w:t>
      </w:r>
      <w:r w:rsidRPr="00C10D10">
        <w:rPr>
          <w:szCs w:val="24"/>
        </w:rPr>
        <w:t xml:space="preserve"> should be considered when determining the </w:t>
      </w:r>
      <w:r w:rsidR="00E34910">
        <w:rPr>
          <w:szCs w:val="24"/>
        </w:rPr>
        <w:t xml:space="preserve">exposure </w:t>
      </w:r>
      <w:r w:rsidR="00C20E4C">
        <w:rPr>
          <w:szCs w:val="24"/>
        </w:rPr>
        <w:t>of representative</w:t>
      </w:r>
      <w:r w:rsidRPr="00C10D10">
        <w:rPr>
          <w:szCs w:val="24"/>
        </w:rPr>
        <w:t xml:space="preserve"> person. </w:t>
      </w:r>
      <w:r w:rsidR="00A71127" w:rsidRPr="00C10D10">
        <w:rPr>
          <w:szCs w:val="24"/>
        </w:rPr>
        <w:t>I</w:t>
      </w:r>
      <w:r w:rsidRPr="00C10D10">
        <w:rPr>
          <w:szCs w:val="24"/>
        </w:rPr>
        <w:t xml:space="preserve">t is generally sufficient to consider exposures </w:t>
      </w:r>
      <w:r w:rsidR="001428DF">
        <w:rPr>
          <w:szCs w:val="24"/>
        </w:rPr>
        <w:t>of</w:t>
      </w:r>
      <w:r w:rsidR="001428DF" w:rsidRPr="00C10D10">
        <w:rPr>
          <w:szCs w:val="24"/>
        </w:rPr>
        <w:t xml:space="preserve"> </w:t>
      </w:r>
      <w:r w:rsidRPr="00C10D10">
        <w:rPr>
          <w:szCs w:val="24"/>
        </w:rPr>
        <w:t xml:space="preserve">three age groups (1 </w:t>
      </w:r>
      <w:r w:rsidR="00CA77F1">
        <w:rPr>
          <w:szCs w:val="24"/>
        </w:rPr>
        <w:t xml:space="preserve">year old infants, </w:t>
      </w:r>
      <w:r w:rsidRPr="00C10D10">
        <w:rPr>
          <w:szCs w:val="24"/>
        </w:rPr>
        <w:t>10 y</w:t>
      </w:r>
      <w:r w:rsidR="001E414E" w:rsidRPr="00C10D10">
        <w:rPr>
          <w:szCs w:val="24"/>
        </w:rPr>
        <w:t>ear</w:t>
      </w:r>
      <w:r w:rsidRPr="00C10D10">
        <w:rPr>
          <w:szCs w:val="24"/>
        </w:rPr>
        <w:t xml:space="preserve"> old children</w:t>
      </w:r>
      <w:r w:rsidR="00CA77F1">
        <w:rPr>
          <w:szCs w:val="24"/>
        </w:rPr>
        <w:t>,</w:t>
      </w:r>
      <w:r w:rsidRPr="00C10D10">
        <w:rPr>
          <w:szCs w:val="24"/>
        </w:rPr>
        <w:t xml:space="preserve"> and adults)</w:t>
      </w:r>
      <w:r w:rsidR="00CA77F1">
        <w:rPr>
          <w:szCs w:val="24"/>
        </w:rPr>
        <w:t>. Exposure of</w:t>
      </w:r>
      <w:r w:rsidR="00885AB6" w:rsidRPr="00C10D10">
        <w:rPr>
          <w:szCs w:val="24"/>
        </w:rPr>
        <w:t xml:space="preserve"> </w:t>
      </w:r>
      <w:r w:rsidRPr="00C10D10">
        <w:rPr>
          <w:szCs w:val="24"/>
        </w:rPr>
        <w:t xml:space="preserve">the </w:t>
      </w:r>
      <w:r w:rsidR="001E414E" w:rsidRPr="00C10D10">
        <w:rPr>
          <w:szCs w:val="24"/>
        </w:rPr>
        <w:t xml:space="preserve">embryo or </w:t>
      </w:r>
      <w:proofErr w:type="spellStart"/>
      <w:r w:rsidRPr="00C10D10">
        <w:rPr>
          <w:szCs w:val="24"/>
        </w:rPr>
        <w:t>fetus</w:t>
      </w:r>
      <w:proofErr w:type="spellEnd"/>
      <w:r w:rsidRPr="00C10D10">
        <w:rPr>
          <w:szCs w:val="24"/>
        </w:rPr>
        <w:t xml:space="preserve"> and breast fed infants </w:t>
      </w:r>
      <w:r w:rsidR="00CA77F1">
        <w:rPr>
          <w:szCs w:val="24"/>
        </w:rPr>
        <w:t xml:space="preserve">may </w:t>
      </w:r>
      <w:r w:rsidRPr="00C10D10">
        <w:rPr>
          <w:szCs w:val="24"/>
        </w:rPr>
        <w:t xml:space="preserve">also </w:t>
      </w:r>
      <w:r w:rsidR="00CA77F1">
        <w:rPr>
          <w:szCs w:val="24"/>
        </w:rPr>
        <w:t>need to be</w:t>
      </w:r>
      <w:r w:rsidR="00CA77F1" w:rsidRPr="00C10D10">
        <w:rPr>
          <w:szCs w:val="24"/>
        </w:rPr>
        <w:t xml:space="preserve"> </w:t>
      </w:r>
      <w:r w:rsidRPr="00C10D10">
        <w:rPr>
          <w:szCs w:val="24"/>
        </w:rPr>
        <w:t>considered in some limited circumstances</w:t>
      </w:r>
      <w:r w:rsidR="00A71127" w:rsidRPr="00C10D10">
        <w:rPr>
          <w:szCs w:val="24"/>
        </w:rPr>
        <w:t xml:space="preserve"> [</w:t>
      </w:r>
      <w:r w:rsidR="001428DF">
        <w:rPr>
          <w:szCs w:val="24"/>
        </w:rPr>
        <w:t>25</w:t>
      </w:r>
      <w:r w:rsidR="00A71127" w:rsidRPr="00C10D10">
        <w:rPr>
          <w:szCs w:val="24"/>
        </w:rPr>
        <w:t>]</w:t>
      </w:r>
      <w:r w:rsidR="009446A8" w:rsidRPr="00C10D10">
        <w:rPr>
          <w:szCs w:val="24"/>
        </w:rPr>
        <w:t xml:space="preserve">, </w:t>
      </w:r>
      <w:r w:rsidR="002C5CB1" w:rsidRPr="00C10D10">
        <w:rPr>
          <w:szCs w:val="24"/>
        </w:rPr>
        <w:t xml:space="preserve">for example when, due to the radionuclides to be discharged, the exposure </w:t>
      </w:r>
      <w:r w:rsidR="00E51591">
        <w:rPr>
          <w:szCs w:val="24"/>
        </w:rPr>
        <w:t>of</w:t>
      </w:r>
      <w:r w:rsidR="002C5CB1" w:rsidRPr="00C10D10">
        <w:rPr>
          <w:szCs w:val="24"/>
        </w:rPr>
        <w:t xml:space="preserve"> </w:t>
      </w:r>
      <w:r w:rsidR="00CA77F1" w:rsidRPr="00C10D10">
        <w:rPr>
          <w:szCs w:val="24"/>
        </w:rPr>
        <w:t xml:space="preserve">the embryo or </w:t>
      </w:r>
      <w:proofErr w:type="spellStart"/>
      <w:r w:rsidR="00CA77F1" w:rsidRPr="00C10D10">
        <w:rPr>
          <w:szCs w:val="24"/>
        </w:rPr>
        <w:t>fetus</w:t>
      </w:r>
      <w:proofErr w:type="spellEnd"/>
      <w:r w:rsidR="00CA77F1" w:rsidRPr="00C10D10">
        <w:rPr>
          <w:szCs w:val="24"/>
        </w:rPr>
        <w:t xml:space="preserve"> and breast fed infants </w:t>
      </w:r>
      <w:r w:rsidR="00E51591">
        <w:rPr>
          <w:szCs w:val="24"/>
        </w:rPr>
        <w:t>may be</w:t>
      </w:r>
      <w:r w:rsidR="00E51591" w:rsidRPr="00C10D10">
        <w:rPr>
          <w:szCs w:val="24"/>
        </w:rPr>
        <w:t xml:space="preserve"> </w:t>
      </w:r>
      <w:r w:rsidR="002C5CB1" w:rsidRPr="00C10D10">
        <w:rPr>
          <w:szCs w:val="24"/>
        </w:rPr>
        <w:t>more significant (</w:t>
      </w:r>
      <w:r w:rsidR="00F24DD4" w:rsidRPr="00C10D10">
        <w:rPr>
          <w:szCs w:val="24"/>
        </w:rPr>
        <w:t>e.g.</w:t>
      </w:r>
      <w:r w:rsidR="002C5CB1" w:rsidRPr="00C10D10">
        <w:rPr>
          <w:szCs w:val="24"/>
        </w:rPr>
        <w:t xml:space="preserve"> </w:t>
      </w:r>
      <w:r w:rsidR="00CA77F1">
        <w:rPr>
          <w:szCs w:val="24"/>
        </w:rPr>
        <w:t xml:space="preserve">discharges of </w:t>
      </w:r>
      <w:r w:rsidR="002C5CB1" w:rsidRPr="00C10D10">
        <w:rPr>
          <w:szCs w:val="24"/>
        </w:rPr>
        <w:t>radioiodine)</w:t>
      </w:r>
      <w:r w:rsidRPr="00C10D10">
        <w:rPr>
          <w:szCs w:val="24"/>
        </w:rPr>
        <w:t xml:space="preserve">. </w:t>
      </w:r>
    </w:p>
    <w:p w:rsidR="000A5937" w:rsidRDefault="008A26C5" w:rsidP="0091132F">
      <w:pPr>
        <w:pStyle w:val="ListParagraph"/>
        <w:numPr>
          <w:ilvl w:val="0"/>
          <w:numId w:val="7"/>
        </w:numPr>
        <w:autoSpaceDE w:val="0"/>
        <w:autoSpaceDN w:val="0"/>
        <w:adjustRightInd w:val="0"/>
        <w:spacing w:before="120"/>
        <w:contextualSpacing w:val="0"/>
        <w:jc w:val="both"/>
        <w:rPr>
          <w:szCs w:val="24"/>
        </w:rPr>
      </w:pPr>
      <w:r w:rsidRPr="00BD1DD3">
        <w:rPr>
          <w:szCs w:val="24"/>
        </w:rPr>
        <w:t xml:space="preserve">When </w:t>
      </w:r>
      <w:r w:rsidR="00BD1DD3">
        <w:rPr>
          <w:szCs w:val="24"/>
        </w:rPr>
        <w:t xml:space="preserve">identifying the representative person </w:t>
      </w:r>
      <w:r w:rsidRPr="00BD1DD3">
        <w:rPr>
          <w:szCs w:val="24"/>
        </w:rPr>
        <w:t xml:space="preserve">it </w:t>
      </w:r>
      <w:r w:rsidR="00CE17F3" w:rsidRPr="00BD1DD3">
        <w:rPr>
          <w:szCs w:val="24"/>
        </w:rPr>
        <w:t>should be</w:t>
      </w:r>
      <w:r w:rsidRPr="00BD1DD3">
        <w:rPr>
          <w:szCs w:val="24"/>
        </w:rPr>
        <w:t xml:space="preserve"> ensure</w:t>
      </w:r>
      <w:r w:rsidR="00CE17F3" w:rsidRPr="00BD1DD3">
        <w:rPr>
          <w:szCs w:val="24"/>
        </w:rPr>
        <w:t>d</w:t>
      </w:r>
      <w:r w:rsidRPr="00BD1DD3">
        <w:rPr>
          <w:szCs w:val="24"/>
        </w:rPr>
        <w:t xml:space="preserve"> that </w:t>
      </w:r>
      <w:r w:rsidR="00BD1DD3">
        <w:rPr>
          <w:szCs w:val="24"/>
        </w:rPr>
        <w:t>not only the groups of individuals closest to the facility or activity are considered</w:t>
      </w:r>
      <w:r w:rsidR="001805B4">
        <w:rPr>
          <w:szCs w:val="24"/>
        </w:rPr>
        <w:t xml:space="preserve">. Population </w:t>
      </w:r>
      <w:r w:rsidR="00BD1DD3">
        <w:rPr>
          <w:szCs w:val="24"/>
        </w:rPr>
        <w:t xml:space="preserve">groups </w:t>
      </w:r>
      <w:r w:rsidR="001805B4">
        <w:rPr>
          <w:szCs w:val="24"/>
        </w:rPr>
        <w:t xml:space="preserve">at </w:t>
      </w:r>
      <w:r w:rsidR="00BD1DD3">
        <w:rPr>
          <w:szCs w:val="24"/>
        </w:rPr>
        <w:t>more distant</w:t>
      </w:r>
      <w:r w:rsidR="001805B4">
        <w:rPr>
          <w:szCs w:val="24"/>
        </w:rPr>
        <w:t xml:space="preserve"> locations </w:t>
      </w:r>
      <w:r w:rsidR="00BD1DD3">
        <w:rPr>
          <w:szCs w:val="24"/>
        </w:rPr>
        <w:t xml:space="preserve">which, in view of their habits, could be more exposed </w:t>
      </w:r>
      <w:r w:rsidR="001805B4">
        <w:rPr>
          <w:szCs w:val="24"/>
        </w:rPr>
        <w:t>due to their specific living habits. F</w:t>
      </w:r>
      <w:r w:rsidR="00BD1DD3">
        <w:rPr>
          <w:szCs w:val="24"/>
        </w:rPr>
        <w:t xml:space="preserve">or example, </w:t>
      </w:r>
      <w:r w:rsidR="001805B4">
        <w:rPr>
          <w:szCs w:val="24"/>
        </w:rPr>
        <w:t xml:space="preserve">this could be </w:t>
      </w:r>
      <w:r w:rsidR="00BD1DD3">
        <w:rPr>
          <w:szCs w:val="24"/>
        </w:rPr>
        <w:t>a group o</w:t>
      </w:r>
      <w:r w:rsidR="001805B4">
        <w:rPr>
          <w:szCs w:val="24"/>
        </w:rPr>
        <w:t>f</w:t>
      </w:r>
      <w:r w:rsidR="00BD1DD3">
        <w:rPr>
          <w:szCs w:val="24"/>
        </w:rPr>
        <w:t xml:space="preserve"> individuals living in a town </w:t>
      </w:r>
      <w:r w:rsidR="000A5937">
        <w:rPr>
          <w:szCs w:val="24"/>
        </w:rPr>
        <w:t>at some distan</w:t>
      </w:r>
      <w:r w:rsidR="0020682F">
        <w:rPr>
          <w:szCs w:val="24"/>
        </w:rPr>
        <w:t>ce</w:t>
      </w:r>
      <w:r w:rsidR="000A5937">
        <w:rPr>
          <w:szCs w:val="24"/>
        </w:rPr>
        <w:t xml:space="preserve"> from the plant</w:t>
      </w:r>
      <w:r w:rsidR="001805B4">
        <w:rPr>
          <w:szCs w:val="24"/>
        </w:rPr>
        <w:t>,</w:t>
      </w:r>
      <w:r w:rsidR="000A5937">
        <w:rPr>
          <w:szCs w:val="24"/>
        </w:rPr>
        <w:t xml:space="preserve"> but </w:t>
      </w:r>
      <w:r w:rsidR="00BD1DD3">
        <w:rPr>
          <w:szCs w:val="24"/>
        </w:rPr>
        <w:t xml:space="preserve">eating fish from a </w:t>
      </w:r>
      <w:r w:rsidR="000A5937">
        <w:rPr>
          <w:szCs w:val="24"/>
        </w:rPr>
        <w:t>catchment</w:t>
      </w:r>
      <w:r w:rsidR="00BD1DD3">
        <w:rPr>
          <w:szCs w:val="24"/>
        </w:rPr>
        <w:t xml:space="preserve"> area close to the discharge point</w:t>
      </w:r>
      <w:r w:rsidRPr="00BD1DD3">
        <w:rPr>
          <w:szCs w:val="24"/>
        </w:rPr>
        <w:t xml:space="preserve">. </w:t>
      </w:r>
    </w:p>
    <w:p w:rsidR="000A5937" w:rsidRDefault="00D21F36" w:rsidP="0091132F">
      <w:pPr>
        <w:pStyle w:val="ListParagraph"/>
        <w:numPr>
          <w:ilvl w:val="0"/>
          <w:numId w:val="7"/>
        </w:numPr>
        <w:autoSpaceDE w:val="0"/>
        <w:autoSpaceDN w:val="0"/>
        <w:adjustRightInd w:val="0"/>
        <w:spacing w:before="120"/>
        <w:contextualSpacing w:val="0"/>
        <w:jc w:val="both"/>
        <w:rPr>
          <w:szCs w:val="24"/>
        </w:rPr>
      </w:pPr>
      <w:r>
        <w:rPr>
          <w:szCs w:val="24"/>
        </w:rPr>
        <w:t>T</w:t>
      </w:r>
      <w:r w:rsidR="008A26C5" w:rsidRPr="00C10D10">
        <w:rPr>
          <w:szCs w:val="24"/>
        </w:rPr>
        <w:t xml:space="preserve">he location and lifestyle habits of the representative person should be </w:t>
      </w:r>
      <w:r w:rsidR="00E7351C" w:rsidRPr="00C10D10">
        <w:rPr>
          <w:szCs w:val="24"/>
        </w:rPr>
        <w:t>specified</w:t>
      </w:r>
      <w:r w:rsidR="008A26C5" w:rsidRPr="00C10D10">
        <w:rPr>
          <w:szCs w:val="24"/>
        </w:rPr>
        <w:t xml:space="preserve"> with regard to present and</w:t>
      </w:r>
      <w:r w:rsidR="0091712D">
        <w:rPr>
          <w:szCs w:val="24"/>
        </w:rPr>
        <w:t>, as reasonably foreseeable,</w:t>
      </w:r>
      <w:r w:rsidR="008A26C5" w:rsidRPr="00C10D10">
        <w:rPr>
          <w:szCs w:val="24"/>
        </w:rPr>
        <w:t xml:space="preserve"> future environmental conditions, land use, spatial distribution of population, food production, distribution and consumption </w:t>
      </w:r>
      <w:r>
        <w:rPr>
          <w:szCs w:val="24"/>
        </w:rPr>
        <w:t>and</w:t>
      </w:r>
      <w:r w:rsidRPr="00C10D10">
        <w:rPr>
          <w:szCs w:val="24"/>
        </w:rPr>
        <w:t xml:space="preserve"> </w:t>
      </w:r>
      <w:r w:rsidR="008A26C5" w:rsidRPr="00C10D10">
        <w:rPr>
          <w:szCs w:val="24"/>
        </w:rPr>
        <w:t>other relevant factors</w:t>
      </w:r>
      <w:r>
        <w:rPr>
          <w:szCs w:val="24"/>
        </w:rPr>
        <w:t>, with account taken of the projected lifetime of the facility or activity</w:t>
      </w:r>
      <w:r w:rsidR="008A26C5" w:rsidRPr="00437A10">
        <w:rPr>
          <w:szCs w:val="24"/>
        </w:rPr>
        <w:t>.</w:t>
      </w:r>
    </w:p>
    <w:p w:rsidR="008A26C5" w:rsidRPr="00C10D10" w:rsidRDefault="00437A10" w:rsidP="0091132F">
      <w:pPr>
        <w:pStyle w:val="ListParagraph"/>
        <w:numPr>
          <w:ilvl w:val="0"/>
          <w:numId w:val="7"/>
        </w:numPr>
        <w:autoSpaceDE w:val="0"/>
        <w:autoSpaceDN w:val="0"/>
        <w:adjustRightInd w:val="0"/>
        <w:spacing w:before="120"/>
        <w:contextualSpacing w:val="0"/>
        <w:jc w:val="both"/>
        <w:rPr>
          <w:szCs w:val="24"/>
        </w:rPr>
      </w:pPr>
      <w:r w:rsidRPr="00536692">
        <w:rPr>
          <w:szCs w:val="24"/>
        </w:rPr>
        <w:t xml:space="preserve">When determining the location and lifestyle habits of the representative person for remote sites with </w:t>
      </w:r>
      <w:r w:rsidR="00D80F30">
        <w:rPr>
          <w:szCs w:val="24"/>
        </w:rPr>
        <w:t xml:space="preserve">only </w:t>
      </w:r>
      <w:r w:rsidR="002B529B">
        <w:rPr>
          <w:szCs w:val="24"/>
        </w:rPr>
        <w:t>a small</w:t>
      </w:r>
      <w:r w:rsidR="00D80F30">
        <w:rPr>
          <w:szCs w:val="24"/>
        </w:rPr>
        <w:t xml:space="preserve"> local population</w:t>
      </w:r>
      <w:r w:rsidR="002B529B" w:rsidRPr="00536692">
        <w:rPr>
          <w:szCs w:val="24"/>
        </w:rPr>
        <w:t xml:space="preserve"> </w:t>
      </w:r>
      <w:r w:rsidRPr="00536692">
        <w:rPr>
          <w:szCs w:val="24"/>
        </w:rPr>
        <w:t xml:space="preserve">or no local population, consideration should be given to developing a theoretical representative person based on a reasonable exposure scenario </w:t>
      </w:r>
      <w:r w:rsidR="00E51591">
        <w:rPr>
          <w:szCs w:val="24"/>
        </w:rPr>
        <w:t xml:space="preserve">that </w:t>
      </w:r>
      <w:r w:rsidRPr="00536692">
        <w:rPr>
          <w:szCs w:val="24"/>
        </w:rPr>
        <w:t>captur</w:t>
      </w:r>
      <w:r w:rsidR="00E51591">
        <w:rPr>
          <w:szCs w:val="24"/>
        </w:rPr>
        <w:t>es</w:t>
      </w:r>
      <w:r w:rsidRPr="00536692">
        <w:rPr>
          <w:szCs w:val="24"/>
        </w:rPr>
        <w:t xml:space="preserve"> land use practices</w:t>
      </w:r>
      <w:r w:rsidR="00E51591">
        <w:rPr>
          <w:szCs w:val="24"/>
        </w:rPr>
        <w:t>,</w:t>
      </w:r>
      <w:r w:rsidRPr="00536692">
        <w:rPr>
          <w:szCs w:val="24"/>
        </w:rPr>
        <w:t xml:space="preserve"> such as fish</w:t>
      </w:r>
      <w:r w:rsidR="00E51591">
        <w:rPr>
          <w:szCs w:val="24"/>
        </w:rPr>
        <w:t>ing</w:t>
      </w:r>
      <w:r w:rsidRPr="00536692">
        <w:rPr>
          <w:szCs w:val="24"/>
        </w:rPr>
        <w:t>, hunt</w:t>
      </w:r>
      <w:r w:rsidR="00E51591">
        <w:rPr>
          <w:szCs w:val="24"/>
        </w:rPr>
        <w:t>ing</w:t>
      </w:r>
      <w:r w:rsidRPr="00536692">
        <w:rPr>
          <w:szCs w:val="24"/>
        </w:rPr>
        <w:t xml:space="preserve"> or other seasonal or periodic land use practice</w:t>
      </w:r>
      <w:r w:rsidR="00E51591">
        <w:rPr>
          <w:szCs w:val="24"/>
        </w:rPr>
        <w:t>s</w:t>
      </w:r>
      <w:r w:rsidRPr="00536692">
        <w:rPr>
          <w:szCs w:val="24"/>
        </w:rPr>
        <w:t xml:space="preserve"> that may be associated with </w:t>
      </w:r>
      <w:r w:rsidR="00E51591">
        <w:rPr>
          <w:szCs w:val="24"/>
        </w:rPr>
        <w:t>a nearby</w:t>
      </w:r>
      <w:r w:rsidRPr="00536692">
        <w:rPr>
          <w:szCs w:val="24"/>
        </w:rPr>
        <w:t xml:space="preserve"> community</w:t>
      </w:r>
      <w:r w:rsidR="00807026">
        <w:rPr>
          <w:szCs w:val="24"/>
        </w:rPr>
        <w:t>.</w:t>
      </w:r>
    </w:p>
    <w:p w:rsidR="00943C7B" w:rsidRPr="00C10D10" w:rsidRDefault="00943C7B" w:rsidP="007D32C1">
      <w:pPr>
        <w:pStyle w:val="Heading2"/>
        <w:rPr>
          <w:caps w:val="0"/>
          <w:lang w:val="en-GB"/>
        </w:rPr>
      </w:pPr>
      <w:bookmarkStart w:id="45" w:name="_Toc452966954"/>
      <w:r w:rsidRPr="00613FA7">
        <w:rPr>
          <w:caps w:val="0"/>
          <w:lang w:val="en-GB"/>
        </w:rPr>
        <w:t xml:space="preserve">AUTHORIZATION </w:t>
      </w:r>
      <w:r w:rsidR="00F04394" w:rsidRPr="00613FA7">
        <w:rPr>
          <w:caps w:val="0"/>
          <w:lang w:val="en-GB"/>
        </w:rPr>
        <w:t xml:space="preserve">FOR </w:t>
      </w:r>
      <w:r w:rsidRPr="00613FA7">
        <w:rPr>
          <w:caps w:val="0"/>
          <w:lang w:val="en-GB"/>
        </w:rPr>
        <w:t>DISCHARGE</w:t>
      </w:r>
      <w:r w:rsidR="00F04394" w:rsidRPr="00613FA7">
        <w:rPr>
          <w:caps w:val="0"/>
          <w:lang w:val="en-GB"/>
        </w:rPr>
        <w:t>S</w:t>
      </w:r>
      <w:r w:rsidRPr="00C10D10">
        <w:rPr>
          <w:caps w:val="0"/>
          <w:lang w:val="en-GB"/>
        </w:rPr>
        <w:t xml:space="preserve"> AND </w:t>
      </w:r>
      <w:r w:rsidR="00F04394">
        <w:rPr>
          <w:caps w:val="0"/>
          <w:lang w:val="en-GB"/>
        </w:rPr>
        <w:t>OPERATIONAL</w:t>
      </w:r>
      <w:r w:rsidR="00161040">
        <w:rPr>
          <w:caps w:val="0"/>
          <w:lang w:val="en-GB"/>
        </w:rPr>
        <w:t xml:space="preserve"> </w:t>
      </w:r>
      <w:r w:rsidR="00161040" w:rsidRPr="00161040">
        <w:t>limits and</w:t>
      </w:r>
      <w:r w:rsidR="00F04394">
        <w:rPr>
          <w:caps w:val="0"/>
          <w:lang w:val="en-GB"/>
        </w:rPr>
        <w:t xml:space="preserve"> </w:t>
      </w:r>
      <w:r w:rsidRPr="00C10D10">
        <w:rPr>
          <w:caps w:val="0"/>
          <w:lang w:val="en-GB"/>
        </w:rPr>
        <w:t>CONDITIONS</w:t>
      </w:r>
      <w:bookmarkEnd w:id="45"/>
    </w:p>
    <w:p w:rsidR="002F423A" w:rsidRPr="00C10D10" w:rsidRDefault="00943C7B"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authorization </w:t>
      </w:r>
      <w:r w:rsidR="00E51591">
        <w:rPr>
          <w:szCs w:val="24"/>
        </w:rPr>
        <w:t>for</w:t>
      </w:r>
      <w:r w:rsidRPr="00C10D10">
        <w:rPr>
          <w:szCs w:val="24"/>
        </w:rPr>
        <w:t xml:space="preserve"> discharge</w:t>
      </w:r>
      <w:r w:rsidR="00E51591">
        <w:rPr>
          <w:szCs w:val="24"/>
        </w:rPr>
        <w:t>s</w:t>
      </w:r>
      <w:r w:rsidRPr="00C10D10">
        <w:rPr>
          <w:szCs w:val="24"/>
        </w:rPr>
        <w:t xml:space="preserve"> </w:t>
      </w:r>
      <w:r w:rsidR="00916AE0">
        <w:rPr>
          <w:szCs w:val="24"/>
        </w:rPr>
        <w:t xml:space="preserve">should </w:t>
      </w:r>
      <w:r w:rsidR="00E51591">
        <w:rPr>
          <w:szCs w:val="24"/>
        </w:rPr>
        <w:t>take the form of</w:t>
      </w:r>
      <w:r w:rsidR="00E51591" w:rsidRPr="00C10D10">
        <w:rPr>
          <w:szCs w:val="24"/>
        </w:rPr>
        <w:t xml:space="preserve"> </w:t>
      </w:r>
      <w:r w:rsidRPr="00C10D10">
        <w:rPr>
          <w:szCs w:val="24"/>
        </w:rPr>
        <w:t xml:space="preserve">written permission from the regulatory body. The regulatory body may grant </w:t>
      </w:r>
      <w:r w:rsidR="00E51591">
        <w:rPr>
          <w:szCs w:val="24"/>
        </w:rPr>
        <w:t>an</w:t>
      </w:r>
      <w:r w:rsidR="00E51591" w:rsidRPr="00C10D10">
        <w:rPr>
          <w:szCs w:val="24"/>
        </w:rPr>
        <w:t xml:space="preserve"> </w:t>
      </w:r>
      <w:r w:rsidR="002535D6" w:rsidRPr="00C10D10">
        <w:rPr>
          <w:szCs w:val="24"/>
        </w:rPr>
        <w:t xml:space="preserve">application for </w:t>
      </w:r>
      <w:r w:rsidRPr="00C10D10">
        <w:rPr>
          <w:szCs w:val="24"/>
        </w:rPr>
        <w:t xml:space="preserve">an authorization </w:t>
      </w:r>
      <w:r w:rsidR="00E51591">
        <w:rPr>
          <w:szCs w:val="24"/>
        </w:rPr>
        <w:t>for</w:t>
      </w:r>
      <w:r w:rsidR="00E51591" w:rsidRPr="00C10D10">
        <w:rPr>
          <w:szCs w:val="24"/>
        </w:rPr>
        <w:t xml:space="preserve"> </w:t>
      </w:r>
      <w:r w:rsidRPr="00C10D10">
        <w:rPr>
          <w:szCs w:val="24"/>
        </w:rPr>
        <w:t xml:space="preserve">discharges on a justified basis or may impose additional conditions or </w:t>
      </w:r>
      <w:r w:rsidR="002535D6" w:rsidRPr="00C10D10">
        <w:rPr>
          <w:szCs w:val="24"/>
        </w:rPr>
        <w:t xml:space="preserve">operational </w:t>
      </w:r>
      <w:r w:rsidRPr="00C10D10">
        <w:rPr>
          <w:szCs w:val="24"/>
        </w:rPr>
        <w:t xml:space="preserve">limitations </w:t>
      </w:r>
      <w:r w:rsidR="00E51591">
        <w:rPr>
          <w:szCs w:val="24"/>
        </w:rPr>
        <w:t xml:space="preserve">that </w:t>
      </w:r>
      <w:r w:rsidRPr="00C10D10">
        <w:rPr>
          <w:szCs w:val="24"/>
        </w:rPr>
        <w:t>it deems appropriate for the purposes of protection and safety.</w:t>
      </w:r>
      <w:r w:rsidR="002F423A" w:rsidRPr="00C10D10">
        <w:rPr>
          <w:szCs w:val="24"/>
        </w:rPr>
        <w:t xml:space="preserve"> </w:t>
      </w:r>
    </w:p>
    <w:p w:rsidR="002F423A" w:rsidRPr="00C10D10" w:rsidRDefault="00943C7B"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regulatory body should record formally the basis for its decision on </w:t>
      </w:r>
      <w:r w:rsidR="00E51591">
        <w:rPr>
          <w:szCs w:val="24"/>
        </w:rPr>
        <w:t>an</w:t>
      </w:r>
      <w:r w:rsidR="00E51591" w:rsidRPr="00C10D10">
        <w:rPr>
          <w:szCs w:val="24"/>
        </w:rPr>
        <w:t xml:space="preserve"> </w:t>
      </w:r>
      <w:r w:rsidRPr="00C10D10">
        <w:rPr>
          <w:szCs w:val="24"/>
        </w:rPr>
        <w:t xml:space="preserve">authorization </w:t>
      </w:r>
      <w:r w:rsidR="00E51591">
        <w:rPr>
          <w:szCs w:val="24"/>
        </w:rPr>
        <w:t>for</w:t>
      </w:r>
      <w:r w:rsidRPr="00C10D10">
        <w:rPr>
          <w:szCs w:val="24"/>
        </w:rPr>
        <w:t xml:space="preserve"> discharge</w:t>
      </w:r>
      <w:r w:rsidR="00E51591">
        <w:rPr>
          <w:szCs w:val="24"/>
        </w:rPr>
        <w:t>s</w:t>
      </w:r>
      <w:r w:rsidRPr="00C10D10">
        <w:rPr>
          <w:szCs w:val="24"/>
        </w:rPr>
        <w:t xml:space="preserve">, or on </w:t>
      </w:r>
      <w:r w:rsidR="00E51591">
        <w:rPr>
          <w:szCs w:val="24"/>
        </w:rPr>
        <w:t>the</w:t>
      </w:r>
      <w:r w:rsidR="00E51591" w:rsidRPr="00C10D10">
        <w:rPr>
          <w:szCs w:val="24"/>
        </w:rPr>
        <w:t xml:space="preserve"> </w:t>
      </w:r>
      <w:r w:rsidRPr="00C10D10">
        <w:rPr>
          <w:szCs w:val="24"/>
        </w:rPr>
        <w:t>amendment, renewal, suspension or revocation</w:t>
      </w:r>
      <w:r w:rsidR="00E51591">
        <w:rPr>
          <w:szCs w:val="24"/>
        </w:rPr>
        <w:t xml:space="preserve"> of </w:t>
      </w:r>
      <w:r w:rsidR="002B529B">
        <w:rPr>
          <w:szCs w:val="24"/>
        </w:rPr>
        <w:t>the</w:t>
      </w:r>
      <w:r w:rsidR="00E51591">
        <w:rPr>
          <w:szCs w:val="24"/>
        </w:rPr>
        <w:t xml:space="preserve"> authorization for discharges</w:t>
      </w:r>
      <w:r w:rsidRPr="00C10D10">
        <w:rPr>
          <w:szCs w:val="24"/>
        </w:rPr>
        <w:t>, and should inform the applicant, in a timely manner, of its decision</w:t>
      </w:r>
      <w:proofErr w:type="gramStart"/>
      <w:r w:rsidRPr="00C10D10">
        <w:rPr>
          <w:szCs w:val="24"/>
        </w:rPr>
        <w:t xml:space="preserve">, </w:t>
      </w:r>
      <w:r w:rsidR="00916AE0">
        <w:rPr>
          <w:szCs w:val="24"/>
        </w:rPr>
        <w:t xml:space="preserve"> including</w:t>
      </w:r>
      <w:proofErr w:type="gramEnd"/>
      <w:r w:rsidR="00E51591">
        <w:rPr>
          <w:szCs w:val="24"/>
        </w:rPr>
        <w:t xml:space="preserve"> </w:t>
      </w:r>
      <w:r w:rsidR="00916AE0">
        <w:rPr>
          <w:szCs w:val="24"/>
        </w:rPr>
        <w:t xml:space="preserve">the </w:t>
      </w:r>
      <w:r w:rsidRPr="00C10D10">
        <w:rPr>
          <w:szCs w:val="24"/>
        </w:rPr>
        <w:t>reasons and  justification.</w:t>
      </w:r>
      <w:r w:rsidR="002F423A" w:rsidRPr="00C10D10">
        <w:rPr>
          <w:szCs w:val="24"/>
        </w:rPr>
        <w:t xml:space="preserve"> </w:t>
      </w:r>
    </w:p>
    <w:p w:rsidR="0006459E" w:rsidRPr="00C10D10" w:rsidRDefault="00943C7B" w:rsidP="0091132F">
      <w:pPr>
        <w:pStyle w:val="ListParagraph"/>
        <w:numPr>
          <w:ilvl w:val="0"/>
          <w:numId w:val="7"/>
        </w:numPr>
        <w:autoSpaceDE w:val="0"/>
        <w:autoSpaceDN w:val="0"/>
        <w:adjustRightInd w:val="0"/>
        <w:spacing w:before="120"/>
        <w:contextualSpacing w:val="0"/>
        <w:jc w:val="both"/>
        <w:rPr>
          <w:szCs w:val="24"/>
        </w:rPr>
      </w:pPr>
      <w:r w:rsidRPr="00C10D10">
        <w:rPr>
          <w:szCs w:val="24"/>
        </w:rPr>
        <w:lastRenderedPageBreak/>
        <w:t>In granting an authorization</w:t>
      </w:r>
      <w:r w:rsidR="00E51591">
        <w:rPr>
          <w:szCs w:val="24"/>
        </w:rPr>
        <w:t xml:space="preserve"> for discharges</w:t>
      </w:r>
      <w:r w:rsidRPr="00C10D10">
        <w:rPr>
          <w:szCs w:val="24"/>
        </w:rPr>
        <w:t xml:space="preserve">, the regulatory body should establish or approve authorized limits for discharges. These should take </w:t>
      </w:r>
      <w:r w:rsidR="0097698A">
        <w:rPr>
          <w:szCs w:val="24"/>
        </w:rPr>
        <w:t xml:space="preserve">into </w:t>
      </w:r>
      <w:r w:rsidRPr="00C10D10">
        <w:rPr>
          <w:szCs w:val="24"/>
        </w:rPr>
        <w:t xml:space="preserve">account the results of optimization of protection and safety and should be </w:t>
      </w:r>
      <w:r w:rsidR="00E51591">
        <w:rPr>
          <w:szCs w:val="24"/>
        </w:rPr>
        <w:t xml:space="preserve">set </w:t>
      </w:r>
      <w:r w:rsidRPr="00C10D10">
        <w:rPr>
          <w:szCs w:val="24"/>
        </w:rPr>
        <w:t>in accordance with a graded approach</w:t>
      </w:r>
      <w:r w:rsidR="00770E57" w:rsidRPr="00C10D10">
        <w:rPr>
          <w:szCs w:val="24"/>
        </w:rPr>
        <w:t>.</w:t>
      </w:r>
    </w:p>
    <w:p w:rsidR="002F423A" w:rsidRPr="00C10D10" w:rsidRDefault="0006459E" w:rsidP="0091132F">
      <w:pPr>
        <w:pStyle w:val="ListParagraph"/>
        <w:numPr>
          <w:ilvl w:val="0"/>
          <w:numId w:val="7"/>
        </w:numPr>
        <w:autoSpaceDE w:val="0"/>
        <w:autoSpaceDN w:val="0"/>
        <w:adjustRightInd w:val="0"/>
        <w:spacing w:before="120"/>
        <w:contextualSpacing w:val="0"/>
        <w:jc w:val="both"/>
        <w:rPr>
          <w:szCs w:val="24"/>
        </w:rPr>
      </w:pPr>
      <w:r w:rsidRPr="00C10D10">
        <w:rPr>
          <w:szCs w:val="24"/>
        </w:rPr>
        <w:t>L</w:t>
      </w:r>
      <w:r w:rsidR="00943C7B" w:rsidRPr="00C10D10">
        <w:rPr>
          <w:szCs w:val="24"/>
        </w:rPr>
        <w:t xml:space="preserve">arge complex facilities such as nuclear </w:t>
      </w:r>
      <w:r w:rsidR="00E255B0">
        <w:rPr>
          <w:szCs w:val="24"/>
        </w:rPr>
        <w:t>installations</w:t>
      </w:r>
      <w:r w:rsidR="00943C7B" w:rsidRPr="00C10D10">
        <w:rPr>
          <w:szCs w:val="24"/>
        </w:rPr>
        <w:t xml:space="preserve"> </w:t>
      </w:r>
      <w:r w:rsidRPr="00C10D10">
        <w:rPr>
          <w:szCs w:val="24"/>
        </w:rPr>
        <w:t>are</w:t>
      </w:r>
      <w:r w:rsidR="00943C7B" w:rsidRPr="00C10D10">
        <w:rPr>
          <w:szCs w:val="24"/>
        </w:rPr>
        <w:t xml:space="preserve"> subject to a</w:t>
      </w:r>
      <w:r w:rsidR="00721D72">
        <w:rPr>
          <w:szCs w:val="24"/>
        </w:rPr>
        <w:t>n extensive</w:t>
      </w:r>
      <w:r w:rsidR="00E51591">
        <w:rPr>
          <w:szCs w:val="24"/>
        </w:rPr>
        <w:t xml:space="preserve"> </w:t>
      </w:r>
      <w:r w:rsidR="00E848FB">
        <w:rPr>
          <w:szCs w:val="24"/>
        </w:rPr>
        <w:t>authorization</w:t>
      </w:r>
      <w:r w:rsidR="00E848FB" w:rsidRPr="00C10D10">
        <w:rPr>
          <w:szCs w:val="24"/>
        </w:rPr>
        <w:t xml:space="preserve"> </w:t>
      </w:r>
      <w:r w:rsidR="00943C7B" w:rsidRPr="00C10D10">
        <w:rPr>
          <w:szCs w:val="24"/>
        </w:rPr>
        <w:t>process</w:t>
      </w:r>
      <w:r w:rsidR="00E51591">
        <w:rPr>
          <w:szCs w:val="24"/>
        </w:rPr>
        <w:t>,</w:t>
      </w:r>
      <w:r w:rsidR="00943C7B" w:rsidRPr="00C10D10">
        <w:rPr>
          <w:szCs w:val="24"/>
        </w:rPr>
        <w:t xml:space="preserve"> </w:t>
      </w:r>
      <w:r w:rsidR="00770E57" w:rsidRPr="00C10D10">
        <w:rPr>
          <w:szCs w:val="24"/>
        </w:rPr>
        <w:t>which</w:t>
      </w:r>
      <w:r w:rsidR="00943C7B" w:rsidRPr="00C10D10">
        <w:rPr>
          <w:szCs w:val="24"/>
        </w:rPr>
        <w:t xml:space="preserve"> </w:t>
      </w:r>
      <w:r w:rsidRPr="00C10D10">
        <w:rPr>
          <w:szCs w:val="24"/>
        </w:rPr>
        <w:t xml:space="preserve">should include provisions for </w:t>
      </w:r>
      <w:r w:rsidR="005756D6">
        <w:rPr>
          <w:szCs w:val="24"/>
        </w:rPr>
        <w:t>discharges</w:t>
      </w:r>
      <w:r w:rsidR="00E51591">
        <w:rPr>
          <w:szCs w:val="24"/>
        </w:rPr>
        <w:t xml:space="preserve"> and</w:t>
      </w:r>
      <w:r w:rsidR="005756D6">
        <w:rPr>
          <w:szCs w:val="24"/>
        </w:rPr>
        <w:t xml:space="preserve"> </w:t>
      </w:r>
      <w:r w:rsidRPr="00C10D10">
        <w:rPr>
          <w:szCs w:val="24"/>
        </w:rPr>
        <w:t xml:space="preserve">establish </w:t>
      </w:r>
      <w:r w:rsidR="00E51591">
        <w:rPr>
          <w:szCs w:val="24"/>
        </w:rPr>
        <w:t xml:space="preserve">in detail </w:t>
      </w:r>
      <w:r w:rsidR="005756D6">
        <w:rPr>
          <w:szCs w:val="24"/>
        </w:rPr>
        <w:t xml:space="preserve">the relevant </w:t>
      </w:r>
      <w:r w:rsidR="00F741C5">
        <w:rPr>
          <w:szCs w:val="24"/>
        </w:rPr>
        <w:t xml:space="preserve">operational </w:t>
      </w:r>
      <w:r w:rsidR="00161040" w:rsidRPr="00161040">
        <w:rPr>
          <w:szCs w:val="24"/>
        </w:rPr>
        <w:t xml:space="preserve">limits and </w:t>
      </w:r>
      <w:r w:rsidR="00943C7B" w:rsidRPr="00C10D10">
        <w:rPr>
          <w:szCs w:val="24"/>
        </w:rPr>
        <w:t>conditions</w:t>
      </w:r>
      <w:r w:rsidR="00D21DF6" w:rsidRPr="00C10D10">
        <w:rPr>
          <w:szCs w:val="24"/>
        </w:rPr>
        <w:t xml:space="preserve">. </w:t>
      </w:r>
      <w:r w:rsidR="00E51591">
        <w:rPr>
          <w:szCs w:val="24"/>
        </w:rPr>
        <w:t>O</w:t>
      </w:r>
      <w:r w:rsidR="005756D6">
        <w:rPr>
          <w:szCs w:val="24"/>
        </w:rPr>
        <w:t xml:space="preserve">perational </w:t>
      </w:r>
      <w:r w:rsidR="00161040" w:rsidRPr="00161040">
        <w:rPr>
          <w:szCs w:val="24"/>
        </w:rPr>
        <w:t xml:space="preserve">limits and </w:t>
      </w:r>
      <w:r w:rsidR="00943C7B" w:rsidRPr="00C10D10">
        <w:rPr>
          <w:szCs w:val="24"/>
        </w:rPr>
        <w:t xml:space="preserve">conditions </w:t>
      </w:r>
      <w:r w:rsidR="00E51591">
        <w:rPr>
          <w:szCs w:val="24"/>
        </w:rPr>
        <w:t xml:space="preserve">associated with the authorization for discharges for such facilities </w:t>
      </w:r>
      <w:r w:rsidR="00943C7B" w:rsidRPr="00C10D10">
        <w:rPr>
          <w:szCs w:val="24"/>
        </w:rPr>
        <w:t xml:space="preserve">should be expressed in terms that the </w:t>
      </w:r>
      <w:r w:rsidR="005A3563" w:rsidRPr="00C10D10">
        <w:rPr>
          <w:szCs w:val="24"/>
        </w:rPr>
        <w:t>operating organization</w:t>
      </w:r>
      <w:r w:rsidR="00943C7B" w:rsidRPr="00C10D10">
        <w:rPr>
          <w:szCs w:val="24"/>
        </w:rPr>
        <w:t xml:space="preserve"> can reasonably be expected to control, for example in terms of measured discharges</w:t>
      </w:r>
      <w:r w:rsidR="00D4029B" w:rsidRPr="00C10D10">
        <w:rPr>
          <w:szCs w:val="24"/>
        </w:rPr>
        <w:t xml:space="preserve"> (total activity or activity concentrations</w:t>
      </w:r>
      <w:r w:rsidR="00F741C5">
        <w:rPr>
          <w:szCs w:val="24"/>
        </w:rPr>
        <w:t xml:space="preserve"> and gas</w:t>
      </w:r>
      <w:r w:rsidR="00613FA7">
        <w:rPr>
          <w:szCs w:val="24"/>
        </w:rPr>
        <w:t>eous</w:t>
      </w:r>
      <w:r w:rsidR="00F741C5">
        <w:rPr>
          <w:szCs w:val="24"/>
        </w:rPr>
        <w:t xml:space="preserve"> or liquid volume discharged</w:t>
      </w:r>
      <w:r w:rsidR="00D4029B" w:rsidRPr="00C10D10">
        <w:rPr>
          <w:szCs w:val="24"/>
        </w:rPr>
        <w:t>)</w:t>
      </w:r>
      <w:r w:rsidR="00943C7B" w:rsidRPr="00C10D10">
        <w:rPr>
          <w:szCs w:val="24"/>
        </w:rPr>
        <w:t xml:space="preserve"> rather than doses to the public, which can only be estimated</w:t>
      </w:r>
      <w:r w:rsidR="00D21DF6" w:rsidRPr="00C10D10">
        <w:rPr>
          <w:szCs w:val="24"/>
        </w:rPr>
        <w:t xml:space="preserve">. </w:t>
      </w:r>
      <w:r w:rsidR="00F741C5" w:rsidRPr="00C10D10">
        <w:rPr>
          <w:szCs w:val="24"/>
        </w:rPr>
        <w:t xml:space="preserve">The </w:t>
      </w:r>
      <w:r w:rsidR="00161040">
        <w:rPr>
          <w:szCs w:val="24"/>
        </w:rPr>
        <w:t xml:space="preserve">operational </w:t>
      </w:r>
      <w:r w:rsidR="00161040" w:rsidRPr="00161040">
        <w:rPr>
          <w:szCs w:val="24"/>
        </w:rPr>
        <w:t xml:space="preserve">limits and </w:t>
      </w:r>
      <w:r w:rsidR="00F741C5" w:rsidRPr="00C10D10">
        <w:rPr>
          <w:szCs w:val="24"/>
        </w:rPr>
        <w:t xml:space="preserve">conditions associated with </w:t>
      </w:r>
      <w:r w:rsidR="00FD4EC4">
        <w:rPr>
          <w:szCs w:val="24"/>
        </w:rPr>
        <w:t xml:space="preserve">the authorization for </w:t>
      </w:r>
      <w:r w:rsidR="00F741C5" w:rsidRPr="00C10D10">
        <w:rPr>
          <w:szCs w:val="24"/>
        </w:rPr>
        <w:t>discharges for simpler facilities, such as hospitals with small nuclear medicine departments, industrial applications or small laboratories, should be less onerous.</w:t>
      </w:r>
      <w:r w:rsidR="00F741C5">
        <w:rPr>
          <w:szCs w:val="24"/>
        </w:rPr>
        <w:t xml:space="preserve"> </w:t>
      </w:r>
      <w:r w:rsidR="00D21DF6" w:rsidRPr="00C10D10">
        <w:rPr>
          <w:szCs w:val="24"/>
        </w:rPr>
        <w:t xml:space="preserve">The use of </w:t>
      </w:r>
      <w:r w:rsidR="008D5818">
        <w:rPr>
          <w:szCs w:val="24"/>
        </w:rPr>
        <w:t xml:space="preserve">discharge limits expressed in </w:t>
      </w:r>
      <w:r w:rsidR="00D21DF6" w:rsidRPr="00C10D10">
        <w:rPr>
          <w:szCs w:val="24"/>
        </w:rPr>
        <w:t>dose</w:t>
      </w:r>
      <w:r w:rsidR="00C505DE">
        <w:rPr>
          <w:szCs w:val="24"/>
        </w:rPr>
        <w:t xml:space="preserve"> </w:t>
      </w:r>
      <w:r w:rsidR="00D21DF6" w:rsidRPr="00C10D10">
        <w:rPr>
          <w:szCs w:val="24"/>
        </w:rPr>
        <w:t xml:space="preserve">versus </w:t>
      </w:r>
      <w:r w:rsidR="002B529B">
        <w:rPr>
          <w:szCs w:val="24"/>
        </w:rPr>
        <w:t xml:space="preserve">discharge limits expressed </w:t>
      </w:r>
      <w:r w:rsidR="008D5818">
        <w:rPr>
          <w:szCs w:val="24"/>
        </w:rPr>
        <w:t xml:space="preserve">in </w:t>
      </w:r>
      <w:r w:rsidR="00D21DF6" w:rsidRPr="00C10D10">
        <w:rPr>
          <w:szCs w:val="24"/>
        </w:rPr>
        <w:t xml:space="preserve">activity </w:t>
      </w:r>
      <w:r w:rsidR="008D5818">
        <w:rPr>
          <w:szCs w:val="24"/>
        </w:rPr>
        <w:t xml:space="preserve">amounts in the authorization for discharges </w:t>
      </w:r>
      <w:r w:rsidR="0020682F" w:rsidRPr="00C10D10">
        <w:rPr>
          <w:szCs w:val="24"/>
        </w:rPr>
        <w:t xml:space="preserve">is </w:t>
      </w:r>
      <w:r w:rsidR="00DE3AE9">
        <w:rPr>
          <w:szCs w:val="24"/>
        </w:rPr>
        <w:t>described</w:t>
      </w:r>
      <w:r w:rsidR="00DE3AE9" w:rsidRPr="00C10D10">
        <w:rPr>
          <w:szCs w:val="24"/>
        </w:rPr>
        <w:t xml:space="preserve"> </w:t>
      </w:r>
      <w:r w:rsidR="00D01166">
        <w:rPr>
          <w:szCs w:val="24"/>
        </w:rPr>
        <w:t xml:space="preserve">further </w:t>
      </w:r>
      <w:r w:rsidR="00D21DF6" w:rsidRPr="00C10D10">
        <w:rPr>
          <w:szCs w:val="24"/>
        </w:rPr>
        <w:t>in Annex</w:t>
      </w:r>
      <w:r w:rsidR="00DA1D7D">
        <w:rPr>
          <w:szCs w:val="24"/>
        </w:rPr>
        <w:t xml:space="preserve"> </w:t>
      </w:r>
      <w:r w:rsidR="005756D6">
        <w:rPr>
          <w:szCs w:val="24"/>
        </w:rPr>
        <w:t>I</w:t>
      </w:r>
      <w:r w:rsidR="00943C7B" w:rsidRPr="00C10D10">
        <w:rPr>
          <w:szCs w:val="24"/>
        </w:rPr>
        <w:t>.</w:t>
      </w:r>
      <w:r w:rsidR="002F423A" w:rsidRPr="00C10D10">
        <w:rPr>
          <w:szCs w:val="24"/>
        </w:rPr>
        <w:t xml:space="preserve"> </w:t>
      </w:r>
    </w:p>
    <w:p w:rsidR="002F423A" w:rsidRPr="00C10D10" w:rsidRDefault="0092461C"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Discharge limits </w:t>
      </w:r>
      <w:r w:rsidR="00CA5BE1">
        <w:rPr>
          <w:szCs w:val="24"/>
        </w:rPr>
        <w:t>should</w:t>
      </w:r>
      <w:r w:rsidRPr="00C10D10">
        <w:rPr>
          <w:szCs w:val="24"/>
        </w:rPr>
        <w:t xml:space="preserve"> be attached or incorporated into the authorization </w:t>
      </w:r>
      <w:r w:rsidR="00DA1D7D">
        <w:rPr>
          <w:szCs w:val="24"/>
        </w:rPr>
        <w:t xml:space="preserve">granted to the </w:t>
      </w:r>
      <w:r w:rsidR="00770E57" w:rsidRPr="00C10D10">
        <w:rPr>
          <w:szCs w:val="24"/>
        </w:rPr>
        <w:t xml:space="preserve">facility or activity, </w:t>
      </w:r>
      <w:r w:rsidR="00FD4EC4">
        <w:rPr>
          <w:szCs w:val="24"/>
        </w:rPr>
        <w:t xml:space="preserve">so they </w:t>
      </w:r>
      <w:r w:rsidRPr="00C10D10">
        <w:rPr>
          <w:szCs w:val="24"/>
        </w:rPr>
        <w:t xml:space="preserve">become </w:t>
      </w:r>
      <w:r w:rsidR="002535D6" w:rsidRPr="00C10D10">
        <w:rPr>
          <w:szCs w:val="24"/>
        </w:rPr>
        <w:t xml:space="preserve">regulatory </w:t>
      </w:r>
      <w:r w:rsidRPr="00C10D10">
        <w:rPr>
          <w:szCs w:val="24"/>
        </w:rPr>
        <w:t xml:space="preserve">limits with which the </w:t>
      </w:r>
      <w:r w:rsidR="005A3563" w:rsidRPr="00C10D10">
        <w:rPr>
          <w:szCs w:val="24"/>
        </w:rPr>
        <w:t>operating organization</w:t>
      </w:r>
      <w:r w:rsidRPr="00C10D10">
        <w:rPr>
          <w:szCs w:val="24"/>
        </w:rPr>
        <w:t xml:space="preserve"> or licensee should comply.</w:t>
      </w:r>
      <w:r w:rsidR="002F423A" w:rsidRPr="00C10D10">
        <w:rPr>
          <w:szCs w:val="24"/>
        </w:rPr>
        <w:t xml:space="preserve"> </w:t>
      </w:r>
    </w:p>
    <w:p w:rsidR="002F423A" w:rsidRPr="00C10D10" w:rsidRDefault="0064723D"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period of validity of the discharge limits should be specified in the </w:t>
      </w:r>
      <w:r w:rsidRPr="00613FA7">
        <w:rPr>
          <w:szCs w:val="24"/>
        </w:rPr>
        <w:t xml:space="preserve">authorization </w:t>
      </w:r>
      <w:r w:rsidR="00F11DA6" w:rsidRPr="00613FA7">
        <w:rPr>
          <w:szCs w:val="24"/>
        </w:rPr>
        <w:t>for discharges</w:t>
      </w:r>
      <w:r w:rsidR="00F11DA6">
        <w:rPr>
          <w:szCs w:val="24"/>
        </w:rPr>
        <w:t xml:space="preserve"> </w:t>
      </w:r>
      <w:r w:rsidRPr="00C10D10">
        <w:rPr>
          <w:szCs w:val="24"/>
        </w:rPr>
        <w:t xml:space="preserve">or </w:t>
      </w:r>
      <w:r w:rsidR="00FD4EC4">
        <w:rPr>
          <w:szCs w:val="24"/>
        </w:rPr>
        <w:t>in an</w:t>
      </w:r>
      <w:r w:rsidR="00657D57">
        <w:rPr>
          <w:szCs w:val="24"/>
        </w:rPr>
        <w:t xml:space="preserve">other </w:t>
      </w:r>
      <w:r w:rsidR="00613FA7">
        <w:rPr>
          <w:szCs w:val="24"/>
        </w:rPr>
        <w:t xml:space="preserve">related </w:t>
      </w:r>
      <w:r w:rsidR="00657D57">
        <w:rPr>
          <w:szCs w:val="24"/>
        </w:rPr>
        <w:t>regulatory document</w:t>
      </w:r>
      <w:r w:rsidRPr="00C10D10">
        <w:rPr>
          <w:szCs w:val="24"/>
        </w:rPr>
        <w:t xml:space="preserve">, with </w:t>
      </w:r>
      <w:r w:rsidR="00FD4EC4">
        <w:rPr>
          <w:szCs w:val="24"/>
        </w:rPr>
        <w:t xml:space="preserve">a </w:t>
      </w:r>
      <w:r w:rsidRPr="00C10D10">
        <w:rPr>
          <w:szCs w:val="24"/>
        </w:rPr>
        <w:t xml:space="preserve">provision </w:t>
      </w:r>
      <w:r w:rsidR="00FD4EC4">
        <w:rPr>
          <w:szCs w:val="24"/>
        </w:rPr>
        <w:t>for their</w:t>
      </w:r>
      <w:r w:rsidR="00FD4EC4" w:rsidRPr="00C10D10">
        <w:rPr>
          <w:szCs w:val="24"/>
        </w:rPr>
        <w:t xml:space="preserve"> </w:t>
      </w:r>
      <w:r w:rsidRPr="00C10D10">
        <w:rPr>
          <w:szCs w:val="24"/>
        </w:rPr>
        <w:t xml:space="preserve">review </w:t>
      </w:r>
      <w:r w:rsidR="00DA1D7D">
        <w:rPr>
          <w:szCs w:val="24"/>
        </w:rPr>
        <w:t>whenever</w:t>
      </w:r>
      <w:r w:rsidRPr="00C10D10">
        <w:rPr>
          <w:szCs w:val="24"/>
        </w:rPr>
        <w:t xml:space="preserve"> deemed appropriate by the regulatory body</w:t>
      </w:r>
      <w:r w:rsidR="00294E66">
        <w:rPr>
          <w:szCs w:val="24"/>
        </w:rPr>
        <w:t>, but</w:t>
      </w:r>
      <w:r w:rsidR="00294E66" w:rsidRPr="00294E66">
        <w:rPr>
          <w:szCs w:val="24"/>
        </w:rPr>
        <w:t xml:space="preserve"> </w:t>
      </w:r>
      <w:r w:rsidR="00294E66" w:rsidRPr="00C10D10">
        <w:rPr>
          <w:szCs w:val="24"/>
        </w:rPr>
        <w:t xml:space="preserve">at least once every </w:t>
      </w:r>
      <w:r w:rsidR="00294E66">
        <w:rPr>
          <w:szCs w:val="24"/>
        </w:rPr>
        <w:t>ten</w:t>
      </w:r>
      <w:r w:rsidR="00294E66" w:rsidRPr="00C10D10">
        <w:rPr>
          <w:szCs w:val="24"/>
        </w:rPr>
        <w:t xml:space="preserve"> years</w:t>
      </w:r>
      <w:r w:rsidRPr="00C10D10">
        <w:rPr>
          <w:szCs w:val="24"/>
        </w:rPr>
        <w:t xml:space="preserve">. The period of validity </w:t>
      </w:r>
      <w:r w:rsidR="00FD4EC4">
        <w:rPr>
          <w:szCs w:val="24"/>
        </w:rPr>
        <w:t xml:space="preserve">of discharge limits </w:t>
      </w:r>
      <w:r w:rsidRPr="00C10D10">
        <w:rPr>
          <w:szCs w:val="24"/>
        </w:rPr>
        <w:t xml:space="preserve">for complex </w:t>
      </w:r>
      <w:r w:rsidR="00694B14">
        <w:rPr>
          <w:szCs w:val="24"/>
        </w:rPr>
        <w:t>facilities</w:t>
      </w:r>
      <w:r w:rsidR="00FD4EC4">
        <w:rPr>
          <w:szCs w:val="24"/>
        </w:rPr>
        <w:t>, such as</w:t>
      </w:r>
      <w:r w:rsidR="00FD4EC4" w:rsidRPr="00C10D10">
        <w:rPr>
          <w:szCs w:val="24"/>
        </w:rPr>
        <w:t xml:space="preserve"> </w:t>
      </w:r>
      <w:r w:rsidR="00344255" w:rsidRPr="00C10D10">
        <w:rPr>
          <w:szCs w:val="24"/>
        </w:rPr>
        <w:t xml:space="preserve">nuclear power plants, </w:t>
      </w:r>
      <w:r w:rsidR="00294E66">
        <w:rPr>
          <w:szCs w:val="24"/>
        </w:rPr>
        <w:t xml:space="preserve">nuclear fuel </w:t>
      </w:r>
      <w:r w:rsidR="00344255" w:rsidRPr="00C10D10">
        <w:rPr>
          <w:szCs w:val="24"/>
        </w:rPr>
        <w:t>reprocessing facilities and radioisotope production facilities</w:t>
      </w:r>
      <w:r w:rsidR="00FD4EC4">
        <w:rPr>
          <w:szCs w:val="24"/>
        </w:rPr>
        <w:t xml:space="preserve">, </w:t>
      </w:r>
      <w:r w:rsidRPr="00C10D10">
        <w:rPr>
          <w:szCs w:val="24"/>
        </w:rPr>
        <w:t xml:space="preserve">should be </w:t>
      </w:r>
      <w:r w:rsidR="00FE74AA" w:rsidRPr="00C10D10">
        <w:rPr>
          <w:szCs w:val="24"/>
        </w:rPr>
        <w:t xml:space="preserve">the same </w:t>
      </w:r>
      <w:r w:rsidR="005357FA">
        <w:rPr>
          <w:szCs w:val="24"/>
        </w:rPr>
        <w:t>as</w:t>
      </w:r>
      <w:r w:rsidR="00FE74AA" w:rsidRPr="00C10D10">
        <w:rPr>
          <w:szCs w:val="24"/>
        </w:rPr>
        <w:t xml:space="preserve"> the period o</w:t>
      </w:r>
      <w:r w:rsidR="00BF2AEC">
        <w:rPr>
          <w:szCs w:val="24"/>
        </w:rPr>
        <w:t xml:space="preserve">f validity of the authorization </w:t>
      </w:r>
      <w:r w:rsidR="00FD4EC4">
        <w:rPr>
          <w:szCs w:val="24"/>
        </w:rPr>
        <w:t>for the facility</w:t>
      </w:r>
      <w:r w:rsidR="00BF2AEC">
        <w:rPr>
          <w:szCs w:val="24"/>
        </w:rPr>
        <w:t>, subject to a periodic review</w:t>
      </w:r>
      <w:r w:rsidR="00344255" w:rsidRPr="00C10D10">
        <w:rPr>
          <w:szCs w:val="24"/>
        </w:rPr>
        <w:t xml:space="preserve">. . </w:t>
      </w:r>
    </w:p>
    <w:p w:rsidR="002F423A" w:rsidRPr="00C10D10" w:rsidRDefault="00294E66" w:rsidP="0091132F">
      <w:pPr>
        <w:pStyle w:val="ListParagraph"/>
        <w:numPr>
          <w:ilvl w:val="0"/>
          <w:numId w:val="7"/>
        </w:numPr>
        <w:autoSpaceDE w:val="0"/>
        <w:autoSpaceDN w:val="0"/>
        <w:adjustRightInd w:val="0"/>
        <w:spacing w:before="120"/>
        <w:contextualSpacing w:val="0"/>
        <w:jc w:val="both"/>
        <w:rPr>
          <w:szCs w:val="24"/>
        </w:rPr>
      </w:pPr>
      <w:r>
        <w:rPr>
          <w:szCs w:val="24"/>
        </w:rPr>
        <w:t>A</w:t>
      </w:r>
      <w:r w:rsidR="0064723D" w:rsidRPr="00C10D10">
        <w:rPr>
          <w:szCs w:val="24"/>
        </w:rPr>
        <w:t xml:space="preserve"> review of </w:t>
      </w:r>
      <w:r w:rsidR="0064723D" w:rsidRPr="00613FA7">
        <w:rPr>
          <w:szCs w:val="24"/>
        </w:rPr>
        <w:t xml:space="preserve">the </w:t>
      </w:r>
      <w:r w:rsidR="0064723D" w:rsidRPr="00DE388F">
        <w:rPr>
          <w:szCs w:val="24"/>
        </w:rPr>
        <w:t>authorization</w:t>
      </w:r>
      <w:r w:rsidR="00344255" w:rsidRPr="00DE388F">
        <w:rPr>
          <w:szCs w:val="24"/>
        </w:rPr>
        <w:t xml:space="preserve"> for discharges</w:t>
      </w:r>
      <w:r w:rsidR="0064723D" w:rsidRPr="00C10D10">
        <w:rPr>
          <w:szCs w:val="24"/>
        </w:rPr>
        <w:t xml:space="preserve"> should be conducted whenever modification of the </w:t>
      </w:r>
      <w:r w:rsidR="00694B14">
        <w:rPr>
          <w:szCs w:val="24"/>
        </w:rPr>
        <w:t>facility</w:t>
      </w:r>
      <w:r w:rsidR="00694B14" w:rsidRPr="00C10D10">
        <w:rPr>
          <w:szCs w:val="24"/>
        </w:rPr>
        <w:t xml:space="preserve"> </w:t>
      </w:r>
      <w:r w:rsidR="0064723D" w:rsidRPr="00C10D10">
        <w:rPr>
          <w:szCs w:val="24"/>
        </w:rPr>
        <w:t xml:space="preserve">or of </w:t>
      </w:r>
      <w:r w:rsidR="00161040">
        <w:rPr>
          <w:szCs w:val="24"/>
        </w:rPr>
        <w:t>the</w:t>
      </w:r>
      <w:r w:rsidR="00161040" w:rsidRPr="00C10D10">
        <w:rPr>
          <w:szCs w:val="24"/>
        </w:rPr>
        <w:t xml:space="preserve"> </w:t>
      </w:r>
      <w:r w:rsidR="0064723D" w:rsidRPr="00C10D10">
        <w:rPr>
          <w:szCs w:val="24"/>
        </w:rPr>
        <w:t xml:space="preserve">operational </w:t>
      </w:r>
      <w:r w:rsidR="00161040" w:rsidRPr="00C10D10">
        <w:rPr>
          <w:szCs w:val="24"/>
        </w:rPr>
        <w:t xml:space="preserve">limits and </w:t>
      </w:r>
      <w:r w:rsidR="0064723D" w:rsidRPr="00C10D10">
        <w:rPr>
          <w:szCs w:val="24"/>
        </w:rPr>
        <w:t xml:space="preserve">conditions </w:t>
      </w:r>
      <w:r w:rsidR="00161040">
        <w:rPr>
          <w:szCs w:val="24"/>
        </w:rPr>
        <w:t xml:space="preserve">attached to the authorization </w:t>
      </w:r>
      <w:r w:rsidR="0064723D" w:rsidRPr="00C10D10">
        <w:rPr>
          <w:szCs w:val="24"/>
        </w:rPr>
        <w:t xml:space="preserve">is expected to affect significantly the characteristics of </w:t>
      </w:r>
      <w:r w:rsidR="00161040">
        <w:rPr>
          <w:szCs w:val="24"/>
        </w:rPr>
        <w:t>the</w:t>
      </w:r>
      <w:r w:rsidR="00161040" w:rsidRPr="00C10D10">
        <w:rPr>
          <w:szCs w:val="24"/>
        </w:rPr>
        <w:t xml:space="preserve"> </w:t>
      </w:r>
      <w:r w:rsidR="0064723D" w:rsidRPr="00C10D10">
        <w:rPr>
          <w:szCs w:val="24"/>
        </w:rPr>
        <w:t>discharges.</w:t>
      </w:r>
      <w:r w:rsidR="002F423A" w:rsidRPr="00C10D10">
        <w:rPr>
          <w:szCs w:val="24"/>
        </w:rPr>
        <w:t xml:space="preserve"> </w:t>
      </w:r>
      <w:r w:rsidR="00BF2AEC">
        <w:rPr>
          <w:szCs w:val="24"/>
        </w:rPr>
        <w:t>N</w:t>
      </w:r>
      <w:r w:rsidR="00A76FBF">
        <w:rPr>
          <w:szCs w:val="24"/>
        </w:rPr>
        <w:t xml:space="preserve">uclear facilities and other complex installations have periodic safety reviews after intervals of ten years that should include the review of the authorization for discharges. </w:t>
      </w:r>
      <w:r w:rsidR="00BF2AEC" w:rsidRPr="00C10D10">
        <w:rPr>
          <w:szCs w:val="24"/>
        </w:rPr>
        <w:t xml:space="preserve">More simple </w:t>
      </w:r>
      <w:r w:rsidR="00BF2AEC">
        <w:rPr>
          <w:szCs w:val="24"/>
        </w:rPr>
        <w:t>facilities,</w:t>
      </w:r>
      <w:r w:rsidR="00BF2AEC" w:rsidRPr="00C10D10">
        <w:rPr>
          <w:szCs w:val="24"/>
        </w:rPr>
        <w:t xml:space="preserve"> </w:t>
      </w:r>
      <w:r w:rsidR="00BF2AEC">
        <w:rPr>
          <w:szCs w:val="24"/>
        </w:rPr>
        <w:t>such as</w:t>
      </w:r>
      <w:r w:rsidR="00BF2AEC" w:rsidRPr="00C10D10">
        <w:rPr>
          <w:szCs w:val="24"/>
        </w:rPr>
        <w:t xml:space="preserve"> facilities or activities using limited amounts of radioisotopes</w:t>
      </w:r>
      <w:r w:rsidR="00BF2AEC">
        <w:rPr>
          <w:szCs w:val="24"/>
        </w:rPr>
        <w:t>,</w:t>
      </w:r>
      <w:r w:rsidR="00BF2AEC" w:rsidRPr="00C10D10">
        <w:rPr>
          <w:szCs w:val="24"/>
        </w:rPr>
        <w:t xml:space="preserve"> should be reviewed periodically but at longer intervals</w:t>
      </w:r>
      <w:r w:rsidR="00BF2AEC">
        <w:rPr>
          <w:szCs w:val="24"/>
        </w:rPr>
        <w:t>.</w:t>
      </w:r>
      <w:r w:rsidR="00A76FBF">
        <w:rPr>
          <w:szCs w:val="24"/>
        </w:rPr>
        <w:t xml:space="preserve"> </w:t>
      </w:r>
      <w:r w:rsidR="00BF2AEC">
        <w:rPr>
          <w:szCs w:val="24"/>
        </w:rPr>
        <w:t>The discharge limits for a</w:t>
      </w:r>
      <w:r w:rsidR="00BF2AEC" w:rsidRPr="00C10D10">
        <w:rPr>
          <w:szCs w:val="24"/>
        </w:rPr>
        <w:t xml:space="preserve"> new </w:t>
      </w:r>
      <w:r w:rsidR="00BF2AEC">
        <w:rPr>
          <w:szCs w:val="24"/>
        </w:rPr>
        <w:t>practice</w:t>
      </w:r>
      <w:r w:rsidR="00BF2AEC" w:rsidRPr="00C10D10">
        <w:rPr>
          <w:szCs w:val="24"/>
        </w:rPr>
        <w:t xml:space="preserve"> for which experience is limited should be reviewed by the regulatory body </w:t>
      </w:r>
      <w:r w:rsidR="00BF2AEC">
        <w:rPr>
          <w:szCs w:val="24"/>
        </w:rPr>
        <w:t xml:space="preserve">after an adequate time </w:t>
      </w:r>
      <w:r w:rsidR="00BF2AEC">
        <w:rPr>
          <w:szCs w:val="24"/>
        </w:rPr>
        <w:lastRenderedPageBreak/>
        <w:t>when sufficient operational experience has been gathered, for instance</w:t>
      </w:r>
      <w:r w:rsidR="00BF2AEC" w:rsidRPr="00C10D10">
        <w:rPr>
          <w:szCs w:val="24"/>
        </w:rPr>
        <w:t xml:space="preserve"> </w:t>
      </w:r>
      <w:r w:rsidR="00BF2AEC">
        <w:rPr>
          <w:szCs w:val="24"/>
        </w:rPr>
        <w:t>with</w:t>
      </w:r>
      <w:r w:rsidR="00BF2AEC" w:rsidRPr="00C10D10">
        <w:rPr>
          <w:szCs w:val="24"/>
        </w:rPr>
        <w:t>in the first three years.</w:t>
      </w:r>
    </w:p>
    <w:p w:rsidR="002F423A" w:rsidRPr="00C10D10" w:rsidRDefault="00943C7B" w:rsidP="0091132F">
      <w:pPr>
        <w:pStyle w:val="ListParagraph"/>
        <w:numPr>
          <w:ilvl w:val="0"/>
          <w:numId w:val="7"/>
        </w:numPr>
        <w:autoSpaceDE w:val="0"/>
        <w:autoSpaceDN w:val="0"/>
        <w:adjustRightInd w:val="0"/>
        <w:spacing w:before="120"/>
        <w:contextualSpacing w:val="0"/>
        <w:jc w:val="both"/>
        <w:rPr>
          <w:szCs w:val="24"/>
        </w:rPr>
      </w:pPr>
      <w:r w:rsidRPr="00C10D10">
        <w:rPr>
          <w:szCs w:val="24"/>
        </w:rPr>
        <w:t>The operational limits and conditions in a</w:t>
      </w:r>
      <w:r w:rsidR="00F73CB8">
        <w:rPr>
          <w:szCs w:val="24"/>
        </w:rPr>
        <w:t>n</w:t>
      </w:r>
      <w:r w:rsidRPr="00C10D10">
        <w:rPr>
          <w:szCs w:val="24"/>
        </w:rPr>
        <w:t xml:space="preserve"> </w:t>
      </w:r>
      <w:r w:rsidR="00F11DA6" w:rsidRPr="00C10D10">
        <w:rPr>
          <w:szCs w:val="24"/>
        </w:rPr>
        <w:t>authorization</w:t>
      </w:r>
      <w:r w:rsidR="00F11DA6">
        <w:rPr>
          <w:szCs w:val="24"/>
        </w:rPr>
        <w:t xml:space="preserve"> for discharges </w:t>
      </w:r>
      <w:r w:rsidRPr="00C10D10">
        <w:rPr>
          <w:szCs w:val="24"/>
        </w:rPr>
        <w:t>should include, as appropriate, some or all of the following:</w:t>
      </w:r>
      <w:r w:rsidR="002F423A" w:rsidRPr="00C10D10">
        <w:rPr>
          <w:szCs w:val="24"/>
        </w:rPr>
        <w:t xml:space="preserve"> </w:t>
      </w:r>
    </w:p>
    <w:p w:rsidR="00943C7B" w:rsidRPr="00C10D10" w:rsidRDefault="00943C7B" w:rsidP="0091132F">
      <w:pPr>
        <w:pStyle w:val="ListNumber2"/>
        <w:numPr>
          <w:ilvl w:val="0"/>
          <w:numId w:val="29"/>
        </w:numPr>
        <w:ind w:left="567" w:hanging="567"/>
      </w:pPr>
      <w:r w:rsidRPr="00C10D10">
        <w:t xml:space="preserve">Restrictions relating to different operational states of the facility (e.g. separate authorized limits for maintenance and </w:t>
      </w:r>
      <w:r w:rsidR="005321FE">
        <w:t xml:space="preserve">for </w:t>
      </w:r>
      <w:r w:rsidRPr="00C10D10">
        <w:t xml:space="preserve">normal operation), different seasonal </w:t>
      </w:r>
      <w:r w:rsidR="005321FE">
        <w:t xml:space="preserve">conditions </w:t>
      </w:r>
      <w:r w:rsidRPr="00C10D10">
        <w:t xml:space="preserve">and </w:t>
      </w:r>
      <w:r w:rsidR="005321FE">
        <w:t xml:space="preserve">different </w:t>
      </w:r>
      <w:r w:rsidRPr="00C10D10">
        <w:t>environmental dispersion conditions</w:t>
      </w:r>
      <w:r w:rsidR="00294E66">
        <w:t xml:space="preserve">. For </w:t>
      </w:r>
      <w:r w:rsidR="00657D57">
        <w:t>example</w:t>
      </w:r>
      <w:r w:rsidR="005321FE">
        <w:t>,</w:t>
      </w:r>
      <w:r w:rsidR="00657D57">
        <w:t xml:space="preserve"> </w:t>
      </w:r>
      <w:r w:rsidR="00657D57" w:rsidRPr="00C10D10">
        <w:t>a</w:t>
      </w:r>
      <w:r w:rsidRPr="00C10D10">
        <w:t xml:space="preserve"> restriction may be specified for facilities discharging to a river when the </w:t>
      </w:r>
      <w:r w:rsidR="00657D57">
        <w:t>water</w:t>
      </w:r>
      <w:r w:rsidR="00657D57" w:rsidRPr="00C10D10">
        <w:t xml:space="preserve"> </w:t>
      </w:r>
      <w:r w:rsidRPr="00C10D10">
        <w:t>level is low because of very dry weather</w:t>
      </w:r>
      <w:r w:rsidR="008D5818">
        <w:t xml:space="preserve"> in a </w:t>
      </w:r>
      <w:r w:rsidR="00903DF9">
        <w:t xml:space="preserve">particular </w:t>
      </w:r>
      <w:r w:rsidR="008D5818">
        <w:t>season</w:t>
      </w:r>
      <w:r w:rsidRPr="00C10D10">
        <w:t>, or when the river is prone to flood</w:t>
      </w:r>
      <w:r w:rsidR="00294E66">
        <w:t xml:space="preserve">. </w:t>
      </w:r>
      <w:r w:rsidR="00294E66" w:rsidRPr="00F24DD4">
        <w:rPr>
          <w:lang w:val="en-US"/>
        </w:rPr>
        <w:t xml:space="preserve">Similarly, in the case of </w:t>
      </w:r>
      <w:r w:rsidR="00294E66" w:rsidRPr="00F24DD4">
        <w:t xml:space="preserve">discharges to a tidal marine environment, the regulatory body may specify the period of the tidal cycle </w:t>
      </w:r>
      <w:r w:rsidR="00903DF9">
        <w:t>at which</w:t>
      </w:r>
      <w:r w:rsidR="00903DF9" w:rsidRPr="00F24DD4">
        <w:t xml:space="preserve"> </w:t>
      </w:r>
      <w:r w:rsidR="00294E66" w:rsidRPr="00F24DD4">
        <w:t>the discharge should take place to ensure maximum dispersion</w:t>
      </w:r>
      <w:r w:rsidRPr="00C10D10">
        <w:t>;</w:t>
      </w:r>
    </w:p>
    <w:p w:rsidR="00943C7B" w:rsidRPr="00C10D10" w:rsidRDefault="00943C7B" w:rsidP="0091132F">
      <w:pPr>
        <w:pStyle w:val="ListNumber2"/>
        <w:numPr>
          <w:ilvl w:val="0"/>
          <w:numId w:val="29"/>
        </w:numPr>
        <w:ind w:left="567" w:hanging="567"/>
      </w:pPr>
      <w:r w:rsidRPr="00C10D10">
        <w:t xml:space="preserve">Limits on the activities </w:t>
      </w:r>
      <w:r w:rsidR="00294E66">
        <w:t>or</w:t>
      </w:r>
      <w:r w:rsidR="00294E66" w:rsidRPr="00C10D10">
        <w:t xml:space="preserve"> activity concentrations </w:t>
      </w:r>
      <w:r w:rsidRPr="00C10D10">
        <w:t>of radionuclides or groups of radionuclides that can be discharged in a given time period (e.g. monthly, quarterly</w:t>
      </w:r>
      <w:r w:rsidR="00903DF9">
        <w:t xml:space="preserve"> or</w:t>
      </w:r>
      <w:r w:rsidRPr="00C10D10">
        <w:t xml:space="preserve"> annually);</w:t>
      </w:r>
    </w:p>
    <w:p w:rsidR="00943C7B" w:rsidRPr="00C10D10" w:rsidRDefault="00294E66" w:rsidP="0091132F">
      <w:pPr>
        <w:pStyle w:val="ListNumber2"/>
        <w:numPr>
          <w:ilvl w:val="0"/>
          <w:numId w:val="29"/>
        </w:numPr>
        <w:ind w:left="567" w:hanging="567"/>
      </w:pPr>
      <w:r>
        <w:t>Requirements for s</w:t>
      </w:r>
      <w:r w:rsidR="00943C7B" w:rsidRPr="00C10D10">
        <w:t xml:space="preserve">ource </w:t>
      </w:r>
      <w:r w:rsidR="00903DF9" w:rsidRPr="00C10D10">
        <w:t xml:space="preserve">monitoring </w:t>
      </w:r>
      <w:r w:rsidR="00943C7B" w:rsidRPr="00C10D10">
        <w:t xml:space="preserve">and environmental monitoring programmes and systems and the frequency </w:t>
      </w:r>
      <w:r w:rsidR="00903DF9">
        <w:t>for</w:t>
      </w:r>
      <w:r w:rsidR="00903DF9" w:rsidRPr="00C10D10">
        <w:t xml:space="preserve"> </w:t>
      </w:r>
      <w:r w:rsidR="00943C7B" w:rsidRPr="00C10D10">
        <w:t xml:space="preserve">reporting of results to the regulatory body (the regulatory body should specify the form and </w:t>
      </w:r>
      <w:r w:rsidR="00903DF9">
        <w:t xml:space="preserve">the </w:t>
      </w:r>
      <w:r w:rsidR="00943C7B" w:rsidRPr="00C10D10">
        <w:t xml:space="preserve">required content of the reports); </w:t>
      </w:r>
    </w:p>
    <w:p w:rsidR="00943C7B" w:rsidRPr="00C10D10" w:rsidRDefault="00294E66" w:rsidP="0091132F">
      <w:pPr>
        <w:pStyle w:val="ListNumber2"/>
        <w:numPr>
          <w:ilvl w:val="0"/>
          <w:numId w:val="29"/>
        </w:numPr>
        <w:ind w:left="567" w:hanging="567"/>
      </w:pPr>
      <w:r>
        <w:t>Requirements for the m</w:t>
      </w:r>
      <w:r w:rsidR="00943C7B" w:rsidRPr="00C10D10">
        <w:t>aintenance of the appropriate records;</w:t>
      </w:r>
    </w:p>
    <w:p w:rsidR="00943C7B" w:rsidRPr="00C10D10" w:rsidRDefault="00903DF9" w:rsidP="0091132F">
      <w:pPr>
        <w:pStyle w:val="ListNumber2"/>
        <w:numPr>
          <w:ilvl w:val="0"/>
          <w:numId w:val="29"/>
        </w:numPr>
        <w:ind w:left="567" w:hanging="567"/>
      </w:pPr>
      <w:r>
        <w:t>R</w:t>
      </w:r>
      <w:r w:rsidR="00294E66">
        <w:t xml:space="preserve">equirements </w:t>
      </w:r>
      <w:r>
        <w:t xml:space="preserve">for the reporting </w:t>
      </w:r>
      <w:r w:rsidR="00A76FBF" w:rsidRPr="00C10D10">
        <w:t xml:space="preserve">to the regulatory body </w:t>
      </w:r>
      <w:r w:rsidR="00943C7B" w:rsidRPr="00C10D10">
        <w:t xml:space="preserve">of proposed modifications and </w:t>
      </w:r>
      <w:r>
        <w:t xml:space="preserve">of </w:t>
      </w:r>
      <w:r w:rsidR="00943C7B" w:rsidRPr="00C10D10">
        <w:t>any revisions to the radiological environmental impact assessment;</w:t>
      </w:r>
    </w:p>
    <w:p w:rsidR="00943C7B" w:rsidRPr="00C10D10" w:rsidRDefault="00943C7B" w:rsidP="0091132F">
      <w:pPr>
        <w:pStyle w:val="ListNumber2"/>
        <w:numPr>
          <w:ilvl w:val="0"/>
          <w:numId w:val="29"/>
        </w:numPr>
        <w:ind w:left="567" w:hanging="567"/>
      </w:pPr>
      <w:r w:rsidRPr="00C10D10">
        <w:t xml:space="preserve">Actions to be taken in the event of exceeding of authorized </w:t>
      </w:r>
      <w:r w:rsidR="00A76FBF">
        <w:t xml:space="preserve">discharge </w:t>
      </w:r>
      <w:r w:rsidRPr="00C10D10">
        <w:t xml:space="preserve">limits or breaching of operational </w:t>
      </w:r>
      <w:r w:rsidR="00161040" w:rsidRPr="00161040">
        <w:rPr>
          <w:szCs w:val="24"/>
        </w:rPr>
        <w:t xml:space="preserve">limits and </w:t>
      </w:r>
      <w:r w:rsidRPr="00C10D10">
        <w:t>conditions;</w:t>
      </w:r>
    </w:p>
    <w:p w:rsidR="00943C7B" w:rsidRPr="00C10D10" w:rsidRDefault="00067D35" w:rsidP="0091132F">
      <w:pPr>
        <w:pStyle w:val="ListNumber2"/>
        <w:numPr>
          <w:ilvl w:val="0"/>
          <w:numId w:val="29"/>
        </w:numPr>
        <w:ind w:left="567" w:hanging="567"/>
      </w:pPr>
      <w:r w:rsidRPr="00C10D10">
        <w:t xml:space="preserve">Period of </w:t>
      </w:r>
      <w:r w:rsidR="00F11DA6">
        <w:t xml:space="preserve">validity of </w:t>
      </w:r>
      <w:r w:rsidRPr="00C10D10">
        <w:t xml:space="preserve">the </w:t>
      </w:r>
      <w:r w:rsidR="00294E66" w:rsidRPr="00613FA7">
        <w:t>authorization</w:t>
      </w:r>
      <w:r w:rsidR="00C505DE">
        <w:t xml:space="preserve"> </w:t>
      </w:r>
      <w:r w:rsidR="00B0295D" w:rsidRPr="00613FA7">
        <w:t>for discharges</w:t>
      </w:r>
      <w:r w:rsidR="00B0295D">
        <w:t xml:space="preserve"> </w:t>
      </w:r>
      <w:r w:rsidRPr="00C10D10">
        <w:t>for the facility</w:t>
      </w:r>
      <w:r w:rsidR="00B0295D">
        <w:t xml:space="preserve"> or activity</w:t>
      </w:r>
      <w:r w:rsidR="00A76FBF">
        <w:t xml:space="preserve"> and interval for the periodic revi</w:t>
      </w:r>
      <w:r w:rsidR="002E1B3A">
        <w:t>ew</w:t>
      </w:r>
      <w:r w:rsidR="00943C7B" w:rsidRPr="00C10D10">
        <w:t>.</w:t>
      </w:r>
    </w:p>
    <w:p w:rsidR="002F423A" w:rsidRPr="00C10D10" w:rsidRDefault="00943C7B" w:rsidP="0091132F">
      <w:pPr>
        <w:pStyle w:val="ListParagraph"/>
        <w:numPr>
          <w:ilvl w:val="0"/>
          <w:numId w:val="7"/>
        </w:numPr>
        <w:autoSpaceDE w:val="0"/>
        <w:autoSpaceDN w:val="0"/>
        <w:adjustRightInd w:val="0"/>
        <w:spacing w:before="120"/>
        <w:contextualSpacing w:val="0"/>
        <w:jc w:val="both"/>
        <w:rPr>
          <w:szCs w:val="24"/>
        </w:rPr>
      </w:pPr>
      <w:r w:rsidRPr="00C10D10">
        <w:rPr>
          <w:szCs w:val="24"/>
        </w:rPr>
        <w:t>The discharge limits should include a margin for flexibility to provide for operational variability</w:t>
      </w:r>
      <w:r w:rsidR="00067D35" w:rsidRPr="00C10D10">
        <w:rPr>
          <w:szCs w:val="24"/>
        </w:rPr>
        <w:t xml:space="preserve"> and for anticipated operational occurrences</w:t>
      </w:r>
      <w:r w:rsidRPr="00C10D10">
        <w:rPr>
          <w:szCs w:val="24"/>
        </w:rPr>
        <w:t>. How much operational flexibility should be permitted is a matter of judg</w:t>
      </w:r>
      <w:r w:rsidR="001E414E" w:rsidRPr="00C10D10">
        <w:rPr>
          <w:szCs w:val="24"/>
        </w:rPr>
        <w:t>e</w:t>
      </w:r>
      <w:r w:rsidRPr="00C10D10">
        <w:rPr>
          <w:szCs w:val="24"/>
        </w:rPr>
        <w:t xml:space="preserve">ment on the part of the regulatory body, but as a minimum it </w:t>
      </w:r>
      <w:r w:rsidR="00903DF9">
        <w:rPr>
          <w:szCs w:val="24"/>
        </w:rPr>
        <w:t>should</w:t>
      </w:r>
      <w:r w:rsidR="00903DF9" w:rsidRPr="00C10D10">
        <w:rPr>
          <w:szCs w:val="24"/>
        </w:rPr>
        <w:t xml:space="preserve"> </w:t>
      </w:r>
      <w:r w:rsidRPr="00C10D10">
        <w:rPr>
          <w:szCs w:val="24"/>
        </w:rPr>
        <w:t xml:space="preserve">allow for </w:t>
      </w:r>
      <w:r w:rsidR="00294E66">
        <w:rPr>
          <w:szCs w:val="24"/>
        </w:rPr>
        <w:t>discharges that</w:t>
      </w:r>
      <w:r w:rsidR="00294E66" w:rsidRPr="00C10D10">
        <w:rPr>
          <w:szCs w:val="24"/>
        </w:rPr>
        <w:t xml:space="preserve"> </w:t>
      </w:r>
      <w:r w:rsidR="00903DF9">
        <w:rPr>
          <w:szCs w:val="24"/>
        </w:rPr>
        <w:t xml:space="preserve">are </w:t>
      </w:r>
      <w:r w:rsidRPr="00C10D10">
        <w:rPr>
          <w:szCs w:val="24"/>
        </w:rPr>
        <w:t xml:space="preserve">anticipated </w:t>
      </w:r>
      <w:r w:rsidR="00903DF9">
        <w:rPr>
          <w:szCs w:val="24"/>
        </w:rPr>
        <w:t>for</w:t>
      </w:r>
      <w:r w:rsidR="00903DF9" w:rsidRPr="00C10D10">
        <w:rPr>
          <w:szCs w:val="24"/>
        </w:rPr>
        <w:t xml:space="preserve"> </w:t>
      </w:r>
      <w:r w:rsidRPr="00C10D10">
        <w:rPr>
          <w:szCs w:val="24"/>
        </w:rPr>
        <w:t>normal operati</w:t>
      </w:r>
      <w:r w:rsidR="00903DF9">
        <w:rPr>
          <w:szCs w:val="24"/>
        </w:rPr>
        <w:t>o</w:t>
      </w:r>
      <w:r w:rsidRPr="00C10D10">
        <w:rPr>
          <w:szCs w:val="24"/>
        </w:rPr>
        <w:t xml:space="preserve">n, </w:t>
      </w:r>
      <w:r w:rsidR="00294E66">
        <w:rPr>
          <w:szCs w:val="24"/>
        </w:rPr>
        <w:t>such as</w:t>
      </w:r>
      <w:r w:rsidRPr="00C10D10">
        <w:rPr>
          <w:szCs w:val="24"/>
        </w:rPr>
        <w:t xml:space="preserve"> an increase in the throughput of patients in a nuclear medicine department or an increase in atmospheric discharges from a nuclear power plant during maintenance. Previous experience from similar facilities can provide useful information on the minimum allowance for </w:t>
      </w:r>
      <w:r w:rsidRPr="00C10D10">
        <w:rPr>
          <w:szCs w:val="24"/>
        </w:rPr>
        <w:lastRenderedPageBreak/>
        <w:t>flexibility that should be permitted [</w:t>
      </w:r>
      <w:r w:rsidR="00275A66">
        <w:rPr>
          <w:szCs w:val="24"/>
        </w:rPr>
        <w:t>30</w:t>
      </w:r>
      <w:r w:rsidRPr="00C10D10">
        <w:rPr>
          <w:szCs w:val="24"/>
        </w:rPr>
        <w:t>]. The need for operational flexibility should be considered as part of the optimization process in setting the discharge limits.</w:t>
      </w:r>
      <w:r w:rsidR="002F423A" w:rsidRPr="00C10D10">
        <w:rPr>
          <w:szCs w:val="24"/>
        </w:rPr>
        <w:t xml:space="preserve"> </w:t>
      </w:r>
    </w:p>
    <w:p w:rsidR="002F423A" w:rsidRPr="00C10D10" w:rsidRDefault="00943C7B" w:rsidP="0091132F">
      <w:pPr>
        <w:pStyle w:val="ListParagraph"/>
        <w:numPr>
          <w:ilvl w:val="0"/>
          <w:numId w:val="7"/>
        </w:numPr>
        <w:autoSpaceDE w:val="0"/>
        <w:autoSpaceDN w:val="0"/>
        <w:adjustRightInd w:val="0"/>
        <w:spacing w:before="120"/>
        <w:contextualSpacing w:val="0"/>
        <w:jc w:val="both"/>
        <w:rPr>
          <w:szCs w:val="24"/>
        </w:rPr>
      </w:pPr>
      <w:r w:rsidRPr="00C10D10">
        <w:rPr>
          <w:szCs w:val="24"/>
        </w:rPr>
        <w:t>Discharge limits should be specified for different radionuclides, or groups of radionuclides depending on:</w:t>
      </w:r>
      <w:r w:rsidR="002F423A" w:rsidRPr="00C10D10">
        <w:rPr>
          <w:szCs w:val="24"/>
        </w:rPr>
        <w:t xml:space="preserve"> </w:t>
      </w:r>
    </w:p>
    <w:p w:rsidR="00943C7B" w:rsidRPr="00C10D10" w:rsidRDefault="00943C7B" w:rsidP="0091132F">
      <w:pPr>
        <w:pStyle w:val="ListNumber2"/>
        <w:numPr>
          <w:ilvl w:val="0"/>
          <w:numId w:val="30"/>
        </w:numPr>
        <w:ind w:left="567" w:hanging="567"/>
        <w:contextualSpacing w:val="0"/>
      </w:pPr>
      <w:r w:rsidRPr="00C10D10">
        <w:t>The feasibility of measurement of the individual radionuclides;</w:t>
      </w:r>
    </w:p>
    <w:p w:rsidR="00943C7B" w:rsidRPr="00C10D10" w:rsidRDefault="00943C7B" w:rsidP="0091132F">
      <w:pPr>
        <w:pStyle w:val="ListNumber2"/>
        <w:numPr>
          <w:ilvl w:val="0"/>
          <w:numId w:val="30"/>
        </w:numPr>
        <w:ind w:left="567" w:hanging="567"/>
        <w:contextualSpacing w:val="0"/>
      </w:pPr>
      <w:r w:rsidRPr="00C10D10">
        <w:t>The significance of the radionuclides in terms of dose to the representative person;</w:t>
      </w:r>
    </w:p>
    <w:p w:rsidR="00943C7B" w:rsidRPr="00C10D10" w:rsidRDefault="00943C7B">
      <w:pPr>
        <w:pStyle w:val="ListNumber2"/>
        <w:numPr>
          <w:ilvl w:val="0"/>
          <w:numId w:val="30"/>
        </w:numPr>
        <w:ind w:left="567" w:hanging="567"/>
        <w:contextualSpacing w:val="0"/>
      </w:pPr>
      <w:r w:rsidRPr="00C10D10">
        <w:t xml:space="preserve">The relevance of the measurement </w:t>
      </w:r>
      <w:r w:rsidR="00903DF9">
        <w:t xml:space="preserve">of the individual radionuclides </w:t>
      </w:r>
      <w:r w:rsidRPr="00C10D10">
        <w:t xml:space="preserve">as an indicator of </w:t>
      </w:r>
      <w:r w:rsidR="00694B14">
        <w:t xml:space="preserve">the </w:t>
      </w:r>
      <w:r w:rsidRPr="00C10D10">
        <w:t>performance</w:t>
      </w:r>
      <w:r w:rsidR="00694B14">
        <w:t xml:space="preserve"> of the facility</w:t>
      </w:r>
      <w:r w:rsidR="00A76FBF">
        <w:t xml:space="preserve"> or activity</w:t>
      </w:r>
      <w:r w:rsidRPr="00C10D10">
        <w:t>.</w:t>
      </w:r>
    </w:p>
    <w:p w:rsidR="007B2D2A" w:rsidRPr="00C10D10" w:rsidRDefault="001F1D7F"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In addition to the discharge limits for groups of radionuclides, discharge limits </w:t>
      </w:r>
      <w:r w:rsidR="00B0295D">
        <w:rPr>
          <w:szCs w:val="24"/>
        </w:rPr>
        <w:t xml:space="preserve">could </w:t>
      </w:r>
      <w:r w:rsidRPr="00C10D10">
        <w:rPr>
          <w:szCs w:val="24"/>
        </w:rPr>
        <w:t xml:space="preserve">be </w:t>
      </w:r>
      <w:r w:rsidR="00E7351C" w:rsidRPr="00C10D10">
        <w:rPr>
          <w:szCs w:val="24"/>
        </w:rPr>
        <w:t>specified for particular</w:t>
      </w:r>
      <w:r w:rsidRPr="00C10D10">
        <w:rPr>
          <w:szCs w:val="24"/>
        </w:rPr>
        <w:t xml:space="preserve"> radionuclides. These radionuclides should be identified on the basis of their special significance, for instance the</w:t>
      </w:r>
      <w:r w:rsidR="00903DF9">
        <w:rPr>
          <w:szCs w:val="24"/>
        </w:rPr>
        <w:t>ir</w:t>
      </w:r>
      <w:r w:rsidRPr="00C10D10">
        <w:rPr>
          <w:szCs w:val="24"/>
        </w:rPr>
        <w:t xml:space="preserve"> radiological </w:t>
      </w:r>
      <w:r w:rsidR="00067D35" w:rsidRPr="00C10D10">
        <w:rPr>
          <w:szCs w:val="24"/>
        </w:rPr>
        <w:t>importance</w:t>
      </w:r>
      <w:r w:rsidRPr="00C10D10">
        <w:rPr>
          <w:szCs w:val="24"/>
        </w:rPr>
        <w:t xml:space="preserve"> or other aspects</w:t>
      </w:r>
      <w:r w:rsidR="00903DF9">
        <w:rPr>
          <w:szCs w:val="24"/>
        </w:rPr>
        <w:t>,</w:t>
      </w:r>
      <w:r w:rsidRPr="00C10D10">
        <w:rPr>
          <w:szCs w:val="24"/>
        </w:rPr>
        <w:t xml:space="preserve"> </w:t>
      </w:r>
      <w:r w:rsidR="00903DF9">
        <w:rPr>
          <w:szCs w:val="24"/>
        </w:rPr>
        <w:t>such as</w:t>
      </w:r>
      <w:r w:rsidR="00903DF9" w:rsidRPr="00C10D10">
        <w:rPr>
          <w:szCs w:val="24"/>
        </w:rPr>
        <w:t xml:space="preserve"> </w:t>
      </w:r>
      <w:r w:rsidRPr="00C10D10">
        <w:rPr>
          <w:szCs w:val="24"/>
        </w:rPr>
        <w:t xml:space="preserve">the involvement of large volumes of liquid or gaseous waste with very low levels of activity concentration. Examples of </w:t>
      </w:r>
      <w:r w:rsidR="00275A66">
        <w:rPr>
          <w:szCs w:val="24"/>
        </w:rPr>
        <w:t>such</w:t>
      </w:r>
      <w:r w:rsidR="00275A66" w:rsidRPr="00C10D10">
        <w:rPr>
          <w:szCs w:val="24"/>
        </w:rPr>
        <w:t xml:space="preserve"> </w:t>
      </w:r>
      <w:r w:rsidRPr="00C10D10">
        <w:rPr>
          <w:szCs w:val="24"/>
        </w:rPr>
        <w:t xml:space="preserve">radionuclides are </w:t>
      </w:r>
      <w:r w:rsidR="00D75207">
        <w:rPr>
          <w:szCs w:val="24"/>
        </w:rPr>
        <w:t>caesium</w:t>
      </w:r>
      <w:r w:rsidRPr="00C10D10">
        <w:rPr>
          <w:szCs w:val="24"/>
        </w:rPr>
        <w:t xml:space="preserve">-137, </w:t>
      </w:r>
      <w:r w:rsidR="00D75207">
        <w:rPr>
          <w:szCs w:val="24"/>
        </w:rPr>
        <w:t>c</w:t>
      </w:r>
      <w:r w:rsidRPr="00C10D10">
        <w:rPr>
          <w:szCs w:val="24"/>
        </w:rPr>
        <w:t>o</w:t>
      </w:r>
      <w:r w:rsidR="00D75207">
        <w:rPr>
          <w:szCs w:val="24"/>
        </w:rPr>
        <w:t>balt</w:t>
      </w:r>
      <w:r w:rsidRPr="00C10D10">
        <w:rPr>
          <w:szCs w:val="24"/>
        </w:rPr>
        <w:t xml:space="preserve">-60, </w:t>
      </w:r>
      <w:r w:rsidR="00D75207">
        <w:rPr>
          <w:szCs w:val="24"/>
        </w:rPr>
        <w:t>carbon</w:t>
      </w:r>
      <w:r w:rsidRPr="00C10D10">
        <w:rPr>
          <w:szCs w:val="24"/>
        </w:rPr>
        <w:t>-14 and tritium</w:t>
      </w:r>
      <w:r w:rsidR="00EA5853" w:rsidRPr="00C10D10">
        <w:rPr>
          <w:szCs w:val="24"/>
        </w:rPr>
        <w:t xml:space="preserve"> (</w:t>
      </w:r>
      <w:r w:rsidR="000B4B98">
        <w:rPr>
          <w:szCs w:val="24"/>
        </w:rPr>
        <w:t>carbon</w:t>
      </w:r>
      <w:r w:rsidR="00EA5853" w:rsidRPr="00C10D10">
        <w:rPr>
          <w:szCs w:val="24"/>
        </w:rPr>
        <w:t xml:space="preserve">-14 and tritium </w:t>
      </w:r>
      <w:r w:rsidR="00541685">
        <w:rPr>
          <w:szCs w:val="24"/>
        </w:rPr>
        <w:t>are</w:t>
      </w:r>
      <w:r w:rsidR="00EA5853" w:rsidRPr="00C10D10">
        <w:rPr>
          <w:szCs w:val="24"/>
        </w:rPr>
        <w:t xml:space="preserve"> </w:t>
      </w:r>
      <w:r w:rsidR="00DE3AE9">
        <w:rPr>
          <w:szCs w:val="24"/>
        </w:rPr>
        <w:t>addressed</w:t>
      </w:r>
      <w:r w:rsidR="00DE3AE9" w:rsidRPr="00C10D10">
        <w:rPr>
          <w:szCs w:val="24"/>
        </w:rPr>
        <w:t xml:space="preserve"> </w:t>
      </w:r>
      <w:r w:rsidR="00EA5853" w:rsidRPr="00C10D10">
        <w:rPr>
          <w:szCs w:val="24"/>
        </w:rPr>
        <w:t>in</w:t>
      </w:r>
      <w:r w:rsidR="00275A66">
        <w:rPr>
          <w:szCs w:val="24"/>
        </w:rPr>
        <w:t xml:space="preserve"> </w:t>
      </w:r>
      <w:r w:rsidR="002A7051" w:rsidRPr="00FD2769">
        <w:rPr>
          <w:szCs w:val="24"/>
        </w:rPr>
        <w:t>paras</w:t>
      </w:r>
      <w:r w:rsidR="00C15878" w:rsidRPr="00FD2769">
        <w:rPr>
          <w:szCs w:val="24"/>
        </w:rPr>
        <w:t xml:space="preserve"> 5.</w:t>
      </w:r>
      <w:r w:rsidR="000B4B98" w:rsidRPr="00FD2769">
        <w:rPr>
          <w:szCs w:val="24"/>
        </w:rPr>
        <w:t>33</w:t>
      </w:r>
      <w:r w:rsidR="00C15878" w:rsidRPr="00FD2769">
        <w:rPr>
          <w:szCs w:val="24"/>
        </w:rPr>
        <w:t xml:space="preserve"> to 5.</w:t>
      </w:r>
      <w:r w:rsidR="000B4B98" w:rsidRPr="00FD2769">
        <w:rPr>
          <w:szCs w:val="24"/>
        </w:rPr>
        <w:t>36</w:t>
      </w:r>
      <w:r w:rsidR="00EA5853" w:rsidRPr="00C10D10">
        <w:rPr>
          <w:szCs w:val="24"/>
        </w:rPr>
        <w:t>)</w:t>
      </w:r>
      <w:r w:rsidRPr="00C10D10">
        <w:rPr>
          <w:szCs w:val="24"/>
        </w:rPr>
        <w:t xml:space="preserve">. In some cases the regulatory body may also impose limits on specific radionuclides </w:t>
      </w:r>
      <w:r w:rsidR="002D1172">
        <w:rPr>
          <w:szCs w:val="24"/>
        </w:rPr>
        <w:t>that have</w:t>
      </w:r>
      <w:r w:rsidR="00877F79">
        <w:rPr>
          <w:szCs w:val="24"/>
        </w:rPr>
        <w:t xml:space="preserve"> low radiological significance, but </w:t>
      </w:r>
      <w:r w:rsidR="002D1172">
        <w:rPr>
          <w:szCs w:val="24"/>
        </w:rPr>
        <w:t>which</w:t>
      </w:r>
      <w:r w:rsidR="002D1172" w:rsidRPr="00C10D10">
        <w:rPr>
          <w:szCs w:val="24"/>
        </w:rPr>
        <w:t xml:space="preserve"> </w:t>
      </w:r>
      <w:r w:rsidRPr="00C10D10">
        <w:rPr>
          <w:szCs w:val="24"/>
        </w:rPr>
        <w:t xml:space="preserve">provide early indications of </w:t>
      </w:r>
      <w:r w:rsidR="00C15878" w:rsidRPr="00C10D10">
        <w:rPr>
          <w:szCs w:val="24"/>
        </w:rPr>
        <w:t xml:space="preserve">important </w:t>
      </w:r>
      <w:r w:rsidRPr="00C10D10">
        <w:rPr>
          <w:szCs w:val="24"/>
        </w:rPr>
        <w:t xml:space="preserve">changes in the </w:t>
      </w:r>
      <w:r w:rsidR="00EA5853" w:rsidRPr="00C10D10">
        <w:rPr>
          <w:szCs w:val="24"/>
        </w:rPr>
        <w:t>operational</w:t>
      </w:r>
      <w:r w:rsidRPr="00C10D10">
        <w:rPr>
          <w:szCs w:val="24"/>
        </w:rPr>
        <w:t xml:space="preserve"> </w:t>
      </w:r>
      <w:r w:rsidR="00F11DA6">
        <w:rPr>
          <w:szCs w:val="24"/>
        </w:rPr>
        <w:t>or safety</w:t>
      </w:r>
      <w:r w:rsidR="00F11DA6" w:rsidRPr="00C10D10">
        <w:rPr>
          <w:szCs w:val="24"/>
        </w:rPr>
        <w:t xml:space="preserve"> </w:t>
      </w:r>
      <w:r w:rsidRPr="00C10D10">
        <w:rPr>
          <w:szCs w:val="24"/>
        </w:rPr>
        <w:t>status</w:t>
      </w:r>
      <w:r w:rsidR="00F11DA6">
        <w:rPr>
          <w:szCs w:val="24"/>
        </w:rPr>
        <w:t xml:space="preserve"> </w:t>
      </w:r>
      <w:r w:rsidRPr="00C10D10">
        <w:rPr>
          <w:szCs w:val="24"/>
        </w:rPr>
        <w:t>of the facility</w:t>
      </w:r>
      <w:r w:rsidR="008C4D3A">
        <w:rPr>
          <w:szCs w:val="24"/>
        </w:rPr>
        <w:t xml:space="preserve"> (e.g. </w:t>
      </w:r>
      <w:r w:rsidR="00840830">
        <w:rPr>
          <w:szCs w:val="24"/>
        </w:rPr>
        <w:t xml:space="preserve">tritium and </w:t>
      </w:r>
      <w:r w:rsidR="008C4D3A">
        <w:rPr>
          <w:szCs w:val="24"/>
        </w:rPr>
        <w:t xml:space="preserve">noble gases from purges in the </w:t>
      </w:r>
      <w:r w:rsidR="008C4D3A" w:rsidRPr="008C4D3A">
        <w:rPr>
          <w:szCs w:val="24"/>
        </w:rPr>
        <w:t>coolant systems or steam systems</w:t>
      </w:r>
      <w:r w:rsidR="008C4D3A">
        <w:rPr>
          <w:szCs w:val="24"/>
        </w:rPr>
        <w:t xml:space="preserve"> in nuclear reactors)</w:t>
      </w:r>
      <w:r w:rsidR="00EA5853" w:rsidRPr="00C10D10">
        <w:rPr>
          <w:szCs w:val="24"/>
        </w:rPr>
        <w:t>.</w:t>
      </w:r>
    </w:p>
    <w:p w:rsidR="002D1172" w:rsidRDefault="00943C7B"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Discharge limits for groups of radionuclides rather than </w:t>
      </w:r>
      <w:r w:rsidR="002D1172">
        <w:rPr>
          <w:szCs w:val="24"/>
        </w:rPr>
        <w:t xml:space="preserve">for </w:t>
      </w:r>
      <w:r w:rsidRPr="00C10D10">
        <w:rPr>
          <w:szCs w:val="24"/>
        </w:rPr>
        <w:t xml:space="preserve">individual radionuclides may be appropriate when the radionuclides share relevant characteristics so that they </w:t>
      </w:r>
      <w:r w:rsidR="00857B45" w:rsidRPr="00C10D10">
        <w:rPr>
          <w:szCs w:val="24"/>
        </w:rPr>
        <w:t xml:space="preserve">can </w:t>
      </w:r>
      <w:r w:rsidRPr="00C10D10">
        <w:rPr>
          <w:szCs w:val="24"/>
        </w:rPr>
        <w:t xml:space="preserve">be measured with gross counting techniques. </w:t>
      </w:r>
      <w:r w:rsidR="00067D35" w:rsidRPr="00C10D10">
        <w:rPr>
          <w:szCs w:val="24"/>
        </w:rPr>
        <w:t xml:space="preserve">The use of scaling factors </w:t>
      </w:r>
      <w:r w:rsidR="00275A66">
        <w:rPr>
          <w:szCs w:val="24"/>
        </w:rPr>
        <w:t xml:space="preserve">for </w:t>
      </w:r>
      <w:r w:rsidR="007B47E5">
        <w:rPr>
          <w:szCs w:val="24"/>
        </w:rPr>
        <w:t xml:space="preserve">relating </w:t>
      </w:r>
      <w:r w:rsidR="002D1172">
        <w:rPr>
          <w:szCs w:val="24"/>
        </w:rPr>
        <w:t>one</w:t>
      </w:r>
      <w:r w:rsidR="007B47E5">
        <w:rPr>
          <w:szCs w:val="24"/>
        </w:rPr>
        <w:t xml:space="preserve"> measured radionuclide to others </w:t>
      </w:r>
      <w:r w:rsidR="00067D35" w:rsidRPr="00C10D10">
        <w:rPr>
          <w:szCs w:val="24"/>
        </w:rPr>
        <w:t xml:space="preserve">should be applied for radionuclides that cannot be promptly analysed as part of routine measurements at </w:t>
      </w:r>
      <w:r w:rsidR="002D1172">
        <w:rPr>
          <w:szCs w:val="24"/>
        </w:rPr>
        <w:t xml:space="preserve">a </w:t>
      </w:r>
      <w:r w:rsidR="00067D35" w:rsidRPr="00C10D10">
        <w:rPr>
          <w:szCs w:val="24"/>
        </w:rPr>
        <w:t xml:space="preserve">nuclear </w:t>
      </w:r>
      <w:r w:rsidR="000045D3">
        <w:rPr>
          <w:szCs w:val="24"/>
        </w:rPr>
        <w:t>installation</w:t>
      </w:r>
      <w:r w:rsidR="00067D35" w:rsidRPr="00C10D10">
        <w:rPr>
          <w:szCs w:val="24"/>
        </w:rPr>
        <w:t xml:space="preserve"> (for example, </w:t>
      </w:r>
      <w:r w:rsidR="00B63493">
        <w:rPr>
          <w:szCs w:val="24"/>
        </w:rPr>
        <w:t>nickel</w:t>
      </w:r>
      <w:r w:rsidR="00067D35" w:rsidRPr="00C10D10">
        <w:rPr>
          <w:szCs w:val="24"/>
        </w:rPr>
        <w:t xml:space="preserve">-63, </w:t>
      </w:r>
      <w:r w:rsidR="00B63493">
        <w:rPr>
          <w:szCs w:val="24"/>
        </w:rPr>
        <w:t>iron</w:t>
      </w:r>
      <w:r w:rsidR="00067D35" w:rsidRPr="00C10D10">
        <w:rPr>
          <w:szCs w:val="24"/>
        </w:rPr>
        <w:t xml:space="preserve">-55 and </w:t>
      </w:r>
      <w:r w:rsidR="00B63493">
        <w:rPr>
          <w:szCs w:val="24"/>
        </w:rPr>
        <w:t>strontium</w:t>
      </w:r>
      <w:r w:rsidR="00067D35" w:rsidRPr="00C10D10">
        <w:rPr>
          <w:szCs w:val="24"/>
        </w:rPr>
        <w:t>-90).</w:t>
      </w:r>
      <w:r w:rsidR="00E7351C" w:rsidRPr="00C10D10">
        <w:rPr>
          <w:szCs w:val="24"/>
        </w:rPr>
        <w:t xml:space="preserve"> </w:t>
      </w:r>
      <w:r w:rsidR="000359A3">
        <w:rPr>
          <w:szCs w:val="24"/>
        </w:rPr>
        <w:t xml:space="preserve">Scaling factors should be derived </w:t>
      </w:r>
      <w:r w:rsidR="002D1172">
        <w:rPr>
          <w:szCs w:val="24"/>
        </w:rPr>
        <w:t xml:space="preserve">from </w:t>
      </w:r>
      <w:r w:rsidR="000359A3">
        <w:rPr>
          <w:szCs w:val="24"/>
        </w:rPr>
        <w:t xml:space="preserve">a sufficient number of </w:t>
      </w:r>
      <w:r w:rsidR="006D6239">
        <w:rPr>
          <w:szCs w:val="24"/>
        </w:rPr>
        <w:t xml:space="preserve">detailed </w:t>
      </w:r>
      <w:r w:rsidR="000359A3">
        <w:rPr>
          <w:szCs w:val="24"/>
        </w:rPr>
        <w:t>measurements</w:t>
      </w:r>
      <w:r w:rsidR="006D6239">
        <w:rPr>
          <w:szCs w:val="24"/>
        </w:rPr>
        <w:t xml:space="preserve"> </w:t>
      </w:r>
      <w:r w:rsidR="007B47E5">
        <w:rPr>
          <w:szCs w:val="24"/>
        </w:rPr>
        <w:t>to determine the characteristic radionuclide composition in the effluents</w:t>
      </w:r>
      <w:r w:rsidR="006D6239">
        <w:rPr>
          <w:szCs w:val="24"/>
        </w:rPr>
        <w:t xml:space="preserve">, </w:t>
      </w:r>
      <w:r w:rsidR="00815589">
        <w:rPr>
          <w:szCs w:val="24"/>
        </w:rPr>
        <w:t>using adequate</w:t>
      </w:r>
      <w:r w:rsidR="006D6239">
        <w:rPr>
          <w:szCs w:val="24"/>
        </w:rPr>
        <w:t xml:space="preserve"> method</w:t>
      </w:r>
      <w:r w:rsidR="00815589">
        <w:rPr>
          <w:szCs w:val="24"/>
        </w:rPr>
        <w:t>s</w:t>
      </w:r>
      <w:r w:rsidR="006D6239">
        <w:rPr>
          <w:szCs w:val="24"/>
        </w:rPr>
        <w:t xml:space="preserve"> and </w:t>
      </w:r>
      <w:r w:rsidR="002D1172">
        <w:rPr>
          <w:szCs w:val="24"/>
        </w:rPr>
        <w:t xml:space="preserve">taking into account </w:t>
      </w:r>
      <w:r w:rsidR="006D6239">
        <w:rPr>
          <w:szCs w:val="24"/>
        </w:rPr>
        <w:t>detection limit</w:t>
      </w:r>
      <w:r w:rsidR="00815589">
        <w:rPr>
          <w:szCs w:val="24"/>
        </w:rPr>
        <w:t>s</w:t>
      </w:r>
      <w:r w:rsidR="002D1172">
        <w:rPr>
          <w:szCs w:val="24"/>
        </w:rPr>
        <w:t>.</w:t>
      </w:r>
      <w:r w:rsidR="00C505DE">
        <w:rPr>
          <w:szCs w:val="24"/>
        </w:rPr>
        <w:t xml:space="preserve"> </w:t>
      </w:r>
      <w:r w:rsidR="002D1172">
        <w:rPr>
          <w:szCs w:val="24"/>
        </w:rPr>
        <w:t xml:space="preserve">The scaling factors </w:t>
      </w:r>
      <w:r w:rsidR="006D6239">
        <w:rPr>
          <w:szCs w:val="24"/>
        </w:rPr>
        <w:t xml:space="preserve">should be reviewed periodically. </w:t>
      </w:r>
    </w:p>
    <w:p w:rsidR="002F423A" w:rsidRPr="00C10D10" w:rsidRDefault="00A83F51" w:rsidP="0091132F">
      <w:pPr>
        <w:pStyle w:val="ListParagraph"/>
        <w:numPr>
          <w:ilvl w:val="0"/>
          <w:numId w:val="7"/>
        </w:numPr>
        <w:autoSpaceDE w:val="0"/>
        <w:autoSpaceDN w:val="0"/>
        <w:adjustRightInd w:val="0"/>
        <w:spacing w:before="120"/>
        <w:contextualSpacing w:val="0"/>
        <w:jc w:val="both"/>
        <w:rPr>
          <w:szCs w:val="24"/>
        </w:rPr>
      </w:pPr>
      <w:r>
        <w:rPr>
          <w:szCs w:val="24"/>
        </w:rPr>
        <w:t>The group</w:t>
      </w:r>
      <w:r w:rsidR="002E1B3A">
        <w:rPr>
          <w:szCs w:val="24"/>
        </w:rPr>
        <w:t>ing</w:t>
      </w:r>
      <w:r>
        <w:rPr>
          <w:szCs w:val="24"/>
        </w:rPr>
        <w:t xml:space="preserve"> of radionuclides should </w:t>
      </w:r>
      <w:r w:rsidR="002E1B3A">
        <w:rPr>
          <w:szCs w:val="24"/>
        </w:rPr>
        <w:t>take into account no</w:t>
      </w:r>
      <w:r>
        <w:rPr>
          <w:szCs w:val="24"/>
        </w:rPr>
        <w:t>t only the</w:t>
      </w:r>
      <w:r w:rsidRPr="00C10D10">
        <w:rPr>
          <w:szCs w:val="24"/>
        </w:rPr>
        <w:t xml:space="preserve"> different ways of sampling and quantifying the discharges</w:t>
      </w:r>
      <w:r w:rsidR="002E1B3A">
        <w:rPr>
          <w:szCs w:val="24"/>
        </w:rPr>
        <w:t>,</w:t>
      </w:r>
      <w:r w:rsidRPr="00C10D10">
        <w:rPr>
          <w:szCs w:val="24"/>
        </w:rPr>
        <w:t xml:space="preserve"> </w:t>
      </w:r>
      <w:r>
        <w:rPr>
          <w:szCs w:val="24"/>
        </w:rPr>
        <w:t>but</w:t>
      </w:r>
      <w:r w:rsidRPr="00C10D10">
        <w:rPr>
          <w:szCs w:val="24"/>
        </w:rPr>
        <w:t xml:space="preserve"> also </w:t>
      </w:r>
      <w:proofErr w:type="spellStart"/>
      <w:r w:rsidRPr="00C10D10">
        <w:rPr>
          <w:szCs w:val="24"/>
        </w:rPr>
        <w:t>dosimetric</w:t>
      </w:r>
      <w:proofErr w:type="spellEnd"/>
      <w:r w:rsidRPr="00C10D10">
        <w:rPr>
          <w:szCs w:val="24"/>
        </w:rPr>
        <w:t xml:space="preserve"> considerations</w:t>
      </w:r>
      <w:r>
        <w:rPr>
          <w:szCs w:val="24"/>
        </w:rPr>
        <w:t>. For example, a</w:t>
      </w:r>
      <w:r w:rsidR="00943C7B" w:rsidRPr="00C10D10">
        <w:rPr>
          <w:szCs w:val="24"/>
        </w:rPr>
        <w:t xml:space="preserve">irborne discharges from nuclear </w:t>
      </w:r>
      <w:r w:rsidR="000045D3">
        <w:rPr>
          <w:szCs w:val="24"/>
        </w:rPr>
        <w:t>installations</w:t>
      </w:r>
      <w:r w:rsidR="00D4029B" w:rsidRPr="00C10D10">
        <w:rPr>
          <w:szCs w:val="24"/>
        </w:rPr>
        <w:t xml:space="preserve"> </w:t>
      </w:r>
      <w:r w:rsidR="00943C7B" w:rsidRPr="00C10D10">
        <w:rPr>
          <w:szCs w:val="24"/>
        </w:rPr>
        <w:t xml:space="preserve">are often grouped as noble gases, halogens or iodine </w:t>
      </w:r>
      <w:r w:rsidR="00B63493">
        <w:rPr>
          <w:szCs w:val="24"/>
        </w:rPr>
        <w:t>radio</w:t>
      </w:r>
      <w:r w:rsidR="00943C7B" w:rsidRPr="00C10D10">
        <w:rPr>
          <w:szCs w:val="24"/>
        </w:rPr>
        <w:t xml:space="preserve">isotopes, and particulates. This grouping </w:t>
      </w:r>
      <w:r w:rsidR="002E1B3A">
        <w:rPr>
          <w:szCs w:val="24"/>
        </w:rPr>
        <w:t>reflects</w:t>
      </w:r>
      <w:r w:rsidR="00246EB9" w:rsidRPr="00C10D10">
        <w:rPr>
          <w:szCs w:val="24"/>
        </w:rPr>
        <w:t xml:space="preserve"> </w:t>
      </w:r>
      <w:r w:rsidR="00246EB9">
        <w:rPr>
          <w:szCs w:val="24"/>
        </w:rPr>
        <w:t>that</w:t>
      </w:r>
      <w:r w:rsidR="00943C7B" w:rsidRPr="00C10D10">
        <w:rPr>
          <w:szCs w:val="24"/>
        </w:rPr>
        <w:t xml:space="preserve"> noble gases result in external exposure </w:t>
      </w:r>
      <w:r w:rsidR="002D1172">
        <w:rPr>
          <w:szCs w:val="24"/>
        </w:rPr>
        <w:t>of</w:t>
      </w:r>
      <w:r w:rsidR="002D1172" w:rsidRPr="00C10D10">
        <w:rPr>
          <w:szCs w:val="24"/>
        </w:rPr>
        <w:t xml:space="preserve"> </w:t>
      </w:r>
      <w:r w:rsidR="00943C7B" w:rsidRPr="00C10D10">
        <w:rPr>
          <w:szCs w:val="24"/>
        </w:rPr>
        <w:t xml:space="preserve">the whole body; iodine </w:t>
      </w:r>
      <w:r w:rsidR="00B63493">
        <w:rPr>
          <w:szCs w:val="24"/>
        </w:rPr>
        <w:t>radio</w:t>
      </w:r>
      <w:r w:rsidR="00943C7B" w:rsidRPr="00C10D10">
        <w:rPr>
          <w:szCs w:val="24"/>
        </w:rPr>
        <w:t xml:space="preserve">isotopes result in thyroid doses; and </w:t>
      </w:r>
      <w:r w:rsidR="00943C7B" w:rsidRPr="00C10D10">
        <w:rPr>
          <w:szCs w:val="24"/>
        </w:rPr>
        <w:lastRenderedPageBreak/>
        <w:t xml:space="preserve">particulates usually present a potential </w:t>
      </w:r>
      <w:r w:rsidR="00374556" w:rsidRPr="00C10D10">
        <w:rPr>
          <w:szCs w:val="24"/>
        </w:rPr>
        <w:t>hazard f</w:t>
      </w:r>
      <w:r w:rsidR="00B63493">
        <w:rPr>
          <w:szCs w:val="24"/>
        </w:rPr>
        <w:t>rom</w:t>
      </w:r>
      <w:r w:rsidR="00374556" w:rsidRPr="00C10D10">
        <w:rPr>
          <w:szCs w:val="24"/>
        </w:rPr>
        <w:t xml:space="preserve"> </w:t>
      </w:r>
      <w:r w:rsidR="00943C7B" w:rsidRPr="00C10D10">
        <w:rPr>
          <w:szCs w:val="24"/>
        </w:rPr>
        <w:t>inhalation or ingestion to all of the organs and tissues of the body.</w:t>
      </w:r>
      <w:r w:rsidR="002F423A" w:rsidRPr="00C10D10">
        <w:rPr>
          <w:szCs w:val="24"/>
        </w:rPr>
        <w:t xml:space="preserve"> </w:t>
      </w:r>
    </w:p>
    <w:p w:rsidR="002F423A" w:rsidRPr="00C10D10" w:rsidRDefault="00943C7B" w:rsidP="0091132F">
      <w:pPr>
        <w:pStyle w:val="ListParagraph"/>
        <w:numPr>
          <w:ilvl w:val="0"/>
          <w:numId w:val="7"/>
        </w:numPr>
        <w:autoSpaceDE w:val="0"/>
        <w:autoSpaceDN w:val="0"/>
        <w:adjustRightInd w:val="0"/>
        <w:spacing w:before="120"/>
        <w:contextualSpacing w:val="0"/>
        <w:jc w:val="both"/>
        <w:rPr>
          <w:szCs w:val="24"/>
        </w:rPr>
      </w:pPr>
      <w:r w:rsidRPr="00C10D10">
        <w:rPr>
          <w:szCs w:val="24"/>
        </w:rPr>
        <w:t>The grouping may also be extended to include gross alpha and gross beta activities. When limits are specified for groups of radionuclides measured by gross alpha or gross beta counting, the discharge limit for the group should be set on the basis of the characteristics of the radionuclide that gives the highest dose per unit activity discharged</w:t>
      </w:r>
      <w:r w:rsidRPr="00421E96">
        <w:rPr>
          <w:szCs w:val="24"/>
        </w:rPr>
        <w:t>.</w:t>
      </w:r>
      <w:r w:rsidR="002F423A" w:rsidRPr="002B17EE">
        <w:rPr>
          <w:szCs w:val="24"/>
        </w:rPr>
        <w:t xml:space="preserve"> </w:t>
      </w:r>
      <w:r w:rsidR="00421E96" w:rsidRPr="00EA7E84">
        <w:rPr>
          <w:szCs w:val="24"/>
        </w:rPr>
        <w:t xml:space="preserve">In the case of uranium discharges, a limit expressed </w:t>
      </w:r>
      <w:r w:rsidR="00951757">
        <w:rPr>
          <w:szCs w:val="24"/>
        </w:rPr>
        <w:t>as a</w:t>
      </w:r>
      <w:r w:rsidR="00421E96" w:rsidRPr="00EA7E84">
        <w:rPr>
          <w:szCs w:val="24"/>
        </w:rPr>
        <w:t xml:space="preserve"> </w:t>
      </w:r>
      <w:r w:rsidR="00245163">
        <w:rPr>
          <w:szCs w:val="24"/>
        </w:rPr>
        <w:t xml:space="preserve">mass </w:t>
      </w:r>
      <w:r w:rsidR="00951757">
        <w:rPr>
          <w:szCs w:val="24"/>
        </w:rPr>
        <w:t>in</w:t>
      </w:r>
      <w:r w:rsidR="00245163">
        <w:rPr>
          <w:szCs w:val="24"/>
        </w:rPr>
        <w:t xml:space="preserve"> </w:t>
      </w:r>
      <w:r w:rsidR="00421E96" w:rsidRPr="00EA7E84">
        <w:rPr>
          <w:szCs w:val="24"/>
        </w:rPr>
        <w:t>kg</w:t>
      </w:r>
      <w:r w:rsidR="007B47E5">
        <w:rPr>
          <w:szCs w:val="24"/>
        </w:rPr>
        <w:t xml:space="preserve"> per year</w:t>
      </w:r>
      <w:r w:rsidR="006713AC">
        <w:rPr>
          <w:szCs w:val="24"/>
        </w:rPr>
        <w:t xml:space="preserve">, </w:t>
      </w:r>
      <w:r w:rsidR="00421E96" w:rsidRPr="00EA7E84">
        <w:rPr>
          <w:szCs w:val="24"/>
        </w:rPr>
        <w:t xml:space="preserve">with consideration of the </w:t>
      </w:r>
      <w:r w:rsidR="00951757">
        <w:rPr>
          <w:szCs w:val="24"/>
        </w:rPr>
        <w:t xml:space="preserve">contribution </w:t>
      </w:r>
      <w:r w:rsidR="00421E96" w:rsidRPr="00EA7E84">
        <w:rPr>
          <w:szCs w:val="24"/>
        </w:rPr>
        <w:t>of each uranium isotope</w:t>
      </w:r>
      <w:r w:rsidR="002D1172">
        <w:rPr>
          <w:szCs w:val="24"/>
        </w:rPr>
        <w:t>,</w:t>
      </w:r>
      <w:r w:rsidR="00421E96" w:rsidRPr="00EA7E84">
        <w:rPr>
          <w:szCs w:val="24"/>
        </w:rPr>
        <w:t xml:space="preserve"> may be more appropriate than a limit on gross alpha</w:t>
      </w:r>
      <w:r w:rsidR="00951757">
        <w:rPr>
          <w:szCs w:val="24"/>
        </w:rPr>
        <w:t xml:space="preserve"> activity</w:t>
      </w:r>
      <w:r w:rsidR="00421E96" w:rsidRPr="00EA7E84">
        <w:rPr>
          <w:szCs w:val="24"/>
        </w:rPr>
        <w:t>.</w:t>
      </w:r>
    </w:p>
    <w:p w:rsidR="002F423A" w:rsidRPr="00C10D10" w:rsidRDefault="00474DFA" w:rsidP="0091132F">
      <w:pPr>
        <w:pStyle w:val="ListParagraph"/>
        <w:numPr>
          <w:ilvl w:val="0"/>
          <w:numId w:val="7"/>
        </w:numPr>
        <w:autoSpaceDE w:val="0"/>
        <w:autoSpaceDN w:val="0"/>
        <w:adjustRightInd w:val="0"/>
        <w:spacing w:before="120"/>
        <w:contextualSpacing w:val="0"/>
        <w:jc w:val="both"/>
        <w:rPr>
          <w:szCs w:val="24"/>
        </w:rPr>
      </w:pPr>
      <w:r w:rsidRPr="00C10D10">
        <w:rPr>
          <w:szCs w:val="24"/>
          <w:lang w:eastAsia="en-GB"/>
        </w:rPr>
        <w:t>The regulatory body should include in the authorization</w:t>
      </w:r>
      <w:r w:rsidR="00EC4BBC">
        <w:rPr>
          <w:szCs w:val="24"/>
          <w:lang w:eastAsia="en-GB"/>
        </w:rPr>
        <w:t xml:space="preserve"> for discharges</w:t>
      </w:r>
      <w:r w:rsidR="00D720A3">
        <w:rPr>
          <w:szCs w:val="24"/>
          <w:lang w:eastAsia="en-GB"/>
        </w:rPr>
        <w:t>,</w:t>
      </w:r>
      <w:r w:rsidR="002B17EE">
        <w:rPr>
          <w:szCs w:val="24"/>
          <w:lang w:eastAsia="en-GB"/>
        </w:rPr>
        <w:t xml:space="preserve"> or in other regulatory document</w:t>
      </w:r>
      <w:r w:rsidR="00275A66">
        <w:rPr>
          <w:szCs w:val="24"/>
          <w:lang w:eastAsia="en-GB"/>
        </w:rPr>
        <w:t>s</w:t>
      </w:r>
      <w:r w:rsidR="002B17EE">
        <w:rPr>
          <w:szCs w:val="24"/>
          <w:lang w:eastAsia="en-GB"/>
        </w:rPr>
        <w:t>,</w:t>
      </w:r>
      <w:r w:rsidRPr="00C10D10">
        <w:rPr>
          <w:szCs w:val="24"/>
          <w:lang w:eastAsia="en-GB"/>
        </w:rPr>
        <w:t xml:space="preserve"> conditions </w:t>
      </w:r>
      <w:r w:rsidR="00D720A3">
        <w:rPr>
          <w:szCs w:val="24"/>
          <w:lang w:eastAsia="en-GB"/>
        </w:rPr>
        <w:t xml:space="preserve">and anomalies </w:t>
      </w:r>
      <w:r w:rsidR="00246EB9">
        <w:rPr>
          <w:szCs w:val="24"/>
          <w:lang w:eastAsia="en-GB"/>
        </w:rPr>
        <w:t xml:space="preserve">to be </w:t>
      </w:r>
      <w:r w:rsidRPr="00C10D10">
        <w:rPr>
          <w:szCs w:val="24"/>
          <w:lang w:eastAsia="en-GB"/>
        </w:rPr>
        <w:t xml:space="preserve"> report</w:t>
      </w:r>
      <w:r w:rsidR="00246EB9">
        <w:rPr>
          <w:szCs w:val="24"/>
          <w:lang w:eastAsia="en-GB"/>
        </w:rPr>
        <w:t>ed</w:t>
      </w:r>
      <w:r w:rsidRPr="00C10D10">
        <w:rPr>
          <w:szCs w:val="24"/>
          <w:lang w:eastAsia="en-GB"/>
        </w:rPr>
        <w:t xml:space="preserve">, </w:t>
      </w:r>
      <w:r w:rsidR="00951757">
        <w:rPr>
          <w:szCs w:val="24"/>
          <w:lang w:eastAsia="en-GB"/>
        </w:rPr>
        <w:t>such as</w:t>
      </w:r>
      <w:r w:rsidRPr="00C10D10">
        <w:rPr>
          <w:szCs w:val="24"/>
          <w:lang w:eastAsia="en-GB"/>
        </w:rPr>
        <w:t>:</w:t>
      </w:r>
      <w:r w:rsidR="002F423A" w:rsidRPr="00C10D10">
        <w:rPr>
          <w:szCs w:val="24"/>
        </w:rPr>
        <w:t xml:space="preserve"> </w:t>
      </w:r>
    </w:p>
    <w:p w:rsidR="00943C7B" w:rsidRPr="00C10D10" w:rsidRDefault="00943C7B" w:rsidP="0091132F">
      <w:pPr>
        <w:pStyle w:val="ListParagraph"/>
        <w:numPr>
          <w:ilvl w:val="1"/>
          <w:numId w:val="9"/>
        </w:numPr>
        <w:autoSpaceDE w:val="0"/>
        <w:autoSpaceDN w:val="0"/>
        <w:adjustRightInd w:val="0"/>
        <w:spacing w:before="120"/>
        <w:ind w:left="567" w:hanging="567"/>
        <w:contextualSpacing w:val="0"/>
        <w:jc w:val="both"/>
        <w:rPr>
          <w:szCs w:val="24"/>
          <w:lang w:eastAsia="en-GB"/>
        </w:rPr>
      </w:pPr>
      <w:r w:rsidRPr="00C10D10">
        <w:rPr>
          <w:szCs w:val="24"/>
          <w:lang w:eastAsia="en-GB"/>
        </w:rPr>
        <w:t>Any levels exceeding the operational limits and conditions relating to public exposure, including authorized limits on discharges, in accordance with reporting criteria established by the regulatory body;</w:t>
      </w:r>
    </w:p>
    <w:p w:rsidR="00943C7B" w:rsidRPr="00C10D10" w:rsidRDefault="00943C7B" w:rsidP="0091132F">
      <w:pPr>
        <w:pStyle w:val="ListParagraph"/>
        <w:numPr>
          <w:ilvl w:val="1"/>
          <w:numId w:val="9"/>
        </w:numPr>
        <w:spacing w:before="120"/>
        <w:ind w:left="567" w:hanging="567"/>
        <w:contextualSpacing w:val="0"/>
        <w:jc w:val="both"/>
        <w:rPr>
          <w:szCs w:val="24"/>
          <w:lang w:eastAsia="en-GB"/>
        </w:rPr>
      </w:pPr>
      <w:r w:rsidRPr="00C10D10">
        <w:rPr>
          <w:szCs w:val="24"/>
          <w:lang w:eastAsia="en-GB"/>
        </w:rPr>
        <w:t>Any significant increase in dose rate or concentrations of radionuclides in the environment that could be attributed to the authorized practice, in accordance with reporting criteria established by the regulatory body.</w:t>
      </w:r>
    </w:p>
    <w:p w:rsidR="00545DB3" w:rsidRPr="00C10D10" w:rsidRDefault="00D720A3" w:rsidP="00545DB3">
      <w:pPr>
        <w:pStyle w:val="ListParagraph"/>
        <w:autoSpaceDE w:val="0"/>
        <w:autoSpaceDN w:val="0"/>
        <w:adjustRightInd w:val="0"/>
        <w:spacing w:before="120"/>
        <w:contextualSpacing w:val="0"/>
        <w:jc w:val="both"/>
        <w:rPr>
          <w:szCs w:val="24"/>
        </w:rPr>
      </w:pPr>
      <w:r>
        <w:rPr>
          <w:szCs w:val="24"/>
          <w:lang w:eastAsia="en-GB"/>
        </w:rPr>
        <w:t>This is further described in paras 5.88 to 5.91.</w:t>
      </w:r>
      <w:r w:rsidRPr="00D720A3">
        <w:rPr>
          <w:szCs w:val="24"/>
        </w:rPr>
        <w:t xml:space="preserve"> </w:t>
      </w:r>
    </w:p>
    <w:p w:rsidR="007D32C1" w:rsidRPr="00C10D10" w:rsidRDefault="00474DFA" w:rsidP="0091132F">
      <w:pPr>
        <w:pStyle w:val="ListParagraph"/>
        <w:numPr>
          <w:ilvl w:val="0"/>
          <w:numId w:val="7"/>
        </w:numPr>
        <w:autoSpaceDE w:val="0"/>
        <w:autoSpaceDN w:val="0"/>
        <w:adjustRightInd w:val="0"/>
        <w:spacing w:before="120"/>
        <w:contextualSpacing w:val="0"/>
        <w:jc w:val="both"/>
        <w:rPr>
          <w:rStyle w:val="CommentReference"/>
          <w:sz w:val="24"/>
          <w:szCs w:val="24"/>
        </w:rPr>
      </w:pPr>
      <w:r w:rsidRPr="00C10D10">
        <w:rPr>
          <w:szCs w:val="24"/>
          <w:lang w:eastAsia="en-GB"/>
        </w:rPr>
        <w:t xml:space="preserve">The </w:t>
      </w:r>
      <w:r w:rsidR="005A3563" w:rsidRPr="00C10D10">
        <w:rPr>
          <w:szCs w:val="24"/>
          <w:lang w:eastAsia="en-GB"/>
        </w:rPr>
        <w:t>operating organization</w:t>
      </w:r>
      <w:r w:rsidRPr="00C10D10">
        <w:rPr>
          <w:szCs w:val="24"/>
          <w:lang w:eastAsia="en-GB"/>
        </w:rPr>
        <w:t xml:space="preserve"> should make</w:t>
      </w:r>
      <w:r w:rsidR="00943C7B" w:rsidRPr="00C10D10">
        <w:rPr>
          <w:szCs w:val="24"/>
          <w:lang w:eastAsia="en-GB"/>
        </w:rPr>
        <w:t xml:space="preserve"> available</w:t>
      </w:r>
      <w:r w:rsidR="00D720A3">
        <w:rPr>
          <w:szCs w:val="24"/>
          <w:lang w:eastAsia="en-GB"/>
        </w:rPr>
        <w:t>,</w:t>
      </w:r>
      <w:r w:rsidR="00943C7B" w:rsidRPr="00C10D10">
        <w:rPr>
          <w:szCs w:val="24"/>
          <w:lang w:eastAsia="en-GB"/>
        </w:rPr>
        <w:t xml:space="preserve"> on request, results from source monitoring. This </w:t>
      </w:r>
      <w:r w:rsidRPr="00C10D10">
        <w:rPr>
          <w:szCs w:val="24"/>
          <w:lang w:eastAsia="en-GB"/>
        </w:rPr>
        <w:t xml:space="preserve">request </w:t>
      </w:r>
      <w:r w:rsidR="00943C7B" w:rsidRPr="00C10D10">
        <w:rPr>
          <w:szCs w:val="24"/>
          <w:lang w:eastAsia="en-GB"/>
        </w:rPr>
        <w:t xml:space="preserve">may be incorporated within the </w:t>
      </w:r>
      <w:r w:rsidR="00161040">
        <w:rPr>
          <w:szCs w:val="24"/>
          <w:lang w:eastAsia="en-GB"/>
        </w:rPr>
        <w:t xml:space="preserve">operational </w:t>
      </w:r>
      <w:r w:rsidR="00161040" w:rsidRPr="00161040">
        <w:rPr>
          <w:szCs w:val="24"/>
        </w:rPr>
        <w:t xml:space="preserve">limits and </w:t>
      </w:r>
      <w:r w:rsidR="00943C7B" w:rsidRPr="00C10D10">
        <w:rPr>
          <w:szCs w:val="24"/>
          <w:lang w:eastAsia="en-GB"/>
        </w:rPr>
        <w:t>conditions of the authorization or specified in other regulatory documents.</w:t>
      </w:r>
      <w:r w:rsidR="00CC39B0" w:rsidRPr="00C10D10">
        <w:rPr>
          <w:szCs w:val="24"/>
        </w:rPr>
        <w:t xml:space="preserve"> </w:t>
      </w:r>
      <w:r w:rsidR="00943C7B" w:rsidRPr="00C10D10">
        <w:rPr>
          <w:szCs w:val="24"/>
          <w:lang w:eastAsia="en-GB"/>
        </w:rPr>
        <w:t xml:space="preserve">Annex </w:t>
      </w:r>
      <w:r w:rsidR="00951757">
        <w:rPr>
          <w:szCs w:val="24"/>
          <w:lang w:eastAsia="en-GB"/>
        </w:rPr>
        <w:t xml:space="preserve">I </w:t>
      </w:r>
      <w:r w:rsidR="00943C7B" w:rsidRPr="00C10D10">
        <w:rPr>
          <w:szCs w:val="24"/>
          <w:lang w:eastAsia="en-GB"/>
        </w:rPr>
        <w:t xml:space="preserve">provides further information on the possible </w:t>
      </w:r>
      <w:r w:rsidR="007D32C1" w:rsidRPr="00C10D10">
        <w:rPr>
          <w:szCs w:val="24"/>
          <w:lang w:eastAsia="en-GB"/>
        </w:rPr>
        <w:t>forms</w:t>
      </w:r>
      <w:r w:rsidR="00943C7B" w:rsidRPr="00C10D10">
        <w:rPr>
          <w:szCs w:val="24"/>
          <w:lang w:eastAsia="en-GB"/>
        </w:rPr>
        <w:t xml:space="preserve"> of a</w:t>
      </w:r>
      <w:r w:rsidR="00F73CB8">
        <w:rPr>
          <w:szCs w:val="24"/>
          <w:lang w:eastAsia="en-GB"/>
        </w:rPr>
        <w:t>n</w:t>
      </w:r>
      <w:r w:rsidR="00943C7B" w:rsidRPr="00C10D10">
        <w:rPr>
          <w:szCs w:val="24"/>
          <w:lang w:eastAsia="en-GB"/>
        </w:rPr>
        <w:t xml:space="preserve"> </w:t>
      </w:r>
      <w:r w:rsidR="00F73CB8">
        <w:rPr>
          <w:szCs w:val="24"/>
          <w:lang w:eastAsia="en-GB"/>
        </w:rPr>
        <w:t>authorization for discharges</w:t>
      </w:r>
      <w:r w:rsidR="002E3E3D" w:rsidRPr="00C10D10">
        <w:rPr>
          <w:rStyle w:val="CommentReference"/>
          <w:sz w:val="24"/>
          <w:szCs w:val="24"/>
        </w:rPr>
        <w:t>.</w:t>
      </w:r>
    </w:p>
    <w:p w:rsidR="00E04B8A" w:rsidRPr="00C10D10" w:rsidRDefault="00E04B8A" w:rsidP="007D32C1">
      <w:pPr>
        <w:pStyle w:val="Heading2"/>
        <w:rPr>
          <w:caps w:val="0"/>
          <w:lang w:val="en-GB"/>
        </w:rPr>
      </w:pPr>
      <w:bookmarkStart w:id="46" w:name="_Toc396128280"/>
      <w:bookmarkStart w:id="47" w:name="_Toc396128896"/>
      <w:bookmarkStart w:id="48" w:name="_Toc452966955"/>
      <w:r w:rsidRPr="00C10D10">
        <w:rPr>
          <w:caps w:val="0"/>
          <w:lang w:val="en-GB"/>
        </w:rPr>
        <w:t>DEMONSTRATION OF COMPLIANCE</w:t>
      </w:r>
      <w:bookmarkEnd w:id="46"/>
      <w:bookmarkEnd w:id="47"/>
      <w:bookmarkEnd w:id="48"/>
    </w:p>
    <w:p w:rsidR="00422A6B" w:rsidRPr="00C10D10" w:rsidRDefault="00344255" w:rsidP="0091132F">
      <w:pPr>
        <w:pStyle w:val="ListParagraph"/>
        <w:numPr>
          <w:ilvl w:val="0"/>
          <w:numId w:val="7"/>
        </w:numPr>
        <w:autoSpaceDE w:val="0"/>
        <w:autoSpaceDN w:val="0"/>
        <w:adjustRightInd w:val="0"/>
        <w:spacing w:before="120"/>
        <w:contextualSpacing w:val="0"/>
        <w:jc w:val="both"/>
        <w:rPr>
          <w:szCs w:val="24"/>
        </w:rPr>
      </w:pPr>
      <w:r w:rsidRPr="00C10D10">
        <w:rPr>
          <w:szCs w:val="24"/>
        </w:rPr>
        <w:t>In order to demonstrate that discharges are in compliance with the limits</w:t>
      </w:r>
      <w:r w:rsidR="003302E4" w:rsidRPr="00C10D10">
        <w:rPr>
          <w:szCs w:val="24"/>
        </w:rPr>
        <w:t xml:space="preserve"> and in order to check the assumptions used to evaluate doses</w:t>
      </w:r>
      <w:r w:rsidR="0090497D">
        <w:rPr>
          <w:szCs w:val="24"/>
        </w:rPr>
        <w:t xml:space="preserve"> to the representative person</w:t>
      </w:r>
      <w:r w:rsidRPr="00C10D10">
        <w:rPr>
          <w:szCs w:val="24"/>
        </w:rPr>
        <w:t>,</w:t>
      </w:r>
      <w:r w:rsidR="003302E4" w:rsidRPr="00C10D10">
        <w:rPr>
          <w:szCs w:val="24"/>
        </w:rPr>
        <w:t xml:space="preserve"> </w:t>
      </w:r>
      <w:r w:rsidRPr="00C10D10">
        <w:rPr>
          <w:szCs w:val="24"/>
        </w:rPr>
        <w:t xml:space="preserve">monitoring </w:t>
      </w:r>
      <w:r w:rsidR="002D7932" w:rsidRPr="00C10D10">
        <w:rPr>
          <w:szCs w:val="24"/>
        </w:rPr>
        <w:t xml:space="preserve">programmes </w:t>
      </w:r>
      <w:r w:rsidR="003302E4" w:rsidRPr="00C10D10">
        <w:rPr>
          <w:szCs w:val="24"/>
        </w:rPr>
        <w:t>should be established</w:t>
      </w:r>
      <w:r w:rsidR="005265B4" w:rsidRPr="00C10D10">
        <w:rPr>
          <w:szCs w:val="24"/>
        </w:rPr>
        <w:t xml:space="preserve"> [</w:t>
      </w:r>
      <w:r w:rsidR="00275A66">
        <w:rPr>
          <w:szCs w:val="24"/>
        </w:rPr>
        <w:t>9</w:t>
      </w:r>
      <w:r w:rsidR="005265B4" w:rsidRPr="00C10D10">
        <w:rPr>
          <w:szCs w:val="24"/>
        </w:rPr>
        <w:t>]</w:t>
      </w:r>
      <w:r w:rsidRPr="00C10D10">
        <w:rPr>
          <w:szCs w:val="24"/>
        </w:rPr>
        <w:t xml:space="preserve">. </w:t>
      </w:r>
      <w:r w:rsidR="00422A6B" w:rsidRPr="00C10D10">
        <w:rPr>
          <w:szCs w:val="24"/>
        </w:rPr>
        <w:t xml:space="preserve">Two general types of monitoring are appropriate in the context of </w:t>
      </w:r>
      <w:r w:rsidR="00D720A3">
        <w:rPr>
          <w:szCs w:val="24"/>
        </w:rPr>
        <w:t xml:space="preserve">the </w:t>
      </w:r>
      <w:r w:rsidR="00422A6B" w:rsidRPr="00C10D10">
        <w:rPr>
          <w:szCs w:val="24"/>
        </w:rPr>
        <w:t>control of discharges and the related public exposure:</w:t>
      </w:r>
    </w:p>
    <w:p w:rsidR="00422A6B" w:rsidRPr="00C10D10" w:rsidRDefault="00D720A3" w:rsidP="0091132F">
      <w:pPr>
        <w:pStyle w:val="ListParagraph"/>
        <w:numPr>
          <w:ilvl w:val="0"/>
          <w:numId w:val="19"/>
        </w:numPr>
        <w:autoSpaceDE w:val="0"/>
        <w:autoSpaceDN w:val="0"/>
        <w:adjustRightInd w:val="0"/>
        <w:spacing w:before="120"/>
        <w:ind w:left="567" w:hanging="567"/>
        <w:jc w:val="both"/>
        <w:rPr>
          <w:szCs w:val="24"/>
        </w:rPr>
      </w:pPr>
      <w:r>
        <w:rPr>
          <w:szCs w:val="24"/>
        </w:rPr>
        <w:t>M</w:t>
      </w:r>
      <w:r w:rsidR="00422A6B" w:rsidRPr="00C10D10">
        <w:rPr>
          <w:szCs w:val="24"/>
        </w:rPr>
        <w:t xml:space="preserve">onitoring of the source, which </w:t>
      </w:r>
      <w:r>
        <w:rPr>
          <w:szCs w:val="24"/>
        </w:rPr>
        <w:t>invol</w:t>
      </w:r>
      <w:r w:rsidR="000C5FD1">
        <w:rPr>
          <w:szCs w:val="24"/>
        </w:rPr>
        <w:t>v</w:t>
      </w:r>
      <w:r>
        <w:rPr>
          <w:szCs w:val="24"/>
        </w:rPr>
        <w:t>es</w:t>
      </w:r>
      <w:r w:rsidRPr="00C10D10">
        <w:rPr>
          <w:szCs w:val="24"/>
        </w:rPr>
        <w:t xml:space="preserve"> </w:t>
      </w:r>
      <w:r w:rsidR="00422A6B" w:rsidRPr="00C10D10">
        <w:rPr>
          <w:szCs w:val="24"/>
        </w:rPr>
        <w:t>measuring activity concentration</w:t>
      </w:r>
      <w:r w:rsidR="000C5FD1">
        <w:rPr>
          <w:szCs w:val="24"/>
        </w:rPr>
        <w:t>s</w:t>
      </w:r>
      <w:r w:rsidR="00422A6B" w:rsidRPr="00C10D10">
        <w:rPr>
          <w:szCs w:val="24"/>
        </w:rPr>
        <w:t xml:space="preserve"> or dose rates at the discharge point or within the activity and facility</w:t>
      </w:r>
      <w:r w:rsidR="00545DB3">
        <w:rPr>
          <w:szCs w:val="24"/>
        </w:rPr>
        <w:t xml:space="preserve"> (i.</w:t>
      </w:r>
      <w:r w:rsidR="00C25B1A">
        <w:rPr>
          <w:szCs w:val="24"/>
        </w:rPr>
        <w:t>e. at the stack or the discharging pipelines or at the reservoirs prior to discharge)</w:t>
      </w:r>
      <w:r w:rsidR="00422A6B" w:rsidRPr="00C10D10">
        <w:rPr>
          <w:szCs w:val="24"/>
        </w:rPr>
        <w:t xml:space="preserve">; </w:t>
      </w:r>
    </w:p>
    <w:p w:rsidR="00422A6B" w:rsidRPr="00C10D10" w:rsidRDefault="00D720A3" w:rsidP="0091132F">
      <w:pPr>
        <w:pStyle w:val="ListParagraph"/>
        <w:numPr>
          <w:ilvl w:val="0"/>
          <w:numId w:val="19"/>
        </w:numPr>
        <w:autoSpaceDE w:val="0"/>
        <w:autoSpaceDN w:val="0"/>
        <w:adjustRightInd w:val="0"/>
        <w:spacing w:before="120"/>
        <w:ind w:left="567" w:hanging="567"/>
        <w:jc w:val="both"/>
        <w:rPr>
          <w:szCs w:val="24"/>
        </w:rPr>
      </w:pPr>
      <w:r>
        <w:rPr>
          <w:szCs w:val="24"/>
        </w:rPr>
        <w:lastRenderedPageBreak/>
        <w:t>M</w:t>
      </w:r>
      <w:r w:rsidR="00422A6B" w:rsidRPr="00C10D10">
        <w:rPr>
          <w:szCs w:val="24"/>
        </w:rPr>
        <w:t xml:space="preserve">onitoring of the environment, which involves the measurement of radionuclide concentrations in environmental media (including foodstuffs and drinking water) and </w:t>
      </w:r>
      <w:r w:rsidR="00422A6B">
        <w:rPr>
          <w:szCs w:val="24"/>
        </w:rPr>
        <w:t>doses</w:t>
      </w:r>
      <w:r w:rsidR="00422A6B" w:rsidRPr="00C10D10">
        <w:rPr>
          <w:szCs w:val="24"/>
        </w:rPr>
        <w:t xml:space="preserve"> or dose rates due to sources in the environment.</w:t>
      </w:r>
    </w:p>
    <w:p w:rsidR="00422A6B" w:rsidRDefault="00115252"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requirements for </w:t>
      </w:r>
      <w:r>
        <w:rPr>
          <w:szCs w:val="24"/>
        </w:rPr>
        <w:t xml:space="preserve">source monitoring </w:t>
      </w:r>
      <w:r w:rsidRPr="00C10D10">
        <w:rPr>
          <w:szCs w:val="24"/>
        </w:rPr>
        <w:t xml:space="preserve">and environmental monitoring should be specified in the </w:t>
      </w:r>
      <w:r w:rsidR="00F73CB8">
        <w:rPr>
          <w:szCs w:val="24"/>
        </w:rPr>
        <w:t>authorization for discharges</w:t>
      </w:r>
      <w:r w:rsidRPr="00C10D10">
        <w:rPr>
          <w:szCs w:val="24"/>
        </w:rPr>
        <w:t xml:space="preserve"> by the regulatory body. </w:t>
      </w:r>
      <w:r w:rsidR="00C9132A" w:rsidRPr="00536692">
        <w:rPr>
          <w:szCs w:val="24"/>
        </w:rPr>
        <w:t>The necessity</w:t>
      </w:r>
      <w:r w:rsidR="000C5FD1">
        <w:rPr>
          <w:szCs w:val="24"/>
        </w:rPr>
        <w:t xml:space="preserve"> for</w:t>
      </w:r>
      <w:r w:rsidR="00C9132A" w:rsidRPr="00536692">
        <w:rPr>
          <w:szCs w:val="24"/>
        </w:rPr>
        <w:t xml:space="preserve"> and frequency of monitoring should be determined by the assessed level of </w:t>
      </w:r>
      <w:r w:rsidR="00C9132A">
        <w:rPr>
          <w:szCs w:val="24"/>
        </w:rPr>
        <w:t xml:space="preserve">risk of </w:t>
      </w:r>
      <w:r w:rsidR="00C9132A" w:rsidRPr="00536692">
        <w:rPr>
          <w:szCs w:val="24"/>
        </w:rPr>
        <w:t>radiological impact</w:t>
      </w:r>
      <w:r w:rsidR="00C9132A">
        <w:rPr>
          <w:szCs w:val="24"/>
        </w:rPr>
        <w:t>.</w:t>
      </w:r>
    </w:p>
    <w:p w:rsidR="0002341D" w:rsidRDefault="00C9132A"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Monitoring programmes should be </w:t>
      </w:r>
      <w:r w:rsidR="000C5FD1">
        <w:rPr>
          <w:szCs w:val="24"/>
        </w:rPr>
        <w:t xml:space="preserve">developed and conducted </w:t>
      </w:r>
      <w:r>
        <w:rPr>
          <w:szCs w:val="24"/>
        </w:rPr>
        <w:t xml:space="preserve">in </w:t>
      </w:r>
      <w:r w:rsidRPr="00C10D10">
        <w:rPr>
          <w:szCs w:val="24"/>
        </w:rPr>
        <w:t xml:space="preserve">line with </w:t>
      </w:r>
      <w:r w:rsidR="000C5FD1">
        <w:rPr>
          <w:szCs w:val="24"/>
        </w:rPr>
        <w:t>a</w:t>
      </w:r>
      <w:r w:rsidR="000C5FD1" w:rsidRPr="00C10D10">
        <w:rPr>
          <w:szCs w:val="24"/>
        </w:rPr>
        <w:t xml:space="preserve"> </w:t>
      </w:r>
      <w:r w:rsidRPr="00C10D10">
        <w:rPr>
          <w:szCs w:val="24"/>
        </w:rPr>
        <w:t>graded approach. For example, routine environmental monitoring is unlikely to be necessary in the case of discharges from a hospital with a nuclear medicine department</w:t>
      </w:r>
      <w:r w:rsidR="0002341D" w:rsidRPr="0002341D">
        <w:t xml:space="preserve"> </w:t>
      </w:r>
      <w:r w:rsidR="0002341D" w:rsidRPr="0002341D">
        <w:rPr>
          <w:szCs w:val="24"/>
        </w:rPr>
        <w:t>or small research laboratories using short lived radionuclides</w:t>
      </w:r>
      <w:r w:rsidR="0002341D">
        <w:rPr>
          <w:szCs w:val="24"/>
        </w:rPr>
        <w:t xml:space="preserve"> [</w:t>
      </w:r>
      <w:r w:rsidR="00275A66">
        <w:rPr>
          <w:szCs w:val="24"/>
        </w:rPr>
        <w:t>9</w:t>
      </w:r>
      <w:r w:rsidR="0002341D">
        <w:rPr>
          <w:szCs w:val="24"/>
        </w:rPr>
        <w:t xml:space="preserve">]. </w:t>
      </w:r>
      <w:r w:rsidR="000C5FD1">
        <w:rPr>
          <w:szCs w:val="24"/>
        </w:rPr>
        <w:t>Rather</w:t>
      </w:r>
      <w:r w:rsidR="0002341D" w:rsidRPr="0002341D">
        <w:rPr>
          <w:szCs w:val="24"/>
        </w:rPr>
        <w:t xml:space="preserve">, a single monitoring campaign, close to the </w:t>
      </w:r>
      <w:r w:rsidR="000C5FD1">
        <w:rPr>
          <w:szCs w:val="24"/>
        </w:rPr>
        <w:t>facility</w:t>
      </w:r>
      <w:r w:rsidR="000C5FD1" w:rsidRPr="0002341D">
        <w:rPr>
          <w:szCs w:val="24"/>
        </w:rPr>
        <w:t xml:space="preserve"> </w:t>
      </w:r>
      <w:r w:rsidR="0002341D" w:rsidRPr="0002341D">
        <w:rPr>
          <w:szCs w:val="24"/>
        </w:rPr>
        <w:t xml:space="preserve">prior to and at the beginning of operations may be considered by the regulatory body as </w:t>
      </w:r>
      <w:r w:rsidR="000C5FD1">
        <w:rPr>
          <w:szCs w:val="24"/>
        </w:rPr>
        <w:t xml:space="preserve">sufficient </w:t>
      </w:r>
      <w:r w:rsidR="0002341D" w:rsidRPr="0002341D">
        <w:rPr>
          <w:szCs w:val="24"/>
        </w:rPr>
        <w:t xml:space="preserve">to verify compliance. </w:t>
      </w:r>
      <w:r w:rsidR="000C5FD1">
        <w:rPr>
          <w:szCs w:val="24"/>
        </w:rPr>
        <w:t>However, e</w:t>
      </w:r>
      <w:r w:rsidR="0002341D" w:rsidRPr="0002341D">
        <w:rPr>
          <w:szCs w:val="24"/>
        </w:rPr>
        <w:t xml:space="preserve">ven for </w:t>
      </w:r>
      <w:r w:rsidR="000C5FD1">
        <w:rPr>
          <w:szCs w:val="24"/>
        </w:rPr>
        <w:t>such</w:t>
      </w:r>
      <w:r w:rsidR="000C5FD1" w:rsidRPr="0002341D">
        <w:rPr>
          <w:szCs w:val="24"/>
        </w:rPr>
        <w:t xml:space="preserve"> </w:t>
      </w:r>
      <w:r w:rsidR="0002341D" w:rsidRPr="0002341D">
        <w:rPr>
          <w:szCs w:val="24"/>
        </w:rPr>
        <w:t xml:space="preserve">simpler </w:t>
      </w:r>
      <w:r w:rsidR="000C5FD1">
        <w:rPr>
          <w:szCs w:val="24"/>
        </w:rPr>
        <w:t>facilities</w:t>
      </w:r>
      <w:r w:rsidR="0002341D" w:rsidRPr="0002341D">
        <w:rPr>
          <w:szCs w:val="24"/>
        </w:rPr>
        <w:t>, changes in operational procedures can lead to increased discharges</w:t>
      </w:r>
      <w:r w:rsidR="000C5FD1">
        <w:rPr>
          <w:szCs w:val="24"/>
        </w:rPr>
        <w:t xml:space="preserve"> and as such may necessitate a </w:t>
      </w:r>
      <w:r w:rsidR="00C25B1A">
        <w:rPr>
          <w:szCs w:val="24"/>
        </w:rPr>
        <w:t>review o</w:t>
      </w:r>
      <w:r w:rsidR="00642BAE">
        <w:rPr>
          <w:szCs w:val="24"/>
        </w:rPr>
        <w:t>f</w:t>
      </w:r>
      <w:r w:rsidR="00C25B1A">
        <w:rPr>
          <w:szCs w:val="24"/>
        </w:rPr>
        <w:t xml:space="preserve"> the need </w:t>
      </w:r>
      <w:r w:rsidR="00642BAE">
        <w:rPr>
          <w:szCs w:val="24"/>
        </w:rPr>
        <w:t>for</w:t>
      </w:r>
      <w:r w:rsidR="00C25B1A">
        <w:rPr>
          <w:szCs w:val="24"/>
        </w:rPr>
        <w:t xml:space="preserve"> </w:t>
      </w:r>
      <w:r w:rsidR="000C5FD1">
        <w:rPr>
          <w:szCs w:val="24"/>
        </w:rPr>
        <w:t>monitoring</w:t>
      </w:r>
      <w:r w:rsidR="0002341D" w:rsidRPr="0002341D">
        <w:rPr>
          <w:szCs w:val="24"/>
        </w:rPr>
        <w:t>.</w:t>
      </w:r>
    </w:p>
    <w:p w:rsidR="00C9132A" w:rsidRPr="00C10D10" w:rsidRDefault="0002341D" w:rsidP="0091132F">
      <w:pPr>
        <w:pStyle w:val="ListParagraph"/>
        <w:numPr>
          <w:ilvl w:val="0"/>
          <w:numId w:val="7"/>
        </w:numPr>
        <w:autoSpaceDE w:val="0"/>
        <w:autoSpaceDN w:val="0"/>
        <w:adjustRightInd w:val="0"/>
        <w:spacing w:before="120"/>
        <w:contextualSpacing w:val="0"/>
        <w:jc w:val="both"/>
        <w:rPr>
          <w:szCs w:val="24"/>
        </w:rPr>
      </w:pPr>
      <w:r>
        <w:rPr>
          <w:szCs w:val="24"/>
        </w:rPr>
        <w:t xml:space="preserve">Source </w:t>
      </w:r>
      <w:r w:rsidR="000C5FD1">
        <w:rPr>
          <w:szCs w:val="24"/>
        </w:rPr>
        <w:t xml:space="preserve">monitoring </w:t>
      </w:r>
      <w:r>
        <w:rPr>
          <w:szCs w:val="24"/>
        </w:rPr>
        <w:t>and environmental monitoring should</w:t>
      </w:r>
      <w:r w:rsidR="00C9132A" w:rsidRPr="00C10D10">
        <w:rPr>
          <w:szCs w:val="24"/>
        </w:rPr>
        <w:t xml:space="preserve"> normally be undertaken </w:t>
      </w:r>
      <w:r>
        <w:rPr>
          <w:szCs w:val="24"/>
        </w:rPr>
        <w:t>for</w:t>
      </w:r>
      <w:r w:rsidR="00C9132A" w:rsidRPr="00C10D10">
        <w:rPr>
          <w:szCs w:val="24"/>
        </w:rPr>
        <w:t xml:space="preserve"> facilit</w:t>
      </w:r>
      <w:r w:rsidR="000C5FD1">
        <w:rPr>
          <w:szCs w:val="24"/>
        </w:rPr>
        <w:t>ies</w:t>
      </w:r>
      <w:r w:rsidR="00C9132A" w:rsidRPr="00C10D10">
        <w:rPr>
          <w:szCs w:val="24"/>
        </w:rPr>
        <w:t xml:space="preserve"> in the nuclear fuel cycle [</w:t>
      </w:r>
      <w:r w:rsidR="00275A66">
        <w:rPr>
          <w:szCs w:val="24"/>
        </w:rPr>
        <w:t>9</w:t>
      </w:r>
      <w:r w:rsidR="00C9132A" w:rsidRPr="00C10D10">
        <w:rPr>
          <w:szCs w:val="24"/>
        </w:rPr>
        <w:t xml:space="preserve">]. </w:t>
      </w:r>
    </w:p>
    <w:p w:rsidR="00C9132A" w:rsidRPr="00115252" w:rsidRDefault="00C9132A" w:rsidP="00C25B1A">
      <w:pPr>
        <w:pStyle w:val="ListParagraph"/>
        <w:autoSpaceDE w:val="0"/>
        <w:autoSpaceDN w:val="0"/>
        <w:adjustRightInd w:val="0"/>
        <w:spacing w:before="120"/>
        <w:contextualSpacing w:val="0"/>
        <w:jc w:val="both"/>
        <w:rPr>
          <w:szCs w:val="24"/>
        </w:rPr>
      </w:pPr>
    </w:p>
    <w:p w:rsidR="00CC39B0" w:rsidRPr="00C10D10" w:rsidRDefault="003302E4"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For </w:t>
      </w:r>
      <w:r w:rsidR="00EA5853" w:rsidRPr="00C10D10">
        <w:rPr>
          <w:szCs w:val="24"/>
        </w:rPr>
        <w:t xml:space="preserve">complex </w:t>
      </w:r>
      <w:r w:rsidR="00694B14">
        <w:rPr>
          <w:szCs w:val="24"/>
        </w:rPr>
        <w:t>facilities,</w:t>
      </w:r>
      <w:r w:rsidRPr="00C10D10">
        <w:rPr>
          <w:szCs w:val="24"/>
        </w:rPr>
        <w:t xml:space="preserve"> </w:t>
      </w:r>
      <w:r w:rsidR="00694B14">
        <w:rPr>
          <w:szCs w:val="24"/>
        </w:rPr>
        <w:t>such as</w:t>
      </w:r>
      <w:r w:rsidR="00694B14" w:rsidRPr="00C10D10">
        <w:rPr>
          <w:szCs w:val="24"/>
        </w:rPr>
        <w:t xml:space="preserve"> </w:t>
      </w:r>
      <w:r w:rsidRPr="00C10D10">
        <w:rPr>
          <w:szCs w:val="24"/>
        </w:rPr>
        <w:t xml:space="preserve">nuclear power plants </w:t>
      </w:r>
      <w:r w:rsidR="00EA5853" w:rsidRPr="00C10D10">
        <w:rPr>
          <w:szCs w:val="24"/>
        </w:rPr>
        <w:t xml:space="preserve">or reprocessing facilities, </w:t>
      </w:r>
      <w:r w:rsidR="00344255" w:rsidRPr="00C10D10">
        <w:rPr>
          <w:szCs w:val="24"/>
        </w:rPr>
        <w:t xml:space="preserve">monitoring </w:t>
      </w:r>
      <w:r w:rsidR="00115252">
        <w:rPr>
          <w:szCs w:val="24"/>
        </w:rPr>
        <w:t xml:space="preserve">programmes </w:t>
      </w:r>
      <w:r w:rsidRPr="00C10D10">
        <w:rPr>
          <w:szCs w:val="24"/>
        </w:rPr>
        <w:t xml:space="preserve">should </w:t>
      </w:r>
      <w:r w:rsidR="00344255" w:rsidRPr="00C10D10">
        <w:rPr>
          <w:szCs w:val="24"/>
        </w:rPr>
        <w:t xml:space="preserve">also </w:t>
      </w:r>
      <w:r w:rsidRPr="00C10D10">
        <w:rPr>
          <w:szCs w:val="24"/>
        </w:rPr>
        <w:t>provide</w:t>
      </w:r>
      <w:r w:rsidR="00344255" w:rsidRPr="00C10D10">
        <w:rPr>
          <w:szCs w:val="24"/>
        </w:rPr>
        <w:t xml:space="preserve"> an additional means</w:t>
      </w:r>
      <w:r w:rsidR="00C25B1A">
        <w:rPr>
          <w:szCs w:val="24"/>
        </w:rPr>
        <w:t xml:space="preserve"> </w:t>
      </w:r>
      <w:r w:rsidR="00344255" w:rsidRPr="00C10D10">
        <w:rPr>
          <w:szCs w:val="24"/>
        </w:rPr>
        <w:t xml:space="preserve">of checking </w:t>
      </w:r>
      <w:r w:rsidR="003B53D6">
        <w:rPr>
          <w:szCs w:val="24"/>
        </w:rPr>
        <w:t xml:space="preserve">the </w:t>
      </w:r>
      <w:r w:rsidR="00161040">
        <w:rPr>
          <w:szCs w:val="24"/>
        </w:rPr>
        <w:t xml:space="preserve">operating </w:t>
      </w:r>
      <w:r w:rsidR="003B53D6">
        <w:rPr>
          <w:szCs w:val="24"/>
        </w:rPr>
        <w:t xml:space="preserve">conditions </w:t>
      </w:r>
      <w:r w:rsidR="000C5FD1">
        <w:rPr>
          <w:szCs w:val="24"/>
        </w:rPr>
        <w:t xml:space="preserve">of the facility </w:t>
      </w:r>
      <w:r w:rsidR="003B53D6">
        <w:rPr>
          <w:szCs w:val="24"/>
        </w:rPr>
        <w:t xml:space="preserve">and to provide a warning of unusual or unforeseen conditions resulting in </w:t>
      </w:r>
      <w:r w:rsidR="00115252">
        <w:rPr>
          <w:szCs w:val="24"/>
        </w:rPr>
        <w:t xml:space="preserve">the possibility of </w:t>
      </w:r>
      <w:r w:rsidR="00344255" w:rsidRPr="00C10D10">
        <w:rPr>
          <w:szCs w:val="24"/>
        </w:rPr>
        <w:t xml:space="preserve">unexpected releases. </w:t>
      </w:r>
    </w:p>
    <w:p w:rsidR="00CC39B0" w:rsidRPr="00C10D10" w:rsidRDefault="00CC39B0" w:rsidP="00C25B1A">
      <w:pPr>
        <w:pStyle w:val="ListParagraph"/>
        <w:autoSpaceDE w:val="0"/>
        <w:autoSpaceDN w:val="0"/>
        <w:adjustRightInd w:val="0"/>
        <w:spacing w:before="120"/>
        <w:contextualSpacing w:val="0"/>
        <w:jc w:val="both"/>
        <w:rPr>
          <w:szCs w:val="24"/>
        </w:rPr>
      </w:pPr>
    </w:p>
    <w:p w:rsidR="00C474A0" w:rsidRPr="00C10D10" w:rsidRDefault="00C474A0" w:rsidP="00BC171D">
      <w:pPr>
        <w:pStyle w:val="ListParagraph"/>
        <w:autoSpaceDE w:val="0"/>
        <w:autoSpaceDN w:val="0"/>
        <w:adjustRightInd w:val="0"/>
        <w:spacing w:before="120"/>
        <w:contextualSpacing w:val="0"/>
        <w:jc w:val="both"/>
        <w:rPr>
          <w:b/>
          <w:szCs w:val="24"/>
        </w:rPr>
      </w:pPr>
      <w:r w:rsidRPr="00C10D10">
        <w:rPr>
          <w:b/>
          <w:szCs w:val="24"/>
        </w:rPr>
        <w:t>Monitoring</w:t>
      </w:r>
      <w:r w:rsidR="003E0F5A" w:rsidRPr="00C10D10">
        <w:rPr>
          <w:b/>
          <w:szCs w:val="24"/>
        </w:rPr>
        <w:t xml:space="preserve"> </w:t>
      </w:r>
      <w:r w:rsidR="00C33AAF" w:rsidRPr="00C10D10">
        <w:rPr>
          <w:b/>
          <w:szCs w:val="24"/>
        </w:rPr>
        <w:t xml:space="preserve">by the </w:t>
      </w:r>
      <w:r w:rsidR="005A3563" w:rsidRPr="00C10D10">
        <w:rPr>
          <w:b/>
          <w:szCs w:val="24"/>
        </w:rPr>
        <w:t>operating organization</w:t>
      </w:r>
    </w:p>
    <w:p w:rsidR="0070695B" w:rsidRPr="00C10D10" w:rsidRDefault="000C5FD1" w:rsidP="0091132F">
      <w:pPr>
        <w:pStyle w:val="ListParagraph"/>
        <w:numPr>
          <w:ilvl w:val="0"/>
          <w:numId w:val="7"/>
        </w:numPr>
        <w:autoSpaceDE w:val="0"/>
        <w:autoSpaceDN w:val="0"/>
        <w:adjustRightInd w:val="0"/>
        <w:spacing w:before="120"/>
        <w:contextualSpacing w:val="0"/>
        <w:jc w:val="both"/>
        <w:rPr>
          <w:szCs w:val="24"/>
        </w:rPr>
      </w:pPr>
      <w:r>
        <w:rPr>
          <w:color w:val="000000"/>
          <w:szCs w:val="24"/>
        </w:rPr>
        <w:t xml:space="preserve">The </w:t>
      </w:r>
      <w:r w:rsidR="00275A66">
        <w:rPr>
          <w:color w:val="000000"/>
          <w:szCs w:val="24"/>
        </w:rPr>
        <w:t>operating organization</w:t>
      </w:r>
      <w:r w:rsidR="003664FD" w:rsidRPr="004B6814">
        <w:rPr>
          <w:color w:val="000000"/>
          <w:szCs w:val="24"/>
        </w:rPr>
        <w:t xml:space="preserve"> should establish and use </w:t>
      </w:r>
      <w:r>
        <w:rPr>
          <w:color w:val="000000"/>
          <w:szCs w:val="24"/>
        </w:rPr>
        <w:t xml:space="preserve">the </w:t>
      </w:r>
      <w:r w:rsidR="003664FD" w:rsidRPr="004B6814">
        <w:rPr>
          <w:color w:val="000000"/>
          <w:szCs w:val="24"/>
        </w:rPr>
        <w:t>monitoring programme to verify and demonstrate compliance with the authorization and to enable adequate assessment of public exposure</w:t>
      </w:r>
      <w:r w:rsidR="005B1187">
        <w:rPr>
          <w:color w:val="000000"/>
          <w:szCs w:val="24"/>
        </w:rPr>
        <w:t>s</w:t>
      </w:r>
      <w:r w:rsidR="003664FD" w:rsidRPr="004B6814">
        <w:rPr>
          <w:color w:val="000000"/>
          <w:szCs w:val="24"/>
        </w:rPr>
        <w:t xml:space="preserve"> due to sources for which they are responsible. </w:t>
      </w:r>
      <w:r w:rsidR="00AA6A99" w:rsidRPr="00C10D10">
        <w:rPr>
          <w:szCs w:val="24"/>
        </w:rPr>
        <w:t xml:space="preserve">The monitoring programmes </w:t>
      </w:r>
      <w:r w:rsidR="00E7351C" w:rsidRPr="00C10D10">
        <w:rPr>
          <w:szCs w:val="24"/>
        </w:rPr>
        <w:t>developed</w:t>
      </w:r>
      <w:r w:rsidR="00AA6A99" w:rsidRPr="00C10D10">
        <w:rPr>
          <w:szCs w:val="24"/>
        </w:rPr>
        <w:t xml:space="preserve"> by </w:t>
      </w:r>
      <w:r w:rsidR="005A3563" w:rsidRPr="00C10D10">
        <w:rPr>
          <w:szCs w:val="24"/>
        </w:rPr>
        <w:t>operating organization</w:t>
      </w:r>
      <w:r w:rsidR="00AA6A99" w:rsidRPr="00C10D10">
        <w:rPr>
          <w:szCs w:val="24"/>
        </w:rPr>
        <w:t xml:space="preserve">s should be </w:t>
      </w:r>
      <w:r>
        <w:rPr>
          <w:szCs w:val="24"/>
        </w:rPr>
        <w:t xml:space="preserve">subject to </w:t>
      </w:r>
      <w:r w:rsidR="00AA6A99" w:rsidRPr="00C10D10">
        <w:rPr>
          <w:szCs w:val="24"/>
        </w:rPr>
        <w:t>approv</w:t>
      </w:r>
      <w:r>
        <w:rPr>
          <w:szCs w:val="24"/>
        </w:rPr>
        <w:t>al</w:t>
      </w:r>
      <w:r w:rsidR="00AA6A99" w:rsidRPr="00C10D10">
        <w:rPr>
          <w:szCs w:val="24"/>
        </w:rPr>
        <w:t xml:space="preserve"> by the </w:t>
      </w:r>
      <w:r w:rsidR="002D7932" w:rsidRPr="00C10D10">
        <w:rPr>
          <w:szCs w:val="24"/>
        </w:rPr>
        <w:t>regulatory body</w:t>
      </w:r>
      <w:r w:rsidR="00AA6A99" w:rsidRPr="00C10D10">
        <w:rPr>
          <w:szCs w:val="24"/>
        </w:rPr>
        <w:t>.</w:t>
      </w:r>
      <w:r w:rsidR="0070695B" w:rsidRPr="00C10D10">
        <w:rPr>
          <w:szCs w:val="24"/>
        </w:rPr>
        <w:t xml:space="preserve"> </w:t>
      </w:r>
      <w:r w:rsidR="005B1187">
        <w:rPr>
          <w:szCs w:val="24"/>
        </w:rPr>
        <w:t>RS-G-1.8</w:t>
      </w:r>
      <w:r w:rsidR="00772456" w:rsidRPr="00C10D10">
        <w:rPr>
          <w:szCs w:val="24"/>
        </w:rPr>
        <w:t xml:space="preserve"> [</w:t>
      </w:r>
      <w:r w:rsidR="002E0B62">
        <w:rPr>
          <w:szCs w:val="24"/>
        </w:rPr>
        <w:t>9</w:t>
      </w:r>
      <w:r w:rsidR="00772456" w:rsidRPr="00C10D10">
        <w:rPr>
          <w:szCs w:val="24"/>
        </w:rPr>
        <w:t xml:space="preserve">] provides </w:t>
      </w:r>
      <w:r w:rsidR="00A4367B">
        <w:rPr>
          <w:szCs w:val="24"/>
        </w:rPr>
        <w:t xml:space="preserve">comprehensive </w:t>
      </w:r>
      <w:r w:rsidR="00772456" w:rsidRPr="00C10D10">
        <w:rPr>
          <w:szCs w:val="24"/>
        </w:rPr>
        <w:t xml:space="preserve">guidance </w:t>
      </w:r>
      <w:r w:rsidR="00A4367B">
        <w:rPr>
          <w:szCs w:val="24"/>
        </w:rPr>
        <w:t>on</w:t>
      </w:r>
      <w:r w:rsidR="00772456" w:rsidRPr="00C10D10">
        <w:rPr>
          <w:szCs w:val="24"/>
        </w:rPr>
        <w:t xml:space="preserve"> source </w:t>
      </w:r>
      <w:r w:rsidRPr="00C10D10">
        <w:rPr>
          <w:szCs w:val="24"/>
        </w:rPr>
        <w:t xml:space="preserve">monitoring </w:t>
      </w:r>
      <w:r w:rsidR="00772456" w:rsidRPr="00C10D10">
        <w:rPr>
          <w:szCs w:val="24"/>
        </w:rPr>
        <w:t>and environmental monitoring applicable to control of discharges.</w:t>
      </w:r>
      <w:r w:rsidR="00A4367B">
        <w:rPr>
          <w:szCs w:val="24"/>
        </w:rPr>
        <w:t xml:space="preserve"> </w:t>
      </w:r>
      <w:r w:rsidR="00A4367B" w:rsidRPr="00C10D10">
        <w:rPr>
          <w:szCs w:val="24"/>
        </w:rPr>
        <w:t xml:space="preserve">Additional technical information on programmes and systems for source </w:t>
      </w:r>
      <w:r w:rsidRPr="00C10D10">
        <w:rPr>
          <w:szCs w:val="24"/>
        </w:rPr>
        <w:t xml:space="preserve">monitoring </w:t>
      </w:r>
      <w:r w:rsidR="00A4367B" w:rsidRPr="00C10D10">
        <w:rPr>
          <w:szCs w:val="24"/>
        </w:rPr>
        <w:t xml:space="preserve">and environmental monitoring is available in </w:t>
      </w:r>
      <w:r>
        <w:rPr>
          <w:szCs w:val="24"/>
        </w:rPr>
        <w:t>Ref.</w:t>
      </w:r>
      <w:r w:rsidR="00A4367B" w:rsidRPr="00C10D10">
        <w:rPr>
          <w:szCs w:val="24"/>
        </w:rPr>
        <w:t xml:space="preserve"> [2</w:t>
      </w:r>
      <w:r w:rsidR="002E0B62">
        <w:rPr>
          <w:szCs w:val="24"/>
        </w:rPr>
        <w:t>2</w:t>
      </w:r>
      <w:r w:rsidR="00A4367B" w:rsidRPr="00C10D10">
        <w:rPr>
          <w:szCs w:val="24"/>
        </w:rPr>
        <w:t>].</w:t>
      </w:r>
    </w:p>
    <w:p w:rsidR="0070695B" w:rsidRPr="00C10D10" w:rsidRDefault="00FC7A58" w:rsidP="0091132F">
      <w:pPr>
        <w:pStyle w:val="ListParagraph"/>
        <w:numPr>
          <w:ilvl w:val="0"/>
          <w:numId w:val="7"/>
        </w:numPr>
        <w:autoSpaceDE w:val="0"/>
        <w:autoSpaceDN w:val="0"/>
        <w:adjustRightInd w:val="0"/>
        <w:spacing w:before="120"/>
        <w:contextualSpacing w:val="0"/>
        <w:jc w:val="both"/>
        <w:rPr>
          <w:szCs w:val="24"/>
        </w:rPr>
      </w:pPr>
      <w:r w:rsidRPr="00C10D10">
        <w:rPr>
          <w:szCs w:val="24"/>
        </w:rPr>
        <w:lastRenderedPageBreak/>
        <w:t>Some s</w:t>
      </w:r>
      <w:r w:rsidR="005B1187">
        <w:rPr>
          <w:szCs w:val="24"/>
        </w:rPr>
        <w:t>econdary</w:t>
      </w:r>
      <w:r w:rsidRPr="00C10D10">
        <w:rPr>
          <w:szCs w:val="24"/>
        </w:rPr>
        <w:t xml:space="preserve"> objectives, which should usually be fulfilled by a monitoring programme, are to provide information for the public; to maintain a continuing record of the impacts of a </w:t>
      </w:r>
      <w:r w:rsidR="000C5FD1">
        <w:rPr>
          <w:szCs w:val="24"/>
        </w:rPr>
        <w:t>facility</w:t>
      </w:r>
      <w:r w:rsidR="000C5FD1" w:rsidRPr="00C10D10">
        <w:rPr>
          <w:szCs w:val="24"/>
        </w:rPr>
        <w:t xml:space="preserve"> </w:t>
      </w:r>
      <w:r w:rsidRPr="00C10D10">
        <w:rPr>
          <w:szCs w:val="24"/>
        </w:rPr>
        <w:t xml:space="preserve">or </w:t>
      </w:r>
      <w:r w:rsidR="000C5FD1">
        <w:rPr>
          <w:szCs w:val="24"/>
        </w:rPr>
        <w:t>an activity</w:t>
      </w:r>
      <w:r w:rsidRPr="00C10D10">
        <w:rPr>
          <w:szCs w:val="24"/>
        </w:rPr>
        <w:t xml:space="preserve"> on radionuclide levels</w:t>
      </w:r>
      <w:r w:rsidR="000C5FD1">
        <w:rPr>
          <w:szCs w:val="24"/>
        </w:rPr>
        <w:t xml:space="preserve"> in the environment</w:t>
      </w:r>
      <w:r w:rsidR="00C33AAF" w:rsidRPr="00C10D10">
        <w:rPr>
          <w:szCs w:val="24"/>
        </w:rPr>
        <w:t>;</w:t>
      </w:r>
      <w:r w:rsidRPr="00C10D10">
        <w:rPr>
          <w:szCs w:val="24"/>
        </w:rPr>
        <w:t xml:space="preserve"> and</w:t>
      </w:r>
      <w:r w:rsidR="00C505DE">
        <w:rPr>
          <w:szCs w:val="24"/>
        </w:rPr>
        <w:t xml:space="preserve"> </w:t>
      </w:r>
      <w:r w:rsidRPr="00C10D10">
        <w:rPr>
          <w:szCs w:val="24"/>
        </w:rPr>
        <w:t>to check the predictions of environmental models in order to reduce uncertainties in the dose assessment</w:t>
      </w:r>
      <w:r w:rsidR="00C67D06" w:rsidRPr="00C10D10">
        <w:rPr>
          <w:szCs w:val="24"/>
        </w:rPr>
        <w:t xml:space="preserve"> [</w:t>
      </w:r>
      <w:r w:rsidR="002E0B62">
        <w:rPr>
          <w:szCs w:val="24"/>
        </w:rPr>
        <w:t>9</w:t>
      </w:r>
      <w:r w:rsidR="00C67D06" w:rsidRPr="00C10D10">
        <w:rPr>
          <w:szCs w:val="24"/>
        </w:rPr>
        <w:t>]</w:t>
      </w:r>
      <w:r w:rsidRPr="00C10D10">
        <w:rPr>
          <w:szCs w:val="24"/>
        </w:rPr>
        <w:t>.</w:t>
      </w:r>
      <w:r w:rsidR="0070695B" w:rsidRPr="00C10D10">
        <w:rPr>
          <w:szCs w:val="24"/>
        </w:rPr>
        <w:t xml:space="preserve"> </w:t>
      </w:r>
      <w:r w:rsidR="00C9132A" w:rsidRPr="00C10D10">
        <w:rPr>
          <w:szCs w:val="24"/>
        </w:rPr>
        <w:t xml:space="preserve">In accordance with these objectives, the monitoring programme should </w:t>
      </w:r>
      <w:r w:rsidR="00C9132A">
        <w:rPr>
          <w:szCs w:val="24"/>
        </w:rPr>
        <w:t xml:space="preserve">also </w:t>
      </w:r>
      <w:r w:rsidR="00C9132A" w:rsidRPr="00C10D10">
        <w:rPr>
          <w:szCs w:val="24"/>
        </w:rPr>
        <w:t xml:space="preserve">include the collection of relevant supporting information, </w:t>
      </w:r>
      <w:r w:rsidR="00C9132A">
        <w:rPr>
          <w:szCs w:val="24"/>
        </w:rPr>
        <w:t>such as</w:t>
      </w:r>
      <w:r w:rsidR="00C9132A" w:rsidRPr="00C10D10">
        <w:rPr>
          <w:szCs w:val="24"/>
        </w:rPr>
        <w:t xml:space="preserve"> meteorological </w:t>
      </w:r>
      <w:r w:rsidR="00C25B1A">
        <w:rPr>
          <w:szCs w:val="24"/>
        </w:rPr>
        <w:t xml:space="preserve">and hydrological </w:t>
      </w:r>
      <w:r w:rsidR="00C9132A" w:rsidRPr="00C10D10">
        <w:rPr>
          <w:szCs w:val="24"/>
        </w:rPr>
        <w:t xml:space="preserve">data when this is considered necessary, </w:t>
      </w:r>
      <w:r w:rsidR="000C5FD1">
        <w:rPr>
          <w:szCs w:val="24"/>
        </w:rPr>
        <w:t xml:space="preserve">in </w:t>
      </w:r>
      <w:r w:rsidR="00C9132A" w:rsidRPr="00C10D10">
        <w:rPr>
          <w:szCs w:val="24"/>
        </w:rPr>
        <w:t>accord</w:t>
      </w:r>
      <w:r w:rsidR="000C5FD1">
        <w:rPr>
          <w:szCs w:val="24"/>
        </w:rPr>
        <w:t>ance with</w:t>
      </w:r>
      <w:r w:rsidR="00C9132A" w:rsidRPr="00C10D10">
        <w:rPr>
          <w:szCs w:val="24"/>
        </w:rPr>
        <w:t xml:space="preserve"> the </w:t>
      </w:r>
      <w:r w:rsidR="00B86BD8">
        <w:rPr>
          <w:szCs w:val="24"/>
        </w:rPr>
        <w:t xml:space="preserve">radiation </w:t>
      </w:r>
      <w:r w:rsidR="00C9132A">
        <w:rPr>
          <w:szCs w:val="24"/>
        </w:rPr>
        <w:t xml:space="preserve">risk presented by </w:t>
      </w:r>
      <w:r w:rsidR="0002341D">
        <w:rPr>
          <w:szCs w:val="24"/>
        </w:rPr>
        <w:t xml:space="preserve">the </w:t>
      </w:r>
      <w:r w:rsidR="00C9132A" w:rsidRPr="00C10D10">
        <w:rPr>
          <w:szCs w:val="24"/>
        </w:rPr>
        <w:t>level of discharges</w:t>
      </w:r>
      <w:r w:rsidR="00C9132A">
        <w:rPr>
          <w:szCs w:val="24"/>
        </w:rPr>
        <w:t>.</w:t>
      </w:r>
    </w:p>
    <w:p w:rsidR="0070695B" w:rsidRPr="00C10D10" w:rsidRDefault="0070695B" w:rsidP="00C9132A">
      <w:pPr>
        <w:pStyle w:val="ListParagraph"/>
        <w:autoSpaceDE w:val="0"/>
        <w:autoSpaceDN w:val="0"/>
        <w:adjustRightInd w:val="0"/>
        <w:spacing w:before="120"/>
        <w:contextualSpacing w:val="0"/>
        <w:jc w:val="both"/>
        <w:rPr>
          <w:szCs w:val="24"/>
        </w:rPr>
      </w:pPr>
    </w:p>
    <w:p w:rsidR="004B6814" w:rsidRDefault="00FC7A58" w:rsidP="0091132F">
      <w:pPr>
        <w:pStyle w:val="ListParagraph"/>
        <w:numPr>
          <w:ilvl w:val="0"/>
          <w:numId w:val="7"/>
        </w:numPr>
        <w:autoSpaceDE w:val="0"/>
        <w:autoSpaceDN w:val="0"/>
        <w:adjustRightInd w:val="0"/>
        <w:spacing w:before="120"/>
        <w:jc w:val="both"/>
        <w:rPr>
          <w:szCs w:val="24"/>
        </w:rPr>
      </w:pPr>
      <w:r w:rsidRPr="00C10D10">
        <w:rPr>
          <w:szCs w:val="24"/>
        </w:rPr>
        <w:t xml:space="preserve">The </w:t>
      </w:r>
      <w:r w:rsidR="005A3563" w:rsidRPr="00C10D10">
        <w:rPr>
          <w:szCs w:val="24"/>
        </w:rPr>
        <w:t>operating organization</w:t>
      </w:r>
      <w:r w:rsidRPr="00C10D10">
        <w:rPr>
          <w:szCs w:val="24"/>
        </w:rPr>
        <w:t xml:space="preserve"> should establish an appropriate quality assurance programme covering control of discharge</w:t>
      </w:r>
      <w:r w:rsidR="004479F7">
        <w:rPr>
          <w:szCs w:val="24"/>
        </w:rPr>
        <w:t>s</w:t>
      </w:r>
      <w:r w:rsidRPr="00C10D10">
        <w:rPr>
          <w:szCs w:val="24"/>
        </w:rPr>
        <w:t xml:space="preserve"> and the monitoring programme. The programme should </w:t>
      </w:r>
      <w:r w:rsidR="00C5228E">
        <w:rPr>
          <w:szCs w:val="24"/>
        </w:rPr>
        <w:t>set out</w:t>
      </w:r>
      <w:r w:rsidR="00C5228E" w:rsidRPr="00C10D10">
        <w:rPr>
          <w:szCs w:val="24"/>
        </w:rPr>
        <w:t xml:space="preserve"> </w:t>
      </w:r>
      <w:r w:rsidR="00C5228E">
        <w:rPr>
          <w:szCs w:val="24"/>
        </w:rPr>
        <w:t>the</w:t>
      </w:r>
      <w:r w:rsidR="00C5228E" w:rsidRPr="00C10D10">
        <w:rPr>
          <w:szCs w:val="24"/>
        </w:rPr>
        <w:t xml:space="preserve"> </w:t>
      </w:r>
      <w:r w:rsidRPr="00C10D10">
        <w:rPr>
          <w:szCs w:val="24"/>
        </w:rPr>
        <w:t xml:space="preserve">corrective actions </w:t>
      </w:r>
      <w:r w:rsidR="00C5228E">
        <w:rPr>
          <w:szCs w:val="24"/>
        </w:rPr>
        <w:t xml:space="preserve">that </w:t>
      </w:r>
      <w:r w:rsidR="005A7B8E" w:rsidRPr="00C10D10">
        <w:rPr>
          <w:szCs w:val="24"/>
        </w:rPr>
        <w:t>should</w:t>
      </w:r>
      <w:r w:rsidRPr="00C10D10">
        <w:rPr>
          <w:szCs w:val="24"/>
        </w:rPr>
        <w:t xml:space="preserve"> be taken in the event of deficiencies in control and monitoring being identified. It should cover both sample collection and measurement.</w:t>
      </w:r>
    </w:p>
    <w:p w:rsidR="0031027D" w:rsidRPr="0031027D" w:rsidRDefault="0031027D" w:rsidP="0091132F">
      <w:pPr>
        <w:pStyle w:val="ListParagraph"/>
        <w:numPr>
          <w:ilvl w:val="0"/>
          <w:numId w:val="7"/>
        </w:numPr>
        <w:autoSpaceDE w:val="0"/>
        <w:autoSpaceDN w:val="0"/>
        <w:adjustRightInd w:val="0"/>
        <w:spacing w:before="120"/>
        <w:jc w:val="both"/>
        <w:rPr>
          <w:szCs w:val="24"/>
        </w:rPr>
      </w:pPr>
      <w:r w:rsidRPr="0031027D">
        <w:rPr>
          <w:szCs w:val="24"/>
        </w:rPr>
        <w:t>Measures to satisfy the following specific conditions should be incorporated into the quality assurance programmes, as relevant:</w:t>
      </w:r>
    </w:p>
    <w:p w:rsidR="0031027D" w:rsidRPr="004B6814" w:rsidRDefault="0031027D" w:rsidP="0091132F">
      <w:pPr>
        <w:pStyle w:val="ListParagraph"/>
        <w:numPr>
          <w:ilvl w:val="0"/>
          <w:numId w:val="31"/>
        </w:numPr>
        <w:autoSpaceDE w:val="0"/>
        <w:autoSpaceDN w:val="0"/>
        <w:adjustRightInd w:val="0"/>
        <w:spacing w:before="120" w:after="0"/>
        <w:ind w:left="567" w:hanging="567"/>
        <w:contextualSpacing w:val="0"/>
        <w:jc w:val="both"/>
        <w:rPr>
          <w:szCs w:val="24"/>
        </w:rPr>
      </w:pPr>
      <w:r w:rsidRPr="004B6814">
        <w:rPr>
          <w:szCs w:val="24"/>
        </w:rPr>
        <w:t xml:space="preserve">Requirements relating to </w:t>
      </w:r>
      <w:r w:rsidR="004479F7">
        <w:rPr>
          <w:szCs w:val="24"/>
        </w:rPr>
        <w:t>source</w:t>
      </w:r>
      <w:r w:rsidR="004479F7" w:rsidRPr="004B6814">
        <w:rPr>
          <w:szCs w:val="24"/>
        </w:rPr>
        <w:t xml:space="preserve"> </w:t>
      </w:r>
      <w:r w:rsidR="00C5228E" w:rsidRPr="004B6814">
        <w:rPr>
          <w:szCs w:val="24"/>
        </w:rPr>
        <w:t xml:space="preserve">monitoring </w:t>
      </w:r>
      <w:r w:rsidRPr="004B6814">
        <w:rPr>
          <w:szCs w:val="24"/>
        </w:rPr>
        <w:t>and environmental monitoring and to</w:t>
      </w:r>
      <w:r w:rsidR="000D7E0A">
        <w:rPr>
          <w:szCs w:val="24"/>
        </w:rPr>
        <w:t xml:space="preserve"> </w:t>
      </w:r>
      <w:r w:rsidR="00C5228E">
        <w:rPr>
          <w:szCs w:val="24"/>
        </w:rPr>
        <w:t xml:space="preserve">the </w:t>
      </w:r>
      <w:r w:rsidR="000D7E0A">
        <w:rPr>
          <w:szCs w:val="24"/>
        </w:rPr>
        <w:t>collection</w:t>
      </w:r>
      <w:r w:rsidR="00C505DE">
        <w:rPr>
          <w:szCs w:val="24"/>
        </w:rPr>
        <w:t xml:space="preserve"> </w:t>
      </w:r>
      <w:r w:rsidR="000D7E0A">
        <w:rPr>
          <w:szCs w:val="24"/>
        </w:rPr>
        <w:t>of representative samples</w:t>
      </w:r>
      <w:r w:rsidRPr="004B6814">
        <w:rPr>
          <w:szCs w:val="24"/>
        </w:rPr>
        <w:t>, including the identification of the environmental media and the associated sampling frequency</w:t>
      </w:r>
      <w:r w:rsidR="005D0A2C">
        <w:rPr>
          <w:szCs w:val="24"/>
        </w:rPr>
        <w:t>;</w:t>
      </w:r>
    </w:p>
    <w:p w:rsidR="0031027D" w:rsidRPr="004B6814" w:rsidRDefault="0031027D" w:rsidP="0091132F">
      <w:pPr>
        <w:pStyle w:val="ListParagraph"/>
        <w:numPr>
          <w:ilvl w:val="0"/>
          <w:numId w:val="31"/>
        </w:numPr>
        <w:autoSpaceDE w:val="0"/>
        <w:autoSpaceDN w:val="0"/>
        <w:adjustRightInd w:val="0"/>
        <w:spacing w:before="120" w:after="0"/>
        <w:ind w:left="567" w:hanging="567"/>
        <w:contextualSpacing w:val="0"/>
        <w:jc w:val="both"/>
        <w:rPr>
          <w:szCs w:val="24"/>
        </w:rPr>
      </w:pPr>
      <w:r w:rsidRPr="004B6814">
        <w:rPr>
          <w:szCs w:val="24"/>
        </w:rPr>
        <w:t xml:space="preserve">Requirements relating to </w:t>
      </w:r>
      <w:r w:rsidR="00C5228E">
        <w:rPr>
          <w:szCs w:val="24"/>
        </w:rPr>
        <w:t xml:space="preserve">the </w:t>
      </w:r>
      <w:r w:rsidRPr="004B6814">
        <w:rPr>
          <w:szCs w:val="24"/>
        </w:rPr>
        <w:t>accreditation</w:t>
      </w:r>
      <w:r w:rsidR="003147B9">
        <w:rPr>
          <w:szCs w:val="24"/>
        </w:rPr>
        <w:t xml:space="preserve"> or qualification</w:t>
      </w:r>
      <w:r w:rsidR="00C5228E">
        <w:rPr>
          <w:szCs w:val="24"/>
        </w:rPr>
        <w:t xml:space="preserve"> of </w:t>
      </w:r>
      <w:r w:rsidR="00C5228E" w:rsidRPr="004B6814">
        <w:rPr>
          <w:szCs w:val="24"/>
        </w:rPr>
        <w:t>analytical laboratories</w:t>
      </w:r>
      <w:r w:rsidR="003147B9">
        <w:rPr>
          <w:rStyle w:val="FootnoteReference"/>
          <w:szCs w:val="24"/>
        </w:rPr>
        <w:footnoteReference w:id="19"/>
      </w:r>
      <w:r w:rsidR="005D0A2C">
        <w:rPr>
          <w:szCs w:val="24"/>
        </w:rPr>
        <w:t>;</w:t>
      </w:r>
    </w:p>
    <w:p w:rsidR="0031027D" w:rsidRPr="004B6814" w:rsidRDefault="0031027D" w:rsidP="0091132F">
      <w:pPr>
        <w:pStyle w:val="ListParagraph"/>
        <w:numPr>
          <w:ilvl w:val="0"/>
          <w:numId w:val="31"/>
        </w:numPr>
        <w:autoSpaceDE w:val="0"/>
        <w:autoSpaceDN w:val="0"/>
        <w:adjustRightInd w:val="0"/>
        <w:spacing w:before="120" w:after="0"/>
        <w:ind w:left="567" w:hanging="567"/>
        <w:contextualSpacing w:val="0"/>
        <w:jc w:val="both"/>
        <w:rPr>
          <w:szCs w:val="24"/>
        </w:rPr>
      </w:pPr>
      <w:r w:rsidRPr="004B6814">
        <w:rPr>
          <w:szCs w:val="24"/>
        </w:rPr>
        <w:t>Procedures for the calibration and performance testing of measurement equipment</w:t>
      </w:r>
      <w:r w:rsidR="005D0A2C">
        <w:rPr>
          <w:szCs w:val="24"/>
        </w:rPr>
        <w:t>;</w:t>
      </w:r>
    </w:p>
    <w:p w:rsidR="0031027D" w:rsidRPr="004B6814" w:rsidRDefault="0031027D" w:rsidP="0091132F">
      <w:pPr>
        <w:pStyle w:val="ListParagraph"/>
        <w:numPr>
          <w:ilvl w:val="0"/>
          <w:numId w:val="31"/>
        </w:numPr>
        <w:autoSpaceDE w:val="0"/>
        <w:autoSpaceDN w:val="0"/>
        <w:adjustRightInd w:val="0"/>
        <w:spacing w:before="120" w:after="0"/>
        <w:ind w:left="567" w:hanging="567"/>
        <w:contextualSpacing w:val="0"/>
        <w:jc w:val="both"/>
        <w:rPr>
          <w:szCs w:val="24"/>
        </w:rPr>
      </w:pPr>
      <w:r w:rsidRPr="004B6814">
        <w:rPr>
          <w:szCs w:val="24"/>
        </w:rPr>
        <w:t xml:space="preserve">A programme </w:t>
      </w:r>
      <w:r w:rsidR="00C5228E">
        <w:rPr>
          <w:szCs w:val="24"/>
        </w:rPr>
        <w:t>for</w:t>
      </w:r>
      <w:r w:rsidR="00C5228E" w:rsidRPr="004B6814">
        <w:rPr>
          <w:szCs w:val="24"/>
        </w:rPr>
        <w:t xml:space="preserve"> </w:t>
      </w:r>
      <w:proofErr w:type="spellStart"/>
      <w:r w:rsidRPr="004B6814">
        <w:rPr>
          <w:szCs w:val="24"/>
        </w:rPr>
        <w:t>intercomparison</w:t>
      </w:r>
      <w:proofErr w:type="spellEnd"/>
      <w:r w:rsidRPr="004B6814">
        <w:rPr>
          <w:szCs w:val="24"/>
        </w:rPr>
        <w:t xml:space="preserve"> of measurements</w:t>
      </w:r>
      <w:r w:rsidR="005D0A2C">
        <w:rPr>
          <w:szCs w:val="24"/>
        </w:rPr>
        <w:t>;</w:t>
      </w:r>
    </w:p>
    <w:p w:rsidR="0031027D" w:rsidRPr="004B6814" w:rsidRDefault="0031027D" w:rsidP="0091132F">
      <w:pPr>
        <w:pStyle w:val="ListParagraph"/>
        <w:numPr>
          <w:ilvl w:val="0"/>
          <w:numId w:val="31"/>
        </w:numPr>
        <w:autoSpaceDE w:val="0"/>
        <w:autoSpaceDN w:val="0"/>
        <w:adjustRightInd w:val="0"/>
        <w:spacing w:before="120" w:after="0"/>
        <w:ind w:left="567" w:hanging="567"/>
        <w:contextualSpacing w:val="0"/>
        <w:jc w:val="both"/>
        <w:rPr>
          <w:szCs w:val="24"/>
        </w:rPr>
      </w:pPr>
      <w:r w:rsidRPr="004B6814">
        <w:rPr>
          <w:szCs w:val="24"/>
        </w:rPr>
        <w:t>A record keeping system</w:t>
      </w:r>
      <w:r w:rsidR="005D0A2C">
        <w:rPr>
          <w:szCs w:val="24"/>
        </w:rPr>
        <w:t>;</w:t>
      </w:r>
    </w:p>
    <w:p w:rsidR="0031027D" w:rsidRPr="004B6814" w:rsidRDefault="0031027D" w:rsidP="0091132F">
      <w:pPr>
        <w:pStyle w:val="ListParagraph"/>
        <w:numPr>
          <w:ilvl w:val="0"/>
          <w:numId w:val="31"/>
        </w:numPr>
        <w:autoSpaceDE w:val="0"/>
        <w:autoSpaceDN w:val="0"/>
        <w:adjustRightInd w:val="0"/>
        <w:spacing w:before="120" w:after="0"/>
        <w:ind w:left="567" w:hanging="567"/>
        <w:contextualSpacing w:val="0"/>
        <w:jc w:val="both"/>
        <w:rPr>
          <w:szCs w:val="24"/>
        </w:rPr>
      </w:pPr>
      <w:r w:rsidRPr="004B6814">
        <w:rPr>
          <w:szCs w:val="24"/>
        </w:rPr>
        <w:t xml:space="preserve">A reporting procedure </w:t>
      </w:r>
      <w:r w:rsidR="00C5228E">
        <w:rPr>
          <w:szCs w:val="24"/>
        </w:rPr>
        <w:t xml:space="preserve">that is </w:t>
      </w:r>
      <w:r w:rsidRPr="004B6814">
        <w:rPr>
          <w:szCs w:val="24"/>
        </w:rPr>
        <w:t xml:space="preserve">in compliance with </w:t>
      </w:r>
      <w:r w:rsidR="00C5228E">
        <w:rPr>
          <w:szCs w:val="24"/>
        </w:rPr>
        <w:t>requirements of</w:t>
      </w:r>
      <w:r w:rsidRPr="004B6814">
        <w:rPr>
          <w:szCs w:val="24"/>
        </w:rPr>
        <w:t xml:space="preserve"> the regulatory body.</w:t>
      </w:r>
    </w:p>
    <w:p w:rsidR="003E0F5A" w:rsidRPr="00C10D10" w:rsidRDefault="003E0F5A" w:rsidP="00BC171D">
      <w:pPr>
        <w:pStyle w:val="ListParagraph"/>
        <w:autoSpaceDE w:val="0"/>
        <w:autoSpaceDN w:val="0"/>
        <w:adjustRightInd w:val="0"/>
        <w:spacing w:before="120"/>
        <w:contextualSpacing w:val="0"/>
        <w:jc w:val="both"/>
        <w:rPr>
          <w:b/>
          <w:szCs w:val="24"/>
        </w:rPr>
      </w:pPr>
      <w:r w:rsidRPr="00C10D10">
        <w:rPr>
          <w:b/>
          <w:szCs w:val="24"/>
        </w:rPr>
        <w:t>Independent monitoring by the regulatory body</w:t>
      </w:r>
    </w:p>
    <w:p w:rsidR="0070695B" w:rsidRPr="00C10D10" w:rsidRDefault="003E0F5A"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regulatory body </w:t>
      </w:r>
      <w:r w:rsidR="00FD1C72" w:rsidRPr="00C10D10">
        <w:rPr>
          <w:szCs w:val="24"/>
        </w:rPr>
        <w:t>should make</w:t>
      </w:r>
      <w:r w:rsidRPr="00C10D10">
        <w:rPr>
          <w:szCs w:val="24"/>
        </w:rPr>
        <w:t xml:space="preserve"> provision for independent monitoring. The characteristics </w:t>
      </w:r>
      <w:r w:rsidR="002E0B62">
        <w:rPr>
          <w:szCs w:val="24"/>
        </w:rPr>
        <w:t xml:space="preserve">of </w:t>
      </w:r>
      <w:r w:rsidR="002E0B62" w:rsidRPr="00C10D10">
        <w:rPr>
          <w:szCs w:val="24"/>
        </w:rPr>
        <w:t xml:space="preserve">independent monitoring </w:t>
      </w:r>
      <w:r w:rsidRPr="00C10D10">
        <w:rPr>
          <w:szCs w:val="24"/>
        </w:rPr>
        <w:t xml:space="preserve">and the resources devoted to independent </w:t>
      </w:r>
      <w:r w:rsidR="00FD1C72" w:rsidRPr="00C10D10">
        <w:rPr>
          <w:szCs w:val="24"/>
        </w:rPr>
        <w:t>monitoring</w:t>
      </w:r>
      <w:r w:rsidRPr="00C10D10">
        <w:rPr>
          <w:szCs w:val="24"/>
        </w:rPr>
        <w:t xml:space="preserve"> should be based on a </w:t>
      </w:r>
      <w:r w:rsidRPr="00557D60">
        <w:rPr>
          <w:szCs w:val="24"/>
        </w:rPr>
        <w:t xml:space="preserve">graded </w:t>
      </w:r>
      <w:r w:rsidRPr="00536692">
        <w:rPr>
          <w:szCs w:val="24"/>
        </w:rPr>
        <w:t>approach</w:t>
      </w:r>
      <w:r w:rsidR="00557D60" w:rsidRPr="00536692">
        <w:rPr>
          <w:szCs w:val="24"/>
        </w:rPr>
        <w:t xml:space="preserve"> and should incorporate best practices and scientifically </w:t>
      </w:r>
      <w:r w:rsidR="000D7E0A" w:rsidRPr="00536692">
        <w:rPr>
          <w:szCs w:val="24"/>
        </w:rPr>
        <w:t xml:space="preserve">sound analytical </w:t>
      </w:r>
      <w:r w:rsidR="00557D60" w:rsidRPr="00536692">
        <w:rPr>
          <w:szCs w:val="24"/>
        </w:rPr>
        <w:t>methods</w:t>
      </w:r>
      <w:r w:rsidRPr="00557D60">
        <w:rPr>
          <w:szCs w:val="24"/>
        </w:rPr>
        <w:t>.</w:t>
      </w:r>
      <w:r w:rsidRPr="00C10D10">
        <w:rPr>
          <w:szCs w:val="24"/>
        </w:rPr>
        <w:t xml:space="preserve"> </w:t>
      </w:r>
      <w:r w:rsidRPr="00B13FB8">
        <w:rPr>
          <w:szCs w:val="24"/>
        </w:rPr>
        <w:t>Such</w:t>
      </w:r>
      <w:r w:rsidRPr="00C10D10">
        <w:rPr>
          <w:szCs w:val="24"/>
        </w:rPr>
        <w:t xml:space="preserve"> monitoring may be undertaken by the regulatory </w:t>
      </w:r>
      <w:r w:rsidRPr="00C10D10">
        <w:rPr>
          <w:szCs w:val="24"/>
        </w:rPr>
        <w:lastRenderedPageBreak/>
        <w:t xml:space="preserve">body or by another organization on behalf of the regulatory body that is independent of the </w:t>
      </w:r>
      <w:r w:rsidR="005A3563" w:rsidRPr="00C10D10">
        <w:rPr>
          <w:szCs w:val="24"/>
        </w:rPr>
        <w:t>operating organization</w:t>
      </w:r>
      <w:r w:rsidRPr="00C10D10">
        <w:rPr>
          <w:szCs w:val="24"/>
        </w:rPr>
        <w:t>.</w:t>
      </w:r>
      <w:r w:rsidR="0070695B" w:rsidRPr="00C10D10">
        <w:rPr>
          <w:szCs w:val="24"/>
        </w:rPr>
        <w:t xml:space="preserve"> </w:t>
      </w:r>
    </w:p>
    <w:p w:rsidR="0070695B" w:rsidRPr="00C10D10" w:rsidRDefault="003E0F5A"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purpose of such independent monitoring may </w:t>
      </w:r>
      <w:r w:rsidR="00C40A87" w:rsidRPr="00C10D10">
        <w:rPr>
          <w:szCs w:val="24"/>
        </w:rPr>
        <w:t>be one or more of the following</w:t>
      </w:r>
      <w:r w:rsidRPr="00C10D10">
        <w:rPr>
          <w:szCs w:val="24"/>
        </w:rPr>
        <w:t>:</w:t>
      </w:r>
      <w:r w:rsidR="0070695B" w:rsidRPr="00C10D10">
        <w:rPr>
          <w:szCs w:val="24"/>
        </w:rPr>
        <w:t xml:space="preserve"> </w:t>
      </w:r>
    </w:p>
    <w:p w:rsidR="003E0F5A" w:rsidRPr="00C10D10" w:rsidRDefault="003E0F5A" w:rsidP="0091132F">
      <w:pPr>
        <w:pStyle w:val="ListParagraph"/>
        <w:numPr>
          <w:ilvl w:val="1"/>
          <w:numId w:val="10"/>
        </w:numPr>
        <w:tabs>
          <w:tab w:val="clear" w:pos="1440"/>
          <w:tab w:val="left" w:pos="851"/>
        </w:tabs>
        <w:autoSpaceDE w:val="0"/>
        <w:autoSpaceDN w:val="0"/>
        <w:adjustRightInd w:val="0"/>
        <w:spacing w:before="120" w:after="0"/>
        <w:ind w:left="567" w:hanging="567"/>
        <w:contextualSpacing w:val="0"/>
        <w:jc w:val="both"/>
        <w:rPr>
          <w:szCs w:val="24"/>
        </w:rPr>
      </w:pPr>
      <w:r w:rsidRPr="00C10D10">
        <w:rPr>
          <w:szCs w:val="24"/>
        </w:rPr>
        <w:t xml:space="preserve">To verify the quality of the results provided by the </w:t>
      </w:r>
      <w:r w:rsidR="005A3563" w:rsidRPr="00C10D10">
        <w:rPr>
          <w:szCs w:val="24"/>
        </w:rPr>
        <w:t>operating organization</w:t>
      </w:r>
      <w:r w:rsidRPr="00C10D10">
        <w:rPr>
          <w:szCs w:val="24"/>
        </w:rPr>
        <w:t>;</w:t>
      </w:r>
    </w:p>
    <w:p w:rsidR="003E0F5A" w:rsidRPr="00C10D10" w:rsidRDefault="003E0F5A" w:rsidP="0091132F">
      <w:pPr>
        <w:pStyle w:val="ListParagraph"/>
        <w:numPr>
          <w:ilvl w:val="1"/>
          <w:numId w:val="10"/>
        </w:numPr>
        <w:tabs>
          <w:tab w:val="clear" w:pos="1440"/>
          <w:tab w:val="left" w:pos="851"/>
        </w:tabs>
        <w:autoSpaceDE w:val="0"/>
        <w:autoSpaceDN w:val="0"/>
        <w:adjustRightInd w:val="0"/>
        <w:spacing w:before="120" w:after="0"/>
        <w:ind w:left="567" w:hanging="567"/>
        <w:contextualSpacing w:val="0"/>
        <w:jc w:val="both"/>
        <w:rPr>
          <w:szCs w:val="24"/>
        </w:rPr>
      </w:pPr>
      <w:r w:rsidRPr="00C10D10">
        <w:rPr>
          <w:szCs w:val="24"/>
        </w:rPr>
        <w:t>To verify the assessment of dose</w:t>
      </w:r>
      <w:r w:rsidR="00C5228E">
        <w:rPr>
          <w:szCs w:val="24"/>
        </w:rPr>
        <w:t>s</w:t>
      </w:r>
      <w:r w:rsidRPr="00C10D10">
        <w:rPr>
          <w:szCs w:val="24"/>
        </w:rPr>
        <w:t xml:space="preserve"> to the representative person;</w:t>
      </w:r>
    </w:p>
    <w:p w:rsidR="003E0F5A" w:rsidRPr="00C10D10" w:rsidRDefault="003E0F5A" w:rsidP="0091132F">
      <w:pPr>
        <w:pStyle w:val="ListParagraph"/>
        <w:numPr>
          <w:ilvl w:val="1"/>
          <w:numId w:val="10"/>
        </w:numPr>
        <w:tabs>
          <w:tab w:val="clear" w:pos="1440"/>
          <w:tab w:val="left" w:pos="851"/>
        </w:tabs>
        <w:autoSpaceDE w:val="0"/>
        <w:autoSpaceDN w:val="0"/>
        <w:adjustRightInd w:val="0"/>
        <w:spacing w:before="120" w:after="0"/>
        <w:ind w:left="567" w:hanging="567"/>
        <w:contextualSpacing w:val="0"/>
        <w:jc w:val="both"/>
        <w:rPr>
          <w:szCs w:val="24"/>
        </w:rPr>
      </w:pPr>
      <w:r w:rsidRPr="00C10D10">
        <w:rPr>
          <w:szCs w:val="24"/>
        </w:rPr>
        <w:t>To determine the consequences of any unforeseen release of radioactive material;</w:t>
      </w:r>
    </w:p>
    <w:p w:rsidR="003E0F5A" w:rsidRPr="00C10D10" w:rsidRDefault="003E0F5A" w:rsidP="0091132F">
      <w:pPr>
        <w:pStyle w:val="ListParagraph"/>
        <w:numPr>
          <w:ilvl w:val="1"/>
          <w:numId w:val="10"/>
        </w:numPr>
        <w:tabs>
          <w:tab w:val="clear" w:pos="1440"/>
          <w:tab w:val="left" w:pos="851"/>
        </w:tabs>
        <w:autoSpaceDE w:val="0"/>
        <w:autoSpaceDN w:val="0"/>
        <w:adjustRightInd w:val="0"/>
        <w:spacing w:before="120" w:after="0"/>
        <w:ind w:left="567" w:hanging="567"/>
        <w:contextualSpacing w:val="0"/>
        <w:jc w:val="both"/>
        <w:rPr>
          <w:szCs w:val="24"/>
        </w:rPr>
      </w:pPr>
      <w:r w:rsidRPr="00C10D10">
        <w:rPr>
          <w:szCs w:val="24"/>
        </w:rPr>
        <w:t>To undertake research into exposure pathways, including the contributions to dose of other sources of exposure;</w:t>
      </w:r>
    </w:p>
    <w:p w:rsidR="003E0F5A" w:rsidRPr="00C10D10" w:rsidRDefault="003E0F5A" w:rsidP="0091132F">
      <w:pPr>
        <w:pStyle w:val="ListParagraph"/>
        <w:numPr>
          <w:ilvl w:val="1"/>
          <w:numId w:val="10"/>
        </w:numPr>
        <w:tabs>
          <w:tab w:val="clear" w:pos="1440"/>
          <w:tab w:val="left" w:pos="851"/>
        </w:tabs>
        <w:autoSpaceDE w:val="0"/>
        <w:autoSpaceDN w:val="0"/>
        <w:adjustRightInd w:val="0"/>
        <w:spacing w:before="120" w:after="0"/>
        <w:ind w:left="567" w:hanging="567"/>
        <w:contextualSpacing w:val="0"/>
        <w:jc w:val="both"/>
        <w:rPr>
          <w:szCs w:val="24"/>
        </w:rPr>
      </w:pPr>
      <w:r w:rsidRPr="00C10D10">
        <w:rPr>
          <w:szCs w:val="24"/>
        </w:rPr>
        <w:t>To provide public reassurance.</w:t>
      </w:r>
    </w:p>
    <w:p w:rsidR="003E0F5A" w:rsidRPr="00C10D10" w:rsidRDefault="003E0F5A" w:rsidP="00BC171D">
      <w:pPr>
        <w:pStyle w:val="ListParagraph"/>
        <w:autoSpaceDE w:val="0"/>
        <w:autoSpaceDN w:val="0"/>
        <w:adjustRightInd w:val="0"/>
        <w:spacing w:before="120"/>
        <w:contextualSpacing w:val="0"/>
        <w:jc w:val="both"/>
        <w:rPr>
          <w:b/>
          <w:szCs w:val="24"/>
        </w:rPr>
      </w:pPr>
      <w:r w:rsidRPr="00C10D10">
        <w:rPr>
          <w:b/>
          <w:szCs w:val="24"/>
        </w:rPr>
        <w:t>Retrospective assessment</w:t>
      </w:r>
    </w:p>
    <w:p w:rsidR="0070695B" w:rsidRPr="00C10D10" w:rsidRDefault="003E0F5A" w:rsidP="0091132F">
      <w:pPr>
        <w:pStyle w:val="ListParagraph"/>
        <w:numPr>
          <w:ilvl w:val="0"/>
          <w:numId w:val="7"/>
        </w:numPr>
        <w:autoSpaceDE w:val="0"/>
        <w:autoSpaceDN w:val="0"/>
        <w:adjustRightInd w:val="0"/>
        <w:spacing w:before="120"/>
        <w:contextualSpacing w:val="0"/>
        <w:jc w:val="both"/>
        <w:rPr>
          <w:szCs w:val="24"/>
        </w:rPr>
      </w:pPr>
      <w:r w:rsidRPr="00C10D10">
        <w:rPr>
          <w:szCs w:val="24"/>
        </w:rPr>
        <w:t>A</w:t>
      </w:r>
      <w:r w:rsidR="005D0A2C">
        <w:rPr>
          <w:szCs w:val="24"/>
        </w:rPr>
        <w:t>n</w:t>
      </w:r>
      <w:r w:rsidR="003B39D6">
        <w:rPr>
          <w:szCs w:val="24"/>
        </w:rPr>
        <w:t xml:space="preserve"> additional</w:t>
      </w:r>
      <w:r w:rsidR="00C5228E">
        <w:rPr>
          <w:szCs w:val="24"/>
        </w:rPr>
        <w:t xml:space="preserve"> </w:t>
      </w:r>
      <w:r w:rsidR="008B5545">
        <w:rPr>
          <w:szCs w:val="24"/>
        </w:rPr>
        <w:t>means of</w:t>
      </w:r>
      <w:r w:rsidR="005D0A2C">
        <w:rPr>
          <w:szCs w:val="24"/>
        </w:rPr>
        <w:t xml:space="preserve"> </w:t>
      </w:r>
      <w:r w:rsidRPr="00C10D10">
        <w:rPr>
          <w:szCs w:val="24"/>
        </w:rPr>
        <w:t>demonstrat</w:t>
      </w:r>
      <w:r w:rsidR="00C5228E">
        <w:rPr>
          <w:szCs w:val="24"/>
        </w:rPr>
        <w:t>ing</w:t>
      </w:r>
      <w:r w:rsidRPr="00C10D10">
        <w:rPr>
          <w:szCs w:val="24"/>
        </w:rPr>
        <w:t xml:space="preserve"> compliance is to carry out a retrospective assessment of the radiological impact of the discharges. This should include the assessment of doses to the representative person from </w:t>
      </w:r>
      <w:r w:rsidR="005D0A2C">
        <w:rPr>
          <w:szCs w:val="24"/>
        </w:rPr>
        <w:t xml:space="preserve">measurements taken as part of the source </w:t>
      </w:r>
      <w:r w:rsidR="00C5228E">
        <w:rPr>
          <w:szCs w:val="24"/>
        </w:rPr>
        <w:t xml:space="preserve">monitoring </w:t>
      </w:r>
      <w:r w:rsidR="005D0A2C">
        <w:rPr>
          <w:szCs w:val="24"/>
        </w:rPr>
        <w:t xml:space="preserve">or </w:t>
      </w:r>
      <w:r w:rsidR="007927B0">
        <w:rPr>
          <w:szCs w:val="24"/>
        </w:rPr>
        <w:t xml:space="preserve">environmental monitoring </w:t>
      </w:r>
      <w:r w:rsidR="005D0A2C">
        <w:rPr>
          <w:szCs w:val="24"/>
        </w:rPr>
        <w:t xml:space="preserve">programmes </w:t>
      </w:r>
      <w:r w:rsidRPr="00C10D10">
        <w:rPr>
          <w:szCs w:val="24"/>
        </w:rPr>
        <w:t xml:space="preserve">and </w:t>
      </w:r>
      <w:r w:rsidR="007927B0">
        <w:rPr>
          <w:szCs w:val="24"/>
        </w:rPr>
        <w:t xml:space="preserve">should </w:t>
      </w:r>
      <w:r w:rsidRPr="00C10D10">
        <w:rPr>
          <w:szCs w:val="24"/>
        </w:rPr>
        <w:t>consider the relevance of the exposure pathways and related information that were assumed in the prospective assessment of the possible discharges in setting the limits originally.</w:t>
      </w:r>
      <w:r w:rsidR="0070695B" w:rsidRPr="00C10D10">
        <w:rPr>
          <w:szCs w:val="24"/>
        </w:rPr>
        <w:t xml:space="preserve"> </w:t>
      </w:r>
    </w:p>
    <w:p w:rsidR="0070695B" w:rsidRPr="00C10D10" w:rsidRDefault="00731B34" w:rsidP="0091132F">
      <w:pPr>
        <w:pStyle w:val="ListParagraph"/>
        <w:numPr>
          <w:ilvl w:val="0"/>
          <w:numId w:val="7"/>
        </w:numPr>
        <w:autoSpaceDE w:val="0"/>
        <w:autoSpaceDN w:val="0"/>
        <w:adjustRightInd w:val="0"/>
        <w:spacing w:before="120"/>
        <w:contextualSpacing w:val="0"/>
        <w:jc w:val="both"/>
        <w:rPr>
          <w:szCs w:val="24"/>
        </w:rPr>
      </w:pPr>
      <w:r>
        <w:rPr>
          <w:szCs w:val="24"/>
        </w:rPr>
        <w:t xml:space="preserve">The results of retrospective assessments using environmental monitoring data should </w:t>
      </w:r>
      <w:r w:rsidR="00C5228E">
        <w:rPr>
          <w:szCs w:val="24"/>
        </w:rPr>
        <w:t>only</w:t>
      </w:r>
      <w:r>
        <w:rPr>
          <w:szCs w:val="24"/>
        </w:rPr>
        <w:t xml:space="preserve"> be compared with the doses used to derive the discharge limits</w:t>
      </w:r>
      <w:r w:rsidR="00A54FD5" w:rsidRPr="00A54FD5">
        <w:rPr>
          <w:szCs w:val="24"/>
        </w:rPr>
        <w:t xml:space="preserve"> </w:t>
      </w:r>
      <w:r w:rsidR="00A54FD5">
        <w:rPr>
          <w:szCs w:val="24"/>
        </w:rPr>
        <w:t>with careful consideration</w:t>
      </w:r>
      <w:r>
        <w:rPr>
          <w:szCs w:val="24"/>
        </w:rPr>
        <w:t xml:space="preserve">. </w:t>
      </w:r>
      <w:r w:rsidR="00642BAE">
        <w:rPr>
          <w:szCs w:val="24"/>
        </w:rPr>
        <w:t>B</w:t>
      </w:r>
      <w:r w:rsidR="00672181">
        <w:rPr>
          <w:szCs w:val="24"/>
        </w:rPr>
        <w:t>ecause of</w:t>
      </w:r>
      <w:r w:rsidR="003E0F5A" w:rsidRPr="00C10D10">
        <w:rPr>
          <w:szCs w:val="24"/>
        </w:rPr>
        <w:t xml:space="preserve"> the cautious nature of </w:t>
      </w:r>
      <w:r w:rsidR="005E202C">
        <w:rPr>
          <w:szCs w:val="24"/>
        </w:rPr>
        <w:t xml:space="preserve">models </w:t>
      </w:r>
      <w:r w:rsidR="004435BC">
        <w:rPr>
          <w:szCs w:val="24"/>
        </w:rPr>
        <w:t xml:space="preserve">for environmental dispersion and transfer </w:t>
      </w:r>
      <w:r w:rsidR="005E202C">
        <w:rPr>
          <w:szCs w:val="24"/>
        </w:rPr>
        <w:t xml:space="preserve">used in </w:t>
      </w:r>
      <w:r w:rsidR="003E0F5A" w:rsidRPr="00C10D10">
        <w:rPr>
          <w:szCs w:val="24"/>
        </w:rPr>
        <w:t xml:space="preserve">prospective dose assessments, the doses to the representative </w:t>
      </w:r>
      <w:r w:rsidR="00636149" w:rsidRPr="00C10D10">
        <w:rPr>
          <w:szCs w:val="24"/>
        </w:rPr>
        <w:t xml:space="preserve">person </w:t>
      </w:r>
      <w:r w:rsidR="00636149">
        <w:rPr>
          <w:szCs w:val="24"/>
        </w:rPr>
        <w:t>determined</w:t>
      </w:r>
      <w:r w:rsidR="002E0B62" w:rsidRPr="00C10D10">
        <w:rPr>
          <w:szCs w:val="24"/>
        </w:rPr>
        <w:t xml:space="preserve"> </w:t>
      </w:r>
      <w:r w:rsidR="003E0F5A" w:rsidRPr="00C10D10">
        <w:rPr>
          <w:szCs w:val="24"/>
        </w:rPr>
        <w:t xml:space="preserve">retrospectively </w:t>
      </w:r>
      <w:r w:rsidR="005E202C">
        <w:rPr>
          <w:szCs w:val="24"/>
        </w:rPr>
        <w:t xml:space="preserve">using environmental monitoring data </w:t>
      </w:r>
      <w:r w:rsidR="003E0F5A" w:rsidRPr="00C10D10">
        <w:rPr>
          <w:szCs w:val="24"/>
        </w:rPr>
        <w:t>will, in</w:t>
      </w:r>
      <w:r w:rsidR="00F34CE9">
        <w:rPr>
          <w:szCs w:val="24"/>
        </w:rPr>
        <w:t xml:space="preserve"> </w:t>
      </w:r>
      <w:r w:rsidR="00C3128A">
        <w:rPr>
          <w:szCs w:val="24"/>
        </w:rPr>
        <w:t>general</w:t>
      </w:r>
      <w:r w:rsidR="005E202C">
        <w:rPr>
          <w:szCs w:val="24"/>
        </w:rPr>
        <w:t>,</w:t>
      </w:r>
      <w:r w:rsidR="00C3128A">
        <w:rPr>
          <w:szCs w:val="24"/>
        </w:rPr>
        <w:t xml:space="preserve"> </w:t>
      </w:r>
      <w:r w:rsidR="00C3128A" w:rsidRPr="00C10D10">
        <w:rPr>
          <w:szCs w:val="24"/>
        </w:rPr>
        <w:t>be</w:t>
      </w:r>
      <w:r w:rsidR="003E0F5A" w:rsidRPr="00C10D10">
        <w:rPr>
          <w:szCs w:val="24"/>
        </w:rPr>
        <w:t xml:space="preserve"> lower than those</w:t>
      </w:r>
      <w:r w:rsidR="00C3128A">
        <w:rPr>
          <w:szCs w:val="24"/>
        </w:rPr>
        <w:t xml:space="preserve"> calculated using data from source monitoring</w:t>
      </w:r>
      <w:r w:rsidR="003E0F5A" w:rsidRPr="00C10D10">
        <w:rPr>
          <w:szCs w:val="24"/>
        </w:rPr>
        <w:t xml:space="preserve">. </w:t>
      </w:r>
      <w:r w:rsidR="00FD1C72" w:rsidRPr="00C10D10">
        <w:rPr>
          <w:rFonts w:eastAsia="MS Mincho"/>
          <w:szCs w:val="24"/>
        </w:rPr>
        <w:t xml:space="preserve">Measurements </w:t>
      </w:r>
      <w:r w:rsidR="00C3128A">
        <w:rPr>
          <w:rFonts w:eastAsia="MS Mincho"/>
          <w:szCs w:val="24"/>
        </w:rPr>
        <w:t xml:space="preserve">in the environment </w:t>
      </w:r>
      <w:r w:rsidR="00FD1C72" w:rsidRPr="00C10D10">
        <w:rPr>
          <w:rFonts w:eastAsia="MS Mincho"/>
          <w:szCs w:val="24"/>
        </w:rPr>
        <w:t xml:space="preserve">may </w:t>
      </w:r>
      <w:r w:rsidR="004435BC">
        <w:rPr>
          <w:rFonts w:eastAsia="MS Mincho"/>
          <w:szCs w:val="24"/>
        </w:rPr>
        <w:t xml:space="preserve">also </w:t>
      </w:r>
      <w:r w:rsidR="00FD1C72" w:rsidRPr="00C10D10">
        <w:rPr>
          <w:rFonts w:eastAsia="MS Mincho"/>
          <w:szCs w:val="24"/>
        </w:rPr>
        <w:t xml:space="preserve">be </w:t>
      </w:r>
      <w:r w:rsidR="00F34CE9">
        <w:rPr>
          <w:rFonts w:eastAsia="MS Mincho"/>
          <w:szCs w:val="24"/>
        </w:rPr>
        <w:t>below</w:t>
      </w:r>
      <w:r w:rsidR="00FD1C72" w:rsidRPr="00C10D10">
        <w:rPr>
          <w:rFonts w:eastAsia="MS Mincho"/>
          <w:szCs w:val="24"/>
        </w:rPr>
        <w:t xml:space="preserve"> limits of detection, </w:t>
      </w:r>
      <w:r>
        <w:rPr>
          <w:rFonts w:eastAsia="MS Mincho"/>
          <w:szCs w:val="24"/>
        </w:rPr>
        <w:t xml:space="preserve">and </w:t>
      </w:r>
      <w:r w:rsidR="00FD1C72" w:rsidRPr="00C10D10">
        <w:rPr>
          <w:rFonts w:eastAsia="MS Mincho"/>
          <w:szCs w:val="24"/>
        </w:rPr>
        <w:t>may include contributions from</w:t>
      </w:r>
      <w:r w:rsidR="00C3128A">
        <w:rPr>
          <w:rFonts w:eastAsia="MS Mincho"/>
          <w:szCs w:val="24"/>
        </w:rPr>
        <w:t xml:space="preserve"> </w:t>
      </w:r>
      <w:r w:rsidR="00FD1C72" w:rsidRPr="00C10D10">
        <w:rPr>
          <w:rFonts w:eastAsia="MS Mincho"/>
          <w:szCs w:val="24"/>
        </w:rPr>
        <w:t>other installations, past accidental releases or fallout from past nuclear weapon testing</w:t>
      </w:r>
      <w:r w:rsidR="00C5228E">
        <w:rPr>
          <w:rFonts w:eastAsia="MS Mincho"/>
          <w:szCs w:val="24"/>
        </w:rPr>
        <w:t>,</w:t>
      </w:r>
      <w:r w:rsidR="00FD1C72" w:rsidRPr="00C10D10">
        <w:rPr>
          <w:rFonts w:eastAsia="MS Mincho"/>
          <w:szCs w:val="24"/>
        </w:rPr>
        <w:t xml:space="preserve"> or may not be </w:t>
      </w:r>
      <w:r w:rsidR="00C40A87" w:rsidRPr="00C10D10">
        <w:rPr>
          <w:rFonts w:eastAsia="MS Mincho"/>
          <w:szCs w:val="24"/>
        </w:rPr>
        <w:t xml:space="preserve">representative </w:t>
      </w:r>
      <w:r w:rsidR="00672181">
        <w:rPr>
          <w:rStyle w:val="CommentReference"/>
          <w:sz w:val="24"/>
          <w:szCs w:val="24"/>
        </w:rPr>
        <w:t>because of</w:t>
      </w:r>
      <w:r w:rsidR="00FD1C72" w:rsidRPr="00C10D10">
        <w:rPr>
          <w:rFonts w:eastAsia="MS Mincho"/>
          <w:szCs w:val="24"/>
        </w:rPr>
        <w:t xml:space="preserve"> the characteristics </w:t>
      </w:r>
      <w:r w:rsidR="004435BC">
        <w:rPr>
          <w:rFonts w:eastAsia="MS Mincho"/>
          <w:szCs w:val="24"/>
        </w:rPr>
        <w:t xml:space="preserve">in the frequency and spatial coverage </w:t>
      </w:r>
      <w:r w:rsidR="00FD1C72" w:rsidRPr="00C10D10">
        <w:rPr>
          <w:rFonts w:eastAsia="MS Mincho"/>
          <w:szCs w:val="24"/>
        </w:rPr>
        <w:t xml:space="preserve">of the </w:t>
      </w:r>
      <w:r w:rsidR="00C3128A">
        <w:rPr>
          <w:rFonts w:eastAsia="MS Mincho"/>
          <w:szCs w:val="24"/>
        </w:rPr>
        <w:t xml:space="preserve">environmental </w:t>
      </w:r>
      <w:r w:rsidR="00FD1C72" w:rsidRPr="00C10D10">
        <w:rPr>
          <w:rFonts w:eastAsia="MS Mincho"/>
          <w:szCs w:val="24"/>
        </w:rPr>
        <w:t>sampling techniques (</w:t>
      </w:r>
      <w:r w:rsidR="00C3128A">
        <w:rPr>
          <w:rFonts w:eastAsia="MS Mincho"/>
          <w:szCs w:val="24"/>
        </w:rPr>
        <w:t xml:space="preserve">which </w:t>
      </w:r>
      <w:r w:rsidR="00C5228E">
        <w:rPr>
          <w:rFonts w:eastAsia="MS Mincho"/>
          <w:szCs w:val="24"/>
        </w:rPr>
        <w:t>result in data</w:t>
      </w:r>
      <w:r w:rsidR="00C3128A">
        <w:rPr>
          <w:rFonts w:eastAsia="MS Mincho"/>
          <w:szCs w:val="24"/>
        </w:rPr>
        <w:t xml:space="preserve"> </w:t>
      </w:r>
      <w:r w:rsidR="00FD1C72" w:rsidRPr="00C10D10">
        <w:rPr>
          <w:rFonts w:eastAsia="MS Mincho"/>
          <w:szCs w:val="24"/>
        </w:rPr>
        <w:t>reduced in time and space</w:t>
      </w:r>
      <w:r w:rsidR="005E202C">
        <w:rPr>
          <w:rFonts w:eastAsia="MS Mincho"/>
          <w:szCs w:val="24"/>
        </w:rPr>
        <w:t>)</w:t>
      </w:r>
      <w:r w:rsidR="00FD1C72" w:rsidRPr="00C10D10">
        <w:rPr>
          <w:rFonts w:eastAsia="MS Mincho"/>
          <w:szCs w:val="24"/>
        </w:rPr>
        <w:t>.</w:t>
      </w:r>
      <w:r w:rsidR="0070695B" w:rsidRPr="00C10D10">
        <w:rPr>
          <w:szCs w:val="24"/>
        </w:rPr>
        <w:t xml:space="preserve"> </w:t>
      </w:r>
    </w:p>
    <w:p w:rsidR="00FC7A58" w:rsidRPr="00C10D10" w:rsidRDefault="00FC7A58" w:rsidP="007D32C1">
      <w:pPr>
        <w:pStyle w:val="ListParagraph"/>
        <w:autoSpaceDE w:val="0"/>
        <w:autoSpaceDN w:val="0"/>
        <w:adjustRightInd w:val="0"/>
        <w:spacing w:before="120"/>
        <w:contextualSpacing w:val="0"/>
        <w:jc w:val="both"/>
        <w:rPr>
          <w:b/>
          <w:szCs w:val="24"/>
        </w:rPr>
      </w:pPr>
      <w:r w:rsidRPr="00C10D10">
        <w:rPr>
          <w:b/>
          <w:szCs w:val="24"/>
        </w:rPr>
        <w:t>Records</w:t>
      </w:r>
      <w:r w:rsidR="00F57F8C" w:rsidRPr="00C10D10">
        <w:rPr>
          <w:b/>
          <w:szCs w:val="24"/>
        </w:rPr>
        <w:t xml:space="preserve"> and reporting</w:t>
      </w:r>
    </w:p>
    <w:p w:rsidR="0070695B" w:rsidRPr="00C10D10" w:rsidRDefault="00482223"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Records of the results of </w:t>
      </w:r>
      <w:r w:rsidR="009A1C06">
        <w:rPr>
          <w:szCs w:val="24"/>
        </w:rPr>
        <w:t xml:space="preserve">source </w:t>
      </w:r>
      <w:r w:rsidR="00C5228E" w:rsidRPr="00C10D10">
        <w:rPr>
          <w:szCs w:val="24"/>
        </w:rPr>
        <w:t xml:space="preserve">monitoring </w:t>
      </w:r>
      <w:r w:rsidR="009A1C06">
        <w:rPr>
          <w:szCs w:val="24"/>
        </w:rPr>
        <w:t xml:space="preserve">and environmental </w:t>
      </w:r>
      <w:r w:rsidRPr="00C10D10">
        <w:rPr>
          <w:szCs w:val="24"/>
        </w:rPr>
        <w:t>monitoring and verification of compliance</w:t>
      </w:r>
      <w:r w:rsidR="00491272">
        <w:rPr>
          <w:szCs w:val="24"/>
        </w:rPr>
        <w:t>, including retrospective assessment of the radiological impact of the discharges,</w:t>
      </w:r>
      <w:r w:rsidRPr="00C10D10">
        <w:rPr>
          <w:szCs w:val="24"/>
        </w:rPr>
        <w:t xml:space="preserve"> </w:t>
      </w:r>
      <w:r w:rsidR="00672181" w:rsidRPr="00C10D10">
        <w:rPr>
          <w:szCs w:val="24"/>
        </w:rPr>
        <w:t xml:space="preserve">should be </w:t>
      </w:r>
      <w:r w:rsidR="00C5228E">
        <w:rPr>
          <w:szCs w:val="24"/>
        </w:rPr>
        <w:t>retained</w:t>
      </w:r>
      <w:r w:rsidR="00C5228E" w:rsidRPr="00C10D10">
        <w:rPr>
          <w:szCs w:val="24"/>
        </w:rPr>
        <w:t xml:space="preserve"> </w:t>
      </w:r>
      <w:r w:rsidR="00672181" w:rsidRPr="00C10D10">
        <w:rPr>
          <w:szCs w:val="24"/>
        </w:rPr>
        <w:t xml:space="preserve">by the operating organization </w:t>
      </w:r>
      <w:r w:rsidRPr="00C10D10">
        <w:rPr>
          <w:szCs w:val="24"/>
        </w:rPr>
        <w:t>[</w:t>
      </w:r>
      <w:r w:rsidR="00E21913">
        <w:rPr>
          <w:szCs w:val="24"/>
        </w:rPr>
        <w:t>9</w:t>
      </w:r>
      <w:r w:rsidRPr="00C10D10">
        <w:rPr>
          <w:szCs w:val="24"/>
        </w:rPr>
        <w:t>].</w:t>
      </w:r>
      <w:r w:rsidR="00F57F8C" w:rsidRPr="00C10D10">
        <w:rPr>
          <w:szCs w:val="24"/>
        </w:rPr>
        <w:t xml:space="preserve"> The regulatory body should establish the </w:t>
      </w:r>
      <w:r w:rsidR="001F486A">
        <w:rPr>
          <w:szCs w:val="24"/>
        </w:rPr>
        <w:t>content</w:t>
      </w:r>
      <w:r w:rsidR="001F486A" w:rsidRPr="00C10D10">
        <w:rPr>
          <w:szCs w:val="24"/>
        </w:rPr>
        <w:t xml:space="preserve"> </w:t>
      </w:r>
      <w:r w:rsidR="00F57F8C" w:rsidRPr="00C10D10">
        <w:rPr>
          <w:szCs w:val="24"/>
        </w:rPr>
        <w:t xml:space="preserve">and </w:t>
      </w:r>
      <w:r w:rsidR="001F486A">
        <w:rPr>
          <w:szCs w:val="24"/>
        </w:rPr>
        <w:t xml:space="preserve">the </w:t>
      </w:r>
      <w:r w:rsidR="00F57F8C" w:rsidRPr="00C10D10">
        <w:rPr>
          <w:szCs w:val="24"/>
        </w:rPr>
        <w:t>frequency of</w:t>
      </w:r>
      <w:r w:rsidR="00672181">
        <w:rPr>
          <w:szCs w:val="24"/>
        </w:rPr>
        <w:t xml:space="preserve"> the</w:t>
      </w:r>
      <w:r w:rsidR="00F57F8C" w:rsidRPr="00C10D10">
        <w:rPr>
          <w:szCs w:val="24"/>
        </w:rPr>
        <w:t xml:space="preserve"> reporting </w:t>
      </w:r>
      <w:r w:rsidR="001F486A">
        <w:rPr>
          <w:szCs w:val="24"/>
        </w:rPr>
        <w:t xml:space="preserve">of </w:t>
      </w:r>
      <w:r w:rsidR="00C5228E">
        <w:rPr>
          <w:szCs w:val="24"/>
        </w:rPr>
        <w:t>such results</w:t>
      </w:r>
      <w:r w:rsidR="00F57F8C" w:rsidRPr="00C10D10">
        <w:rPr>
          <w:szCs w:val="24"/>
        </w:rPr>
        <w:t>.</w:t>
      </w:r>
      <w:r w:rsidR="0070695B" w:rsidRPr="00C10D10">
        <w:rPr>
          <w:szCs w:val="24"/>
        </w:rPr>
        <w:t xml:space="preserve"> </w:t>
      </w:r>
    </w:p>
    <w:p w:rsidR="00EC4BBC" w:rsidRDefault="00FC7A58" w:rsidP="00EC4BBC">
      <w:pPr>
        <w:pStyle w:val="ListParagraph"/>
        <w:numPr>
          <w:ilvl w:val="0"/>
          <w:numId w:val="7"/>
        </w:numPr>
        <w:autoSpaceDE w:val="0"/>
        <w:autoSpaceDN w:val="0"/>
        <w:adjustRightInd w:val="0"/>
        <w:spacing w:before="120"/>
        <w:contextualSpacing w:val="0"/>
        <w:jc w:val="both"/>
        <w:rPr>
          <w:szCs w:val="24"/>
        </w:rPr>
      </w:pPr>
      <w:r w:rsidRPr="00C10D10">
        <w:rPr>
          <w:szCs w:val="24"/>
        </w:rPr>
        <w:lastRenderedPageBreak/>
        <w:t xml:space="preserve">Reports from the discharge monitoring programmes should include the main operational and discharge </w:t>
      </w:r>
      <w:r w:rsidR="009E66C7">
        <w:rPr>
          <w:szCs w:val="24"/>
        </w:rPr>
        <w:t>data</w:t>
      </w:r>
      <w:r w:rsidRPr="00C10D10">
        <w:rPr>
          <w:szCs w:val="24"/>
        </w:rPr>
        <w:t xml:space="preserve"> in the period covered by the report and a conclusion on trends observed by comparison with previous results. </w:t>
      </w:r>
      <w:r w:rsidR="00C5228E">
        <w:rPr>
          <w:szCs w:val="24"/>
        </w:rPr>
        <w:t>Such reports</w:t>
      </w:r>
      <w:r w:rsidR="00C5228E" w:rsidRPr="00C10D10">
        <w:rPr>
          <w:szCs w:val="24"/>
        </w:rPr>
        <w:t xml:space="preserve"> </w:t>
      </w:r>
      <w:r w:rsidRPr="00C10D10">
        <w:rPr>
          <w:szCs w:val="24"/>
        </w:rPr>
        <w:t xml:space="preserve">should </w:t>
      </w:r>
      <w:r w:rsidR="00672181">
        <w:rPr>
          <w:szCs w:val="24"/>
        </w:rPr>
        <w:t>indicate whether</w:t>
      </w:r>
      <w:r w:rsidRPr="00C10D10">
        <w:rPr>
          <w:szCs w:val="24"/>
        </w:rPr>
        <w:t xml:space="preserve"> the discharges are within the authorized limits established by the regulatory body</w:t>
      </w:r>
      <w:r w:rsidR="005B423B">
        <w:rPr>
          <w:szCs w:val="24"/>
        </w:rPr>
        <w:t xml:space="preserve"> or as approved for particular operati</w:t>
      </w:r>
      <w:r w:rsidR="00161040">
        <w:rPr>
          <w:szCs w:val="24"/>
        </w:rPr>
        <w:t>ng</w:t>
      </w:r>
      <w:r w:rsidR="005B423B">
        <w:rPr>
          <w:szCs w:val="24"/>
        </w:rPr>
        <w:t xml:space="preserve"> conditions</w:t>
      </w:r>
      <w:r w:rsidRPr="00C10D10">
        <w:rPr>
          <w:szCs w:val="24"/>
        </w:rPr>
        <w:t>.</w:t>
      </w:r>
      <w:r w:rsidR="0070695B" w:rsidRPr="00C10D10">
        <w:rPr>
          <w:szCs w:val="24"/>
        </w:rPr>
        <w:t xml:space="preserve"> </w:t>
      </w:r>
      <w:r w:rsidR="00A4367B">
        <w:rPr>
          <w:szCs w:val="24"/>
        </w:rPr>
        <w:t>Results of a</w:t>
      </w:r>
      <w:r w:rsidR="005B423B">
        <w:rPr>
          <w:szCs w:val="24"/>
        </w:rPr>
        <w:t>udit</w:t>
      </w:r>
      <w:r w:rsidR="00A4367B">
        <w:rPr>
          <w:szCs w:val="24"/>
        </w:rPr>
        <w:t>s</w:t>
      </w:r>
      <w:r w:rsidR="005B423B">
        <w:rPr>
          <w:szCs w:val="24"/>
        </w:rPr>
        <w:t xml:space="preserve"> and </w:t>
      </w:r>
      <w:r w:rsidR="00EC4BBC">
        <w:rPr>
          <w:szCs w:val="24"/>
        </w:rPr>
        <w:t>inspections,</w:t>
      </w:r>
      <w:r w:rsidR="005B423B">
        <w:rPr>
          <w:szCs w:val="24"/>
        </w:rPr>
        <w:t xml:space="preserve"> as well as </w:t>
      </w:r>
      <w:r w:rsidR="00A4367B">
        <w:rPr>
          <w:szCs w:val="24"/>
        </w:rPr>
        <w:t>documents relat</w:t>
      </w:r>
      <w:r w:rsidR="005952AE">
        <w:rPr>
          <w:szCs w:val="24"/>
        </w:rPr>
        <w:t>ing</w:t>
      </w:r>
      <w:r w:rsidR="00A4367B">
        <w:rPr>
          <w:szCs w:val="24"/>
        </w:rPr>
        <w:t xml:space="preserve"> to the quality assurance or quality control </w:t>
      </w:r>
      <w:r w:rsidR="005B423B">
        <w:rPr>
          <w:szCs w:val="24"/>
        </w:rPr>
        <w:t>of laboratory analytical procedures and data</w:t>
      </w:r>
      <w:r w:rsidR="005952AE">
        <w:rPr>
          <w:szCs w:val="24"/>
        </w:rPr>
        <w:t>,</w:t>
      </w:r>
      <w:r w:rsidR="005B423B">
        <w:rPr>
          <w:szCs w:val="24"/>
        </w:rPr>
        <w:t xml:space="preserve"> should be included as relevant in the reports.</w:t>
      </w:r>
      <w:r w:rsidR="00EC4BBC" w:rsidRPr="00EC4BBC">
        <w:rPr>
          <w:szCs w:val="24"/>
          <w:lang w:eastAsia="en-GB"/>
        </w:rPr>
        <w:t xml:space="preserve"> </w:t>
      </w:r>
    </w:p>
    <w:p w:rsidR="0070695B" w:rsidRPr="00C10D10" w:rsidRDefault="0070695B" w:rsidP="00636149">
      <w:pPr>
        <w:pStyle w:val="ListParagraph"/>
        <w:autoSpaceDE w:val="0"/>
        <w:autoSpaceDN w:val="0"/>
        <w:adjustRightInd w:val="0"/>
        <w:spacing w:before="120"/>
        <w:contextualSpacing w:val="0"/>
        <w:jc w:val="both"/>
        <w:rPr>
          <w:szCs w:val="24"/>
        </w:rPr>
      </w:pPr>
    </w:p>
    <w:p w:rsidR="00A4367B" w:rsidRDefault="005952AE" w:rsidP="0091132F">
      <w:pPr>
        <w:pStyle w:val="ListParagraph"/>
        <w:numPr>
          <w:ilvl w:val="0"/>
          <w:numId w:val="7"/>
        </w:numPr>
        <w:autoSpaceDE w:val="0"/>
        <w:autoSpaceDN w:val="0"/>
        <w:adjustRightInd w:val="0"/>
        <w:spacing w:before="120"/>
        <w:contextualSpacing w:val="0"/>
        <w:jc w:val="both"/>
        <w:rPr>
          <w:szCs w:val="24"/>
        </w:rPr>
      </w:pPr>
      <w:r>
        <w:rPr>
          <w:szCs w:val="24"/>
          <w:lang w:eastAsia="en-GB"/>
        </w:rPr>
        <w:t>The o</w:t>
      </w:r>
      <w:r w:rsidR="00A4367B" w:rsidRPr="00C10D10">
        <w:rPr>
          <w:szCs w:val="24"/>
          <w:lang w:eastAsia="en-GB"/>
        </w:rPr>
        <w:t xml:space="preserve">perating organization should </w:t>
      </w:r>
      <w:r>
        <w:rPr>
          <w:szCs w:val="24"/>
          <w:lang w:eastAsia="en-GB"/>
        </w:rPr>
        <w:t>m</w:t>
      </w:r>
      <w:r w:rsidR="00A4367B" w:rsidRPr="00C10D10">
        <w:rPr>
          <w:szCs w:val="24"/>
          <w:lang w:eastAsia="en-GB"/>
        </w:rPr>
        <w:t xml:space="preserve">ake provisions to report promptly to the regulatory body any releases exceeding specified reporting levels or authorized discharge limits, in accordance with criteria specified in the </w:t>
      </w:r>
      <w:r w:rsidR="00F73CB8">
        <w:rPr>
          <w:szCs w:val="24"/>
          <w:lang w:eastAsia="en-GB"/>
        </w:rPr>
        <w:t>authorization for discharges</w:t>
      </w:r>
      <w:r w:rsidR="00A4367B">
        <w:rPr>
          <w:szCs w:val="24"/>
          <w:lang w:eastAsia="en-GB"/>
        </w:rPr>
        <w:t>, or in other applicable documents</w:t>
      </w:r>
      <w:r w:rsidR="00A4367B" w:rsidRPr="00C10D10">
        <w:rPr>
          <w:szCs w:val="24"/>
          <w:lang w:eastAsia="en-GB"/>
        </w:rPr>
        <w:t xml:space="preserve"> issued by the regulatory body.</w:t>
      </w:r>
    </w:p>
    <w:p w:rsidR="0070695B" w:rsidRPr="00A4367B" w:rsidRDefault="005952AE" w:rsidP="0091132F">
      <w:pPr>
        <w:pStyle w:val="ListParagraph"/>
        <w:numPr>
          <w:ilvl w:val="0"/>
          <w:numId w:val="7"/>
        </w:numPr>
        <w:autoSpaceDE w:val="0"/>
        <w:autoSpaceDN w:val="0"/>
        <w:adjustRightInd w:val="0"/>
        <w:spacing w:before="120"/>
        <w:contextualSpacing w:val="0"/>
        <w:jc w:val="both"/>
        <w:rPr>
          <w:szCs w:val="24"/>
        </w:rPr>
      </w:pPr>
      <w:r>
        <w:rPr>
          <w:szCs w:val="24"/>
        </w:rPr>
        <w:t>The o</w:t>
      </w:r>
      <w:r w:rsidR="005A3563" w:rsidRPr="00A4367B">
        <w:rPr>
          <w:szCs w:val="24"/>
        </w:rPr>
        <w:t>perating organization</w:t>
      </w:r>
      <w:r w:rsidR="00482223" w:rsidRPr="00A4367B">
        <w:rPr>
          <w:szCs w:val="24"/>
        </w:rPr>
        <w:t xml:space="preserve"> should </w:t>
      </w:r>
      <w:r w:rsidR="00A4367B" w:rsidRPr="00A4367B">
        <w:rPr>
          <w:szCs w:val="24"/>
        </w:rPr>
        <w:t xml:space="preserve">also </w:t>
      </w:r>
      <w:r w:rsidR="00482223" w:rsidRPr="00A4367B">
        <w:rPr>
          <w:szCs w:val="24"/>
        </w:rPr>
        <w:t xml:space="preserve">report any significant </w:t>
      </w:r>
      <w:r w:rsidR="00FC55D1" w:rsidRPr="00A4367B">
        <w:rPr>
          <w:szCs w:val="24"/>
        </w:rPr>
        <w:t xml:space="preserve">abnormal </w:t>
      </w:r>
      <w:r w:rsidR="00482223" w:rsidRPr="00A4367B">
        <w:rPr>
          <w:szCs w:val="24"/>
        </w:rPr>
        <w:t xml:space="preserve">increase in dose rate or concentrations of radionuclides in the environment that could be attributed to the </w:t>
      </w:r>
      <w:r>
        <w:rPr>
          <w:szCs w:val="24"/>
        </w:rPr>
        <w:t>facility or activity</w:t>
      </w:r>
      <w:r w:rsidR="00482223" w:rsidRPr="00A4367B">
        <w:rPr>
          <w:szCs w:val="24"/>
        </w:rPr>
        <w:t>.</w:t>
      </w:r>
      <w:r w:rsidR="0070695B" w:rsidRPr="00A4367B">
        <w:rPr>
          <w:szCs w:val="24"/>
        </w:rPr>
        <w:t xml:space="preserve"> </w:t>
      </w:r>
    </w:p>
    <w:p w:rsidR="006567A1" w:rsidRPr="00C10D10" w:rsidRDefault="00BC44D0" w:rsidP="007D32C1">
      <w:pPr>
        <w:pStyle w:val="Heading2"/>
        <w:spacing w:before="120" w:after="0" w:line="360" w:lineRule="auto"/>
        <w:jc w:val="both"/>
        <w:rPr>
          <w:caps w:val="0"/>
          <w:lang w:val="en-GB"/>
        </w:rPr>
      </w:pPr>
      <w:bookmarkStart w:id="49" w:name="_Toc396128282"/>
      <w:bookmarkStart w:id="50" w:name="_Toc396128898"/>
      <w:bookmarkStart w:id="51" w:name="_Toc452966956"/>
      <w:r w:rsidRPr="00C10D10">
        <w:rPr>
          <w:caps w:val="0"/>
          <w:lang w:val="en-GB"/>
        </w:rPr>
        <w:t>INSPECTION</w:t>
      </w:r>
      <w:r w:rsidR="00CA570C" w:rsidRPr="00C10D10">
        <w:rPr>
          <w:caps w:val="0"/>
          <w:lang w:val="en-GB"/>
        </w:rPr>
        <w:t xml:space="preserve"> AND ENFORCEMENT</w:t>
      </w:r>
      <w:bookmarkEnd w:id="49"/>
      <w:bookmarkEnd w:id="50"/>
      <w:bookmarkEnd w:id="51"/>
    </w:p>
    <w:p w:rsidR="0070695B" w:rsidRPr="00C10D10" w:rsidRDefault="002F5ACE" w:rsidP="0091132F">
      <w:pPr>
        <w:pStyle w:val="ListParagraph"/>
        <w:numPr>
          <w:ilvl w:val="0"/>
          <w:numId w:val="7"/>
        </w:numPr>
        <w:autoSpaceDE w:val="0"/>
        <w:autoSpaceDN w:val="0"/>
        <w:adjustRightInd w:val="0"/>
        <w:spacing w:before="120"/>
        <w:contextualSpacing w:val="0"/>
        <w:jc w:val="both"/>
        <w:rPr>
          <w:szCs w:val="24"/>
        </w:rPr>
      </w:pPr>
      <w:r w:rsidRPr="00C10D10">
        <w:rPr>
          <w:rFonts w:eastAsia="MS Mincho"/>
          <w:szCs w:val="24"/>
        </w:rPr>
        <w:t xml:space="preserve">The </w:t>
      </w:r>
      <w:r w:rsidR="000A38FA" w:rsidRPr="00C10D10">
        <w:rPr>
          <w:rFonts w:eastAsia="MS Mincho"/>
          <w:szCs w:val="24"/>
        </w:rPr>
        <w:t xml:space="preserve">regulatory body </w:t>
      </w:r>
      <w:r w:rsidR="006858E1" w:rsidRPr="00C10D10">
        <w:rPr>
          <w:rFonts w:eastAsia="MS Mincho"/>
          <w:szCs w:val="24"/>
        </w:rPr>
        <w:t>should</w:t>
      </w:r>
      <w:r w:rsidR="000A38FA" w:rsidRPr="00C10D10">
        <w:rPr>
          <w:rFonts w:eastAsia="MS Mincho"/>
          <w:szCs w:val="24"/>
        </w:rPr>
        <w:t xml:space="preserve"> verify </w:t>
      </w:r>
      <w:r w:rsidRPr="00C10D10">
        <w:rPr>
          <w:rFonts w:eastAsia="MS Mincho"/>
          <w:szCs w:val="24"/>
        </w:rPr>
        <w:t xml:space="preserve">compliance with </w:t>
      </w:r>
      <w:r w:rsidR="000A38FA" w:rsidRPr="00C10D10">
        <w:rPr>
          <w:rFonts w:eastAsia="MS Mincho"/>
          <w:szCs w:val="24"/>
        </w:rPr>
        <w:t xml:space="preserve">the </w:t>
      </w:r>
      <w:r w:rsidRPr="00C10D10">
        <w:rPr>
          <w:rFonts w:eastAsia="MS Mincho"/>
          <w:szCs w:val="24"/>
        </w:rPr>
        <w:t xml:space="preserve">regulatory requirements and the </w:t>
      </w:r>
      <w:r w:rsidR="00655856" w:rsidRPr="00C10D10">
        <w:rPr>
          <w:rFonts w:eastAsia="MS Mincho"/>
          <w:szCs w:val="24"/>
        </w:rPr>
        <w:t xml:space="preserve">operational limits and </w:t>
      </w:r>
      <w:r w:rsidRPr="00C10D10">
        <w:rPr>
          <w:rFonts w:eastAsia="MS Mincho"/>
          <w:szCs w:val="24"/>
        </w:rPr>
        <w:t xml:space="preserve">conditions of </w:t>
      </w:r>
      <w:r w:rsidR="00655856" w:rsidRPr="00C10D10">
        <w:rPr>
          <w:rFonts w:eastAsia="MS Mincho"/>
          <w:szCs w:val="24"/>
        </w:rPr>
        <w:t xml:space="preserve">the </w:t>
      </w:r>
      <w:r w:rsidR="00F73CB8">
        <w:rPr>
          <w:rFonts w:eastAsia="MS Mincho"/>
          <w:szCs w:val="24"/>
        </w:rPr>
        <w:t>authorization for discharges</w:t>
      </w:r>
      <w:r w:rsidR="000A38FA" w:rsidRPr="00C10D10">
        <w:rPr>
          <w:rFonts w:eastAsia="MS Mincho"/>
          <w:szCs w:val="24"/>
        </w:rPr>
        <w:t>. This should involve, as appropriate,</w:t>
      </w:r>
      <w:r w:rsidRPr="00C10D10">
        <w:rPr>
          <w:rFonts w:eastAsia="MS Mincho"/>
          <w:szCs w:val="24"/>
        </w:rPr>
        <w:t xml:space="preserve"> audit</w:t>
      </w:r>
      <w:r w:rsidR="005952AE">
        <w:rPr>
          <w:rFonts w:eastAsia="MS Mincho"/>
          <w:szCs w:val="24"/>
        </w:rPr>
        <w:t>ing</w:t>
      </w:r>
      <w:r w:rsidRPr="00C10D10">
        <w:rPr>
          <w:rFonts w:eastAsia="MS Mincho"/>
          <w:szCs w:val="24"/>
        </w:rPr>
        <w:t xml:space="preserve"> of the </w:t>
      </w:r>
      <w:r w:rsidR="005A3563" w:rsidRPr="00C10D10">
        <w:rPr>
          <w:rFonts w:eastAsia="MS Mincho"/>
          <w:szCs w:val="24"/>
        </w:rPr>
        <w:t>operating organization</w:t>
      </w:r>
      <w:r w:rsidR="000A38FA" w:rsidRPr="00C10D10">
        <w:rPr>
          <w:rFonts w:eastAsia="MS Mincho"/>
          <w:szCs w:val="24"/>
        </w:rPr>
        <w:t>’s</w:t>
      </w:r>
      <w:r w:rsidRPr="00C10D10">
        <w:rPr>
          <w:rFonts w:eastAsia="MS Mincho"/>
          <w:szCs w:val="24"/>
        </w:rPr>
        <w:t xml:space="preserve"> records (including </w:t>
      </w:r>
      <w:r w:rsidR="000A38FA" w:rsidRPr="00C10D10">
        <w:rPr>
          <w:rFonts w:eastAsia="MS Mincho"/>
          <w:szCs w:val="24"/>
        </w:rPr>
        <w:t xml:space="preserve">those </w:t>
      </w:r>
      <w:r w:rsidR="005952AE">
        <w:rPr>
          <w:rFonts w:eastAsia="MS Mincho"/>
          <w:szCs w:val="24"/>
        </w:rPr>
        <w:t>setting out</w:t>
      </w:r>
      <w:r w:rsidR="005952AE" w:rsidRPr="00C10D10">
        <w:rPr>
          <w:rFonts w:eastAsia="MS Mincho"/>
          <w:szCs w:val="24"/>
        </w:rPr>
        <w:t xml:space="preserve"> </w:t>
      </w:r>
      <w:r w:rsidR="000A38FA" w:rsidRPr="00C10D10">
        <w:rPr>
          <w:rFonts w:eastAsia="MS Mincho"/>
          <w:szCs w:val="24"/>
        </w:rPr>
        <w:t xml:space="preserve">the results of discharge </w:t>
      </w:r>
      <w:r w:rsidR="005952AE" w:rsidRPr="00C10D10">
        <w:rPr>
          <w:rFonts w:eastAsia="MS Mincho"/>
          <w:szCs w:val="24"/>
        </w:rPr>
        <w:t xml:space="preserve">monitoring </w:t>
      </w:r>
      <w:r w:rsidR="000A38FA" w:rsidRPr="00C10D10">
        <w:rPr>
          <w:rFonts w:eastAsia="MS Mincho"/>
          <w:szCs w:val="24"/>
        </w:rPr>
        <w:t xml:space="preserve">and environmental </w:t>
      </w:r>
      <w:r w:rsidRPr="00C10D10">
        <w:rPr>
          <w:rFonts w:eastAsia="MS Mincho"/>
          <w:szCs w:val="24"/>
        </w:rPr>
        <w:t xml:space="preserve">monitoring), </w:t>
      </w:r>
      <w:r w:rsidR="000A38FA" w:rsidRPr="00C10D10">
        <w:rPr>
          <w:rFonts w:eastAsia="MS Mincho"/>
          <w:szCs w:val="24"/>
        </w:rPr>
        <w:t>review</w:t>
      </w:r>
      <w:r w:rsidR="005952AE">
        <w:rPr>
          <w:rFonts w:eastAsia="MS Mincho"/>
          <w:szCs w:val="24"/>
        </w:rPr>
        <w:t xml:space="preserve"> of</w:t>
      </w:r>
      <w:r w:rsidR="000A38FA" w:rsidRPr="00C10D10">
        <w:rPr>
          <w:rFonts w:eastAsia="MS Mincho"/>
          <w:szCs w:val="24"/>
        </w:rPr>
        <w:t xml:space="preserve"> the </w:t>
      </w:r>
      <w:r w:rsidRPr="00C10D10">
        <w:rPr>
          <w:rFonts w:eastAsia="MS Mincho"/>
          <w:szCs w:val="24"/>
        </w:rPr>
        <w:t xml:space="preserve">periodic </w:t>
      </w:r>
      <w:r w:rsidR="000A38FA" w:rsidRPr="00C10D10">
        <w:rPr>
          <w:rFonts w:eastAsia="MS Mincho"/>
          <w:szCs w:val="24"/>
        </w:rPr>
        <w:t xml:space="preserve">reports </w:t>
      </w:r>
      <w:r w:rsidR="00E21913">
        <w:rPr>
          <w:rFonts w:eastAsia="MS Mincho"/>
          <w:szCs w:val="24"/>
        </w:rPr>
        <w:t>on</w:t>
      </w:r>
      <w:r w:rsidR="005952AE" w:rsidRPr="00C10D10">
        <w:rPr>
          <w:rFonts w:eastAsia="MS Mincho"/>
          <w:szCs w:val="24"/>
        </w:rPr>
        <w:t xml:space="preserve"> </w:t>
      </w:r>
      <w:r w:rsidR="000A38FA" w:rsidRPr="00C10D10">
        <w:rPr>
          <w:rFonts w:eastAsia="MS Mincho"/>
          <w:szCs w:val="24"/>
        </w:rPr>
        <w:t>the results of the radiological environmental</w:t>
      </w:r>
      <w:r w:rsidRPr="00C10D10">
        <w:rPr>
          <w:rFonts w:eastAsia="MS Mincho"/>
          <w:szCs w:val="24"/>
        </w:rPr>
        <w:t xml:space="preserve"> </w:t>
      </w:r>
      <w:r w:rsidR="000A38FA" w:rsidRPr="00C10D10">
        <w:rPr>
          <w:rFonts w:eastAsia="MS Mincho"/>
          <w:szCs w:val="24"/>
        </w:rPr>
        <w:t xml:space="preserve">impact </w:t>
      </w:r>
      <w:r w:rsidRPr="00C10D10">
        <w:rPr>
          <w:rFonts w:eastAsia="MS Mincho"/>
          <w:szCs w:val="24"/>
        </w:rPr>
        <w:t xml:space="preserve">assessment, inspections and </w:t>
      </w:r>
      <w:r w:rsidR="000A38FA" w:rsidRPr="00C10D10">
        <w:rPr>
          <w:rFonts w:eastAsia="MS Mincho"/>
          <w:szCs w:val="24"/>
        </w:rPr>
        <w:t xml:space="preserve">review of the results of the </w:t>
      </w:r>
      <w:r w:rsidRPr="00C10D10">
        <w:rPr>
          <w:rFonts w:eastAsia="MS Mincho"/>
          <w:szCs w:val="24"/>
        </w:rPr>
        <w:t>independent monitoring programmes.</w:t>
      </w:r>
      <w:r w:rsidR="0070695B" w:rsidRPr="00C10D10">
        <w:rPr>
          <w:szCs w:val="24"/>
        </w:rPr>
        <w:t xml:space="preserve"> </w:t>
      </w:r>
    </w:p>
    <w:p w:rsidR="0070695B" w:rsidRPr="00464344" w:rsidRDefault="00655856" w:rsidP="0091132F">
      <w:pPr>
        <w:pStyle w:val="ListParagraph"/>
        <w:numPr>
          <w:ilvl w:val="0"/>
          <w:numId w:val="7"/>
        </w:numPr>
        <w:autoSpaceDE w:val="0"/>
        <w:autoSpaceDN w:val="0"/>
        <w:adjustRightInd w:val="0"/>
        <w:spacing w:before="120"/>
        <w:contextualSpacing w:val="0"/>
        <w:jc w:val="both"/>
        <w:rPr>
          <w:szCs w:val="24"/>
        </w:rPr>
      </w:pPr>
      <w:r w:rsidRPr="00C10D10">
        <w:rPr>
          <w:szCs w:val="24"/>
        </w:rPr>
        <w:t>The regulatory body should establish a</w:t>
      </w:r>
      <w:r w:rsidR="002F5ACE" w:rsidRPr="00C10D10">
        <w:rPr>
          <w:szCs w:val="24"/>
        </w:rPr>
        <w:t xml:space="preserve"> process for identifying and managing </w:t>
      </w:r>
      <w:r w:rsidRPr="00C10D10">
        <w:rPr>
          <w:szCs w:val="24"/>
        </w:rPr>
        <w:t xml:space="preserve">any identified </w:t>
      </w:r>
      <w:r w:rsidR="002F5ACE" w:rsidRPr="00C10D10">
        <w:rPr>
          <w:szCs w:val="24"/>
        </w:rPr>
        <w:t>non</w:t>
      </w:r>
      <w:r w:rsidR="00497E64">
        <w:rPr>
          <w:szCs w:val="24"/>
        </w:rPr>
        <w:noBreakHyphen/>
      </w:r>
      <w:r w:rsidRPr="00C10D10">
        <w:rPr>
          <w:szCs w:val="24"/>
        </w:rPr>
        <w:t>compliance</w:t>
      </w:r>
      <w:r w:rsidR="002F5ACE" w:rsidRPr="00C10D10">
        <w:rPr>
          <w:szCs w:val="24"/>
        </w:rPr>
        <w:t xml:space="preserve"> </w:t>
      </w:r>
      <w:r w:rsidRPr="00C10D10">
        <w:rPr>
          <w:szCs w:val="24"/>
        </w:rPr>
        <w:t>with the regulatory requirements</w:t>
      </w:r>
      <w:r w:rsidR="00500D97">
        <w:rPr>
          <w:szCs w:val="24"/>
        </w:rPr>
        <w:t xml:space="preserve"> on discharges</w:t>
      </w:r>
      <w:r w:rsidR="002F5ACE" w:rsidRPr="00C10D10">
        <w:rPr>
          <w:szCs w:val="24"/>
        </w:rPr>
        <w:t>.</w:t>
      </w:r>
      <w:r w:rsidR="0070695B" w:rsidRPr="00C10D10">
        <w:rPr>
          <w:szCs w:val="24"/>
        </w:rPr>
        <w:t xml:space="preserve"> </w:t>
      </w:r>
      <w:r w:rsidR="00981511" w:rsidRPr="00464344">
        <w:rPr>
          <w:szCs w:val="24"/>
        </w:rPr>
        <w:t>Whe</w:t>
      </w:r>
      <w:r w:rsidR="00464344">
        <w:rPr>
          <w:szCs w:val="24"/>
        </w:rPr>
        <w:t>n</w:t>
      </w:r>
      <w:r w:rsidR="00981511" w:rsidRPr="00464344">
        <w:rPr>
          <w:szCs w:val="24"/>
        </w:rPr>
        <w:t xml:space="preserve"> a regulatory requirement, including a condition of the authorization, </w:t>
      </w:r>
      <w:r w:rsidR="00BC44D0" w:rsidRPr="00464344">
        <w:rPr>
          <w:szCs w:val="24"/>
        </w:rPr>
        <w:t xml:space="preserve">has not been met, </w:t>
      </w:r>
      <w:r w:rsidR="00981511" w:rsidRPr="00464344">
        <w:rPr>
          <w:szCs w:val="24"/>
        </w:rPr>
        <w:t xml:space="preserve">the </w:t>
      </w:r>
      <w:r w:rsidR="005A3563" w:rsidRPr="00464344">
        <w:rPr>
          <w:szCs w:val="24"/>
        </w:rPr>
        <w:t>operating organization</w:t>
      </w:r>
      <w:r w:rsidR="00981511" w:rsidRPr="00464344">
        <w:rPr>
          <w:szCs w:val="24"/>
        </w:rPr>
        <w:t xml:space="preserve"> should, as appropriate:</w:t>
      </w:r>
      <w:r w:rsidR="0070695B" w:rsidRPr="00464344">
        <w:rPr>
          <w:szCs w:val="24"/>
        </w:rPr>
        <w:t xml:space="preserve"> </w:t>
      </w:r>
    </w:p>
    <w:p w:rsidR="00981511" w:rsidRPr="00C10D10" w:rsidRDefault="00981511" w:rsidP="0091132F">
      <w:pPr>
        <w:pStyle w:val="ListParagraph"/>
        <w:numPr>
          <w:ilvl w:val="1"/>
          <w:numId w:val="11"/>
        </w:numPr>
        <w:tabs>
          <w:tab w:val="clear" w:pos="1440"/>
        </w:tabs>
        <w:autoSpaceDE w:val="0"/>
        <w:autoSpaceDN w:val="0"/>
        <w:adjustRightInd w:val="0"/>
        <w:spacing w:before="120" w:after="0"/>
        <w:ind w:left="567" w:hanging="567"/>
        <w:contextualSpacing w:val="0"/>
        <w:jc w:val="both"/>
        <w:rPr>
          <w:szCs w:val="24"/>
        </w:rPr>
      </w:pPr>
      <w:r w:rsidRPr="00C10D10">
        <w:rPr>
          <w:szCs w:val="24"/>
        </w:rPr>
        <w:t>Investigate the breach and its causes, circumstances and consequences;</w:t>
      </w:r>
    </w:p>
    <w:p w:rsidR="00981511" w:rsidRPr="00C10D10" w:rsidRDefault="00981511" w:rsidP="0091132F">
      <w:pPr>
        <w:numPr>
          <w:ilvl w:val="1"/>
          <w:numId w:val="11"/>
        </w:numPr>
        <w:tabs>
          <w:tab w:val="clear" w:pos="1440"/>
        </w:tabs>
        <w:autoSpaceDE w:val="0"/>
        <w:autoSpaceDN w:val="0"/>
        <w:adjustRightInd w:val="0"/>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Take appropriate action to remedy the circumstances that led to the breach and to prevent a recurrence of similar breaches;</w:t>
      </w:r>
    </w:p>
    <w:p w:rsidR="00981511" w:rsidRPr="00C10D10" w:rsidRDefault="00E033F3" w:rsidP="0091132F">
      <w:pPr>
        <w:numPr>
          <w:ilvl w:val="1"/>
          <w:numId w:val="11"/>
        </w:numPr>
        <w:tabs>
          <w:tab w:val="clear" w:pos="1440"/>
        </w:tabs>
        <w:autoSpaceDE w:val="0"/>
        <w:autoSpaceDN w:val="0"/>
        <w:adjustRightInd w:val="0"/>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Promptly c</w:t>
      </w:r>
      <w:r w:rsidR="00981511" w:rsidRPr="00C10D10">
        <w:rPr>
          <w:rFonts w:ascii="Times New Roman" w:hAnsi="Times New Roman"/>
          <w:sz w:val="24"/>
          <w:szCs w:val="24"/>
        </w:rPr>
        <w:t>ommunicate to the regulatory body the causes of the breach and the corrective or preventive actions taken or to be taken;</w:t>
      </w:r>
    </w:p>
    <w:p w:rsidR="00981511" w:rsidRPr="00C10D10" w:rsidRDefault="00981511" w:rsidP="0091132F">
      <w:pPr>
        <w:numPr>
          <w:ilvl w:val="1"/>
          <w:numId w:val="11"/>
        </w:numPr>
        <w:tabs>
          <w:tab w:val="clear" w:pos="1440"/>
        </w:tabs>
        <w:autoSpaceDE w:val="0"/>
        <w:autoSpaceDN w:val="0"/>
        <w:adjustRightInd w:val="0"/>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lastRenderedPageBreak/>
        <w:t>Take whatever other actions are required by the regulatory body.</w:t>
      </w:r>
    </w:p>
    <w:p w:rsidR="000F650F" w:rsidRPr="00C10D10" w:rsidRDefault="00E033F3"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actions to be taken by the regulatory </w:t>
      </w:r>
      <w:r w:rsidR="007F4E7D" w:rsidRPr="00C10D10">
        <w:rPr>
          <w:szCs w:val="24"/>
        </w:rPr>
        <w:t>body</w:t>
      </w:r>
      <w:r w:rsidRPr="00C10D10">
        <w:rPr>
          <w:szCs w:val="24"/>
        </w:rPr>
        <w:t xml:space="preserve"> in response to non-compliance should be graded </w:t>
      </w:r>
      <w:r w:rsidR="00E21913">
        <w:rPr>
          <w:szCs w:val="24"/>
        </w:rPr>
        <w:t xml:space="preserve">in </w:t>
      </w:r>
      <w:r w:rsidRPr="00C10D10">
        <w:rPr>
          <w:szCs w:val="24"/>
        </w:rPr>
        <w:t>accord</w:t>
      </w:r>
      <w:r w:rsidR="00E21913">
        <w:rPr>
          <w:szCs w:val="24"/>
        </w:rPr>
        <w:t>ance with</w:t>
      </w:r>
      <w:r w:rsidRPr="00C10D10">
        <w:rPr>
          <w:szCs w:val="24"/>
        </w:rPr>
        <w:t xml:space="preserve"> the seriousness of the failure. </w:t>
      </w:r>
      <w:r w:rsidR="005952AE">
        <w:rPr>
          <w:szCs w:val="24"/>
        </w:rPr>
        <w:t>Depending on</w:t>
      </w:r>
      <w:r w:rsidR="004C1C82">
        <w:rPr>
          <w:szCs w:val="24"/>
        </w:rPr>
        <w:t xml:space="preserve"> the national legal and regulatory system, </w:t>
      </w:r>
      <w:r w:rsidR="005952AE">
        <w:rPr>
          <w:szCs w:val="24"/>
        </w:rPr>
        <w:t>such actions</w:t>
      </w:r>
      <w:r w:rsidR="005952AE" w:rsidRPr="00C10D10">
        <w:rPr>
          <w:szCs w:val="24"/>
        </w:rPr>
        <w:t xml:space="preserve"> </w:t>
      </w:r>
      <w:r w:rsidR="00CA570C" w:rsidRPr="00C10D10">
        <w:rPr>
          <w:szCs w:val="24"/>
        </w:rPr>
        <w:t xml:space="preserve">may range from a simple warning, </w:t>
      </w:r>
      <w:r w:rsidR="00CA4758">
        <w:rPr>
          <w:szCs w:val="24"/>
        </w:rPr>
        <w:t xml:space="preserve">legal procedures, </w:t>
      </w:r>
      <w:proofErr w:type="gramStart"/>
      <w:r w:rsidR="00CA4758">
        <w:rPr>
          <w:szCs w:val="24"/>
        </w:rPr>
        <w:t xml:space="preserve">including </w:t>
      </w:r>
      <w:r w:rsidR="00C158A4">
        <w:rPr>
          <w:szCs w:val="24"/>
        </w:rPr>
        <w:t xml:space="preserve"> prosecution</w:t>
      </w:r>
      <w:proofErr w:type="gramEnd"/>
      <w:r w:rsidR="00CA4758">
        <w:rPr>
          <w:szCs w:val="24"/>
        </w:rPr>
        <w:t>,</w:t>
      </w:r>
      <w:r w:rsidR="00C158A4">
        <w:rPr>
          <w:szCs w:val="24"/>
        </w:rPr>
        <w:t xml:space="preserve"> and </w:t>
      </w:r>
      <w:r w:rsidR="00CA570C" w:rsidRPr="00C10D10">
        <w:rPr>
          <w:szCs w:val="24"/>
        </w:rPr>
        <w:t>imposition of fines</w:t>
      </w:r>
      <w:r w:rsidR="005952AE">
        <w:rPr>
          <w:szCs w:val="24"/>
        </w:rPr>
        <w:t>,</w:t>
      </w:r>
      <w:r w:rsidR="00CA570C" w:rsidRPr="00C10D10">
        <w:rPr>
          <w:szCs w:val="24"/>
        </w:rPr>
        <w:t xml:space="preserve"> through to suspension or withdrawal of the authorization.</w:t>
      </w:r>
      <w:r w:rsidR="000F650F" w:rsidRPr="00C10D10">
        <w:rPr>
          <w:szCs w:val="24"/>
        </w:rPr>
        <w:t xml:space="preserve"> </w:t>
      </w:r>
    </w:p>
    <w:p w:rsidR="005265B4" w:rsidRPr="00D15F4C" w:rsidRDefault="00D15F4C" w:rsidP="0091132F">
      <w:pPr>
        <w:pStyle w:val="ListParagraph"/>
        <w:numPr>
          <w:ilvl w:val="0"/>
          <w:numId w:val="7"/>
        </w:numPr>
        <w:autoSpaceDE w:val="0"/>
        <w:autoSpaceDN w:val="0"/>
        <w:adjustRightInd w:val="0"/>
        <w:spacing w:before="120"/>
        <w:contextualSpacing w:val="0"/>
        <w:jc w:val="both"/>
        <w:rPr>
          <w:rFonts w:eastAsia="MS Mincho"/>
          <w:szCs w:val="24"/>
        </w:rPr>
      </w:pPr>
      <w:r w:rsidRPr="00AF4DD7">
        <w:rPr>
          <w:szCs w:val="24"/>
        </w:rPr>
        <w:t>Discharge limits are set taking into account the relevant dose constraints and the process of optimi</w:t>
      </w:r>
      <w:r w:rsidR="005952AE">
        <w:rPr>
          <w:szCs w:val="24"/>
        </w:rPr>
        <w:t>z</w:t>
      </w:r>
      <w:r w:rsidRPr="00AF4DD7">
        <w:rPr>
          <w:szCs w:val="24"/>
        </w:rPr>
        <w:t>ation</w:t>
      </w:r>
      <w:r w:rsidR="005952AE">
        <w:rPr>
          <w:szCs w:val="24"/>
        </w:rPr>
        <w:t>,</w:t>
      </w:r>
      <w:r w:rsidRPr="00AF4DD7">
        <w:rPr>
          <w:szCs w:val="24"/>
        </w:rPr>
        <w:t xml:space="preserve"> so any breach of discharge limits </w:t>
      </w:r>
      <w:r w:rsidR="005952AE">
        <w:rPr>
          <w:szCs w:val="24"/>
        </w:rPr>
        <w:t>will generally</w:t>
      </w:r>
      <w:r w:rsidR="005952AE" w:rsidRPr="00AF4DD7">
        <w:rPr>
          <w:szCs w:val="24"/>
        </w:rPr>
        <w:t xml:space="preserve"> </w:t>
      </w:r>
      <w:r w:rsidRPr="00AF4DD7">
        <w:rPr>
          <w:szCs w:val="24"/>
        </w:rPr>
        <w:t xml:space="preserve">not result in a breach of the dose limit. However any breach of discharge limits should </w:t>
      </w:r>
      <w:r w:rsidR="00117DA2">
        <w:rPr>
          <w:szCs w:val="24"/>
        </w:rPr>
        <w:t xml:space="preserve">be reported to the regulatory body and </w:t>
      </w:r>
      <w:r w:rsidR="005952AE">
        <w:rPr>
          <w:szCs w:val="24"/>
        </w:rPr>
        <w:t xml:space="preserve">should </w:t>
      </w:r>
      <w:r w:rsidRPr="00AF4DD7">
        <w:rPr>
          <w:szCs w:val="24"/>
        </w:rPr>
        <w:t>result in an investigation and</w:t>
      </w:r>
      <w:r w:rsidR="005952AE">
        <w:rPr>
          <w:szCs w:val="24"/>
        </w:rPr>
        <w:t>, if necessary,</w:t>
      </w:r>
      <w:r w:rsidRPr="00AF4DD7">
        <w:rPr>
          <w:szCs w:val="24"/>
        </w:rPr>
        <w:t xml:space="preserve"> follow-up actions to improve the situation.</w:t>
      </w:r>
    </w:p>
    <w:p w:rsidR="005265B4" w:rsidRPr="00C10D10" w:rsidRDefault="005265B4" w:rsidP="00CD250A">
      <w:pPr>
        <w:pStyle w:val="ListParagraph"/>
        <w:autoSpaceDE w:val="0"/>
        <w:autoSpaceDN w:val="0"/>
        <w:adjustRightInd w:val="0"/>
        <w:spacing w:before="120"/>
        <w:contextualSpacing w:val="0"/>
        <w:jc w:val="both"/>
        <w:rPr>
          <w:rFonts w:eastAsia="MS Mincho"/>
          <w:szCs w:val="24"/>
        </w:rPr>
      </w:pPr>
      <w:r w:rsidRPr="00C10D10">
        <w:rPr>
          <w:b/>
          <w:szCs w:val="24"/>
        </w:rPr>
        <w:t>Amendment, renewal, suspension or revocation of an authorization</w:t>
      </w:r>
    </w:p>
    <w:p w:rsidR="005265B4" w:rsidRPr="00C10D10" w:rsidRDefault="005265B4"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regulatory body should establish procedures for any subsequent amendment, renewal, suspension or revocation of the authorization of a discharge. The date of renewal should be </w:t>
      </w:r>
      <w:r w:rsidR="00E7351C" w:rsidRPr="00C10D10">
        <w:rPr>
          <w:szCs w:val="24"/>
        </w:rPr>
        <w:t>specified</w:t>
      </w:r>
      <w:r w:rsidRPr="00C10D10">
        <w:rPr>
          <w:szCs w:val="24"/>
        </w:rPr>
        <w:t xml:space="preserve"> in the authorization issued to the </w:t>
      </w:r>
      <w:r w:rsidR="005A3563" w:rsidRPr="00C10D10">
        <w:rPr>
          <w:szCs w:val="24"/>
        </w:rPr>
        <w:t>operating organization</w:t>
      </w:r>
      <w:r w:rsidRPr="00C10D10">
        <w:rPr>
          <w:szCs w:val="24"/>
        </w:rPr>
        <w:t xml:space="preserve">. </w:t>
      </w:r>
    </w:p>
    <w:p w:rsidR="005265B4" w:rsidRPr="00C10D10" w:rsidRDefault="005265B4" w:rsidP="0091132F">
      <w:pPr>
        <w:pStyle w:val="ListParagraph"/>
        <w:numPr>
          <w:ilvl w:val="0"/>
          <w:numId w:val="7"/>
        </w:numPr>
        <w:autoSpaceDE w:val="0"/>
        <w:autoSpaceDN w:val="0"/>
        <w:adjustRightInd w:val="0"/>
        <w:spacing w:before="120"/>
        <w:contextualSpacing w:val="0"/>
        <w:jc w:val="both"/>
        <w:rPr>
          <w:szCs w:val="24"/>
        </w:rPr>
      </w:pPr>
      <w:r w:rsidRPr="00C10D10">
        <w:rPr>
          <w:szCs w:val="24"/>
        </w:rPr>
        <w:t>The results of regulatory actions</w:t>
      </w:r>
      <w:r w:rsidR="005952AE">
        <w:rPr>
          <w:szCs w:val="24"/>
        </w:rPr>
        <w:t>,</w:t>
      </w:r>
      <w:r w:rsidRPr="00C10D10">
        <w:rPr>
          <w:szCs w:val="24"/>
        </w:rPr>
        <w:t xml:space="preserve"> such as inspections, reviews and assessments, and feedback from operational performance (e.g. feedback on the exceeding of </w:t>
      </w:r>
      <w:r w:rsidR="00161040">
        <w:rPr>
          <w:szCs w:val="24"/>
        </w:rPr>
        <w:t xml:space="preserve">operational </w:t>
      </w:r>
      <w:r w:rsidRPr="00C10D10">
        <w:rPr>
          <w:szCs w:val="24"/>
        </w:rPr>
        <w:t xml:space="preserve">limits and conditions or on incidents), should be taken into account in making decisions on the amendment, renewal, suspension or revocation of an authorization. </w:t>
      </w:r>
    </w:p>
    <w:p w:rsidR="004E62CC" w:rsidRPr="00536692" w:rsidRDefault="005265B4"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The approval of the regulatory body should be obtained before any changes that may </w:t>
      </w:r>
      <w:r w:rsidR="002422EC">
        <w:rPr>
          <w:szCs w:val="24"/>
        </w:rPr>
        <w:t>significantl</w:t>
      </w:r>
      <w:r w:rsidR="009F5181">
        <w:rPr>
          <w:szCs w:val="24"/>
        </w:rPr>
        <w:t>y</w:t>
      </w:r>
      <w:r w:rsidR="002422EC">
        <w:rPr>
          <w:szCs w:val="24"/>
        </w:rPr>
        <w:t xml:space="preserve"> </w:t>
      </w:r>
      <w:r w:rsidRPr="00C10D10">
        <w:rPr>
          <w:szCs w:val="24"/>
        </w:rPr>
        <w:t>affect doses or the safety of operations are made. When such changes may affect the discharges from the facility, the regulatory body should review the authorization</w:t>
      </w:r>
      <w:r w:rsidR="005952AE">
        <w:rPr>
          <w:szCs w:val="24"/>
        </w:rPr>
        <w:t xml:space="preserve"> for discharges</w:t>
      </w:r>
      <w:r w:rsidRPr="00C10D10">
        <w:rPr>
          <w:szCs w:val="24"/>
        </w:rPr>
        <w:t xml:space="preserve"> and </w:t>
      </w:r>
      <w:r w:rsidRPr="009E149A">
        <w:rPr>
          <w:szCs w:val="24"/>
        </w:rPr>
        <w:t>revise it as necessary</w:t>
      </w:r>
      <w:r w:rsidRPr="00536692">
        <w:rPr>
          <w:szCs w:val="24"/>
        </w:rPr>
        <w:t xml:space="preserve">. </w:t>
      </w:r>
      <w:r w:rsidR="009E149A" w:rsidRPr="00536692">
        <w:rPr>
          <w:szCs w:val="24"/>
        </w:rPr>
        <w:t>Any changes to authorized discharge limits should be communicated to all interested parties.</w:t>
      </w:r>
    </w:p>
    <w:p w:rsidR="003E0F5A" w:rsidRPr="00C10D10" w:rsidRDefault="00C76BB9" w:rsidP="00EF5796">
      <w:pPr>
        <w:pStyle w:val="Heading2"/>
        <w:rPr>
          <w:caps w:val="0"/>
          <w:lang w:val="en-GB"/>
        </w:rPr>
      </w:pPr>
      <w:bookmarkStart w:id="52" w:name="_Toc452966957"/>
      <w:r w:rsidRPr="00C10D10">
        <w:rPr>
          <w:caps w:val="0"/>
          <w:lang w:val="en-GB"/>
        </w:rPr>
        <w:t>INVOLVEMENT OF INTERESTED PARTIES</w:t>
      </w:r>
      <w:bookmarkEnd w:id="52"/>
    </w:p>
    <w:p w:rsidR="000F650F" w:rsidRPr="00C10D10" w:rsidRDefault="00497E64" w:rsidP="0091132F">
      <w:pPr>
        <w:pStyle w:val="ListParagraph"/>
        <w:numPr>
          <w:ilvl w:val="0"/>
          <w:numId w:val="7"/>
        </w:numPr>
        <w:autoSpaceDE w:val="0"/>
        <w:autoSpaceDN w:val="0"/>
        <w:adjustRightInd w:val="0"/>
        <w:spacing w:before="120"/>
        <w:contextualSpacing w:val="0"/>
        <w:jc w:val="both"/>
        <w:rPr>
          <w:szCs w:val="24"/>
        </w:rPr>
      </w:pPr>
      <w:r>
        <w:rPr>
          <w:szCs w:val="24"/>
        </w:rPr>
        <w:t xml:space="preserve">Because the regulatory control of radioactive discharges </w:t>
      </w:r>
      <w:r w:rsidR="00D75D4C">
        <w:rPr>
          <w:szCs w:val="24"/>
        </w:rPr>
        <w:t xml:space="preserve">takes into account </w:t>
      </w:r>
      <w:r w:rsidR="005952AE">
        <w:rPr>
          <w:szCs w:val="24"/>
        </w:rPr>
        <w:t xml:space="preserve">both </w:t>
      </w:r>
      <w:r w:rsidR="00D75D4C">
        <w:rPr>
          <w:szCs w:val="24"/>
        </w:rPr>
        <w:t>operation</w:t>
      </w:r>
      <w:r w:rsidR="00642BAE">
        <w:rPr>
          <w:szCs w:val="24"/>
        </w:rPr>
        <w:t>al</w:t>
      </w:r>
      <w:r w:rsidR="00D75D4C">
        <w:rPr>
          <w:szCs w:val="24"/>
        </w:rPr>
        <w:t xml:space="preserve"> and societ</w:t>
      </w:r>
      <w:r w:rsidR="0020478A">
        <w:rPr>
          <w:szCs w:val="24"/>
        </w:rPr>
        <w:t>al aspects</w:t>
      </w:r>
      <w:r w:rsidR="00D75D4C">
        <w:rPr>
          <w:szCs w:val="24"/>
        </w:rPr>
        <w:t xml:space="preserve">, such as </w:t>
      </w:r>
      <w:r w:rsidR="00AD11FF">
        <w:rPr>
          <w:szCs w:val="24"/>
        </w:rPr>
        <w:t>radioactive waste management in</w:t>
      </w:r>
      <w:r w:rsidR="00642BAE">
        <w:rPr>
          <w:szCs w:val="24"/>
        </w:rPr>
        <w:t xml:space="preserve"> the</w:t>
      </w:r>
      <w:r>
        <w:rPr>
          <w:szCs w:val="24"/>
        </w:rPr>
        <w:t xml:space="preserve"> facilit</w:t>
      </w:r>
      <w:r w:rsidR="00642BAE">
        <w:rPr>
          <w:szCs w:val="24"/>
        </w:rPr>
        <w:t>y</w:t>
      </w:r>
      <w:r>
        <w:rPr>
          <w:szCs w:val="24"/>
        </w:rPr>
        <w:t xml:space="preserve"> </w:t>
      </w:r>
      <w:proofErr w:type="gramStart"/>
      <w:r w:rsidR="00642BAE">
        <w:rPr>
          <w:szCs w:val="24"/>
        </w:rPr>
        <w:t xml:space="preserve">and </w:t>
      </w:r>
      <w:r>
        <w:rPr>
          <w:szCs w:val="24"/>
        </w:rPr>
        <w:t xml:space="preserve"> the</w:t>
      </w:r>
      <w:proofErr w:type="gramEnd"/>
      <w:r>
        <w:rPr>
          <w:szCs w:val="24"/>
        </w:rPr>
        <w:t xml:space="preserve"> optimization of the </w:t>
      </w:r>
      <w:r w:rsidR="00D75D4C">
        <w:rPr>
          <w:szCs w:val="24"/>
        </w:rPr>
        <w:t xml:space="preserve">level of </w:t>
      </w:r>
      <w:r>
        <w:rPr>
          <w:szCs w:val="24"/>
        </w:rPr>
        <w:t>protection of the public</w:t>
      </w:r>
      <w:r w:rsidR="00D75D4C">
        <w:rPr>
          <w:szCs w:val="24"/>
        </w:rPr>
        <w:t>,</w:t>
      </w:r>
      <w:r>
        <w:rPr>
          <w:szCs w:val="24"/>
        </w:rPr>
        <w:t xml:space="preserve"> there are a number of different interested parties</w:t>
      </w:r>
      <w:r w:rsidR="00DE388F">
        <w:rPr>
          <w:szCs w:val="24"/>
        </w:rPr>
        <w:t xml:space="preserve"> </w:t>
      </w:r>
      <w:r w:rsidR="005952AE">
        <w:rPr>
          <w:szCs w:val="24"/>
        </w:rPr>
        <w:t>whose views</w:t>
      </w:r>
      <w:r w:rsidR="00DE388F">
        <w:rPr>
          <w:szCs w:val="24"/>
        </w:rPr>
        <w:t xml:space="preserve"> should be considered</w:t>
      </w:r>
      <w:r w:rsidR="005952AE">
        <w:rPr>
          <w:szCs w:val="24"/>
        </w:rPr>
        <w:t>,</w:t>
      </w:r>
      <w:r w:rsidR="00DE388F">
        <w:rPr>
          <w:szCs w:val="24"/>
        </w:rPr>
        <w:t xml:space="preserve"> as appropriate</w:t>
      </w:r>
      <w:r>
        <w:rPr>
          <w:szCs w:val="24"/>
        </w:rPr>
        <w:t>.</w:t>
      </w:r>
      <w:r w:rsidR="00C505DE">
        <w:rPr>
          <w:szCs w:val="24"/>
        </w:rPr>
        <w:t xml:space="preserve"> </w:t>
      </w:r>
      <w:r w:rsidR="00464344">
        <w:rPr>
          <w:szCs w:val="24"/>
        </w:rPr>
        <w:t>A</w:t>
      </w:r>
      <w:r w:rsidR="0020478A">
        <w:rPr>
          <w:szCs w:val="24"/>
        </w:rPr>
        <w:t xml:space="preserve"> process resulting in the granting of a</w:t>
      </w:r>
      <w:r w:rsidR="00464344">
        <w:rPr>
          <w:szCs w:val="24"/>
        </w:rPr>
        <w:t xml:space="preserve">n authorization </w:t>
      </w:r>
      <w:r w:rsidR="0027493E">
        <w:rPr>
          <w:szCs w:val="24"/>
        </w:rPr>
        <w:t xml:space="preserve">for discharges </w:t>
      </w:r>
      <w:r w:rsidR="00464344">
        <w:rPr>
          <w:szCs w:val="24"/>
        </w:rPr>
        <w:t xml:space="preserve">is likely to </w:t>
      </w:r>
      <w:r w:rsidR="0020478A">
        <w:rPr>
          <w:szCs w:val="24"/>
        </w:rPr>
        <w:t xml:space="preserve">necessitate </w:t>
      </w:r>
      <w:r w:rsidR="00464344">
        <w:rPr>
          <w:szCs w:val="24"/>
        </w:rPr>
        <w:t xml:space="preserve">an exchange of information between </w:t>
      </w:r>
      <w:r w:rsidR="00464344">
        <w:rPr>
          <w:szCs w:val="24"/>
        </w:rPr>
        <w:lastRenderedPageBreak/>
        <w:t>the regulatory body, the applicant and other interested parties</w:t>
      </w:r>
      <w:r w:rsidR="00DE388F">
        <w:rPr>
          <w:rStyle w:val="FootnoteReference"/>
          <w:szCs w:val="24"/>
        </w:rPr>
        <w:footnoteReference w:id="20"/>
      </w:r>
      <w:r w:rsidR="003E0F5A" w:rsidRPr="00C10D10">
        <w:rPr>
          <w:szCs w:val="24"/>
        </w:rPr>
        <w:t>.</w:t>
      </w:r>
      <w:r w:rsidR="003B53D6">
        <w:rPr>
          <w:szCs w:val="24"/>
        </w:rPr>
        <w:t xml:space="preserve"> Some interested</w:t>
      </w:r>
      <w:r w:rsidR="000F650F" w:rsidRPr="00C10D10">
        <w:rPr>
          <w:szCs w:val="24"/>
        </w:rPr>
        <w:t xml:space="preserve"> </w:t>
      </w:r>
      <w:r w:rsidRPr="00C10D10">
        <w:rPr>
          <w:szCs w:val="24"/>
        </w:rPr>
        <w:t xml:space="preserve">parties </w:t>
      </w:r>
      <w:r w:rsidR="003B53D6">
        <w:rPr>
          <w:szCs w:val="24"/>
        </w:rPr>
        <w:t xml:space="preserve">may be located </w:t>
      </w:r>
      <w:r w:rsidRPr="00C10D10">
        <w:rPr>
          <w:szCs w:val="24"/>
        </w:rPr>
        <w:t xml:space="preserve">in other States, especially </w:t>
      </w:r>
      <w:r w:rsidR="005952AE">
        <w:rPr>
          <w:szCs w:val="24"/>
        </w:rPr>
        <w:t xml:space="preserve">in </w:t>
      </w:r>
      <w:r w:rsidRPr="00C10D10">
        <w:rPr>
          <w:szCs w:val="24"/>
        </w:rPr>
        <w:t>neighbouring States</w:t>
      </w:r>
      <w:r w:rsidR="00D75D4C">
        <w:rPr>
          <w:szCs w:val="24"/>
        </w:rPr>
        <w:t>.</w:t>
      </w:r>
    </w:p>
    <w:p w:rsidR="000F650F" w:rsidRPr="00C10D10" w:rsidRDefault="003E0F5A" w:rsidP="0091132F">
      <w:pPr>
        <w:pStyle w:val="ListParagraph"/>
        <w:numPr>
          <w:ilvl w:val="0"/>
          <w:numId w:val="7"/>
        </w:numPr>
        <w:autoSpaceDE w:val="0"/>
        <w:autoSpaceDN w:val="0"/>
        <w:adjustRightInd w:val="0"/>
        <w:spacing w:before="120"/>
        <w:contextualSpacing w:val="0"/>
        <w:jc w:val="both"/>
        <w:rPr>
          <w:szCs w:val="24"/>
        </w:rPr>
      </w:pPr>
      <w:r w:rsidRPr="00C10D10">
        <w:rPr>
          <w:szCs w:val="24"/>
        </w:rPr>
        <w:t xml:space="preserve">Any exchange of information relating to </w:t>
      </w:r>
      <w:r w:rsidR="0020478A">
        <w:rPr>
          <w:szCs w:val="24"/>
        </w:rPr>
        <w:t xml:space="preserve">the </w:t>
      </w:r>
      <w:r w:rsidRPr="00C10D10">
        <w:rPr>
          <w:szCs w:val="24"/>
        </w:rPr>
        <w:t>control of discharges may form part of other decision</w:t>
      </w:r>
      <w:r w:rsidR="0020478A">
        <w:rPr>
          <w:szCs w:val="24"/>
        </w:rPr>
        <w:t xml:space="preserve"> </w:t>
      </w:r>
      <w:r w:rsidRPr="00C10D10">
        <w:rPr>
          <w:szCs w:val="24"/>
        </w:rPr>
        <w:t xml:space="preserve">making processes, for example in the context of </w:t>
      </w:r>
      <w:r w:rsidR="00E21913">
        <w:rPr>
          <w:szCs w:val="24"/>
        </w:rPr>
        <w:t>a</w:t>
      </w:r>
      <w:r w:rsidR="00E21913" w:rsidRPr="00C10D10">
        <w:rPr>
          <w:szCs w:val="24"/>
        </w:rPr>
        <w:t xml:space="preserve"> </w:t>
      </w:r>
      <w:r w:rsidR="00A4151C" w:rsidRPr="00C10D10">
        <w:rPr>
          <w:szCs w:val="24"/>
        </w:rPr>
        <w:t>governmental decision</w:t>
      </w:r>
      <w:r w:rsidR="0020478A">
        <w:rPr>
          <w:szCs w:val="24"/>
        </w:rPr>
        <w:t xml:space="preserve"> </w:t>
      </w:r>
      <w:r w:rsidR="00D75D4C">
        <w:rPr>
          <w:szCs w:val="24"/>
        </w:rPr>
        <w:t xml:space="preserve">making </w:t>
      </w:r>
      <w:r w:rsidR="00A4151C" w:rsidRPr="00C10D10">
        <w:rPr>
          <w:szCs w:val="24"/>
        </w:rPr>
        <w:t xml:space="preserve">process </w:t>
      </w:r>
      <w:r w:rsidR="00E21913">
        <w:rPr>
          <w:szCs w:val="24"/>
        </w:rPr>
        <w:t>on</w:t>
      </w:r>
      <w:r w:rsidR="00E21913" w:rsidRPr="00C10D10">
        <w:rPr>
          <w:szCs w:val="24"/>
        </w:rPr>
        <w:t xml:space="preserve"> </w:t>
      </w:r>
      <w:r w:rsidRPr="00C10D10">
        <w:rPr>
          <w:szCs w:val="24"/>
        </w:rPr>
        <w:t>a major undertaking</w:t>
      </w:r>
      <w:r w:rsidR="0020478A">
        <w:rPr>
          <w:szCs w:val="24"/>
        </w:rPr>
        <w:t>,</w:t>
      </w:r>
      <w:r w:rsidRPr="00C10D10">
        <w:rPr>
          <w:szCs w:val="24"/>
        </w:rPr>
        <w:t xml:space="preserve"> such as a decision to construct a large nuclear </w:t>
      </w:r>
      <w:r w:rsidR="00E255B0">
        <w:rPr>
          <w:szCs w:val="24"/>
        </w:rPr>
        <w:t>installation</w:t>
      </w:r>
      <w:r w:rsidR="00A4151C" w:rsidRPr="00C10D10">
        <w:rPr>
          <w:rStyle w:val="FootnoteReference"/>
          <w:szCs w:val="24"/>
        </w:rPr>
        <w:footnoteReference w:id="21"/>
      </w:r>
      <w:r w:rsidRPr="00C10D10">
        <w:rPr>
          <w:szCs w:val="24"/>
        </w:rPr>
        <w:t xml:space="preserve">. Such exchange of information </w:t>
      </w:r>
      <w:r w:rsidR="00F7516C">
        <w:rPr>
          <w:szCs w:val="24"/>
        </w:rPr>
        <w:t>should include consideration of</w:t>
      </w:r>
      <w:r w:rsidRPr="00C10D10">
        <w:rPr>
          <w:szCs w:val="24"/>
        </w:rPr>
        <w:t xml:space="preserve"> soci</w:t>
      </w:r>
      <w:r w:rsidR="0020478A">
        <w:rPr>
          <w:szCs w:val="24"/>
        </w:rPr>
        <w:t>et</w:t>
      </w:r>
      <w:r w:rsidRPr="00C10D10">
        <w:rPr>
          <w:szCs w:val="24"/>
        </w:rPr>
        <w:t>al aspects, for example, public concern over the risks associated with radiation exposure and consideration of the doses to the public that might result from discharges during operation.</w:t>
      </w:r>
      <w:r w:rsidR="000F650F" w:rsidRPr="00C10D10">
        <w:rPr>
          <w:szCs w:val="24"/>
        </w:rPr>
        <w:t xml:space="preserve"> </w:t>
      </w:r>
    </w:p>
    <w:p w:rsidR="000F650F" w:rsidRPr="00C10D10" w:rsidRDefault="003E0F5A" w:rsidP="0091132F">
      <w:pPr>
        <w:pStyle w:val="ListParagraph"/>
        <w:numPr>
          <w:ilvl w:val="0"/>
          <w:numId w:val="7"/>
        </w:numPr>
        <w:autoSpaceDE w:val="0"/>
        <w:autoSpaceDN w:val="0"/>
        <w:adjustRightInd w:val="0"/>
        <w:spacing w:before="120"/>
        <w:contextualSpacing w:val="0"/>
        <w:jc w:val="both"/>
        <w:rPr>
          <w:szCs w:val="24"/>
        </w:rPr>
      </w:pPr>
      <w:r w:rsidRPr="00C10D10">
        <w:rPr>
          <w:szCs w:val="24"/>
        </w:rPr>
        <w:t>In some cases</w:t>
      </w:r>
      <w:r w:rsidR="0020478A">
        <w:rPr>
          <w:szCs w:val="24"/>
        </w:rPr>
        <w:t>,</w:t>
      </w:r>
      <w:r w:rsidRPr="00C10D10">
        <w:rPr>
          <w:szCs w:val="24"/>
        </w:rPr>
        <w:t xml:space="preserve"> there may be specific requirements for exchange </w:t>
      </w:r>
      <w:r w:rsidR="0020478A">
        <w:rPr>
          <w:szCs w:val="24"/>
        </w:rPr>
        <w:t xml:space="preserve">of information </w:t>
      </w:r>
      <w:r w:rsidRPr="00C10D10">
        <w:rPr>
          <w:szCs w:val="24"/>
        </w:rPr>
        <w:t xml:space="preserve">with interested parties before the </w:t>
      </w:r>
      <w:r w:rsidR="00F73CB8">
        <w:rPr>
          <w:szCs w:val="24"/>
        </w:rPr>
        <w:t>authorization for discharges</w:t>
      </w:r>
      <w:r w:rsidRPr="00C10D10">
        <w:rPr>
          <w:szCs w:val="24"/>
        </w:rPr>
        <w:t xml:space="preserve"> has been finalized. One means of doing this is through the establishment of a group reflecting local public concerns for liaison both with the </w:t>
      </w:r>
      <w:r w:rsidR="005A3563" w:rsidRPr="00C10D10">
        <w:rPr>
          <w:szCs w:val="24"/>
        </w:rPr>
        <w:t>operating organization</w:t>
      </w:r>
      <w:r w:rsidRPr="00C10D10">
        <w:rPr>
          <w:szCs w:val="24"/>
        </w:rPr>
        <w:t xml:space="preserve"> and the regulatory body. Among other things, the results of the </w:t>
      </w:r>
      <w:r w:rsidR="004578DF">
        <w:rPr>
          <w:szCs w:val="24"/>
        </w:rPr>
        <w:t xml:space="preserve">prospective </w:t>
      </w:r>
      <w:r w:rsidRPr="00C10D10">
        <w:rPr>
          <w:szCs w:val="24"/>
        </w:rPr>
        <w:t xml:space="preserve">radiological environmental impact assessment </w:t>
      </w:r>
      <w:r w:rsidR="009D0098" w:rsidRPr="00C10D10">
        <w:rPr>
          <w:szCs w:val="24"/>
        </w:rPr>
        <w:t>[</w:t>
      </w:r>
      <w:r w:rsidR="00E21913">
        <w:rPr>
          <w:szCs w:val="24"/>
        </w:rPr>
        <w:t>7</w:t>
      </w:r>
      <w:r w:rsidR="009D0098" w:rsidRPr="00C10D10">
        <w:rPr>
          <w:szCs w:val="24"/>
        </w:rPr>
        <w:t xml:space="preserve">] </w:t>
      </w:r>
      <w:r w:rsidRPr="00C10D10">
        <w:rPr>
          <w:szCs w:val="24"/>
        </w:rPr>
        <w:t>should be a focal point for the discussions.</w:t>
      </w:r>
      <w:r w:rsidR="000F650F" w:rsidRPr="00C10D10">
        <w:rPr>
          <w:szCs w:val="24"/>
        </w:rPr>
        <w:t xml:space="preserve"> </w:t>
      </w:r>
    </w:p>
    <w:p w:rsidR="000F650F" w:rsidRPr="00C10D10" w:rsidRDefault="00D309A3" w:rsidP="0091132F">
      <w:pPr>
        <w:pStyle w:val="ListParagraph"/>
        <w:numPr>
          <w:ilvl w:val="0"/>
          <w:numId w:val="7"/>
        </w:numPr>
        <w:autoSpaceDE w:val="0"/>
        <w:autoSpaceDN w:val="0"/>
        <w:adjustRightInd w:val="0"/>
        <w:spacing w:before="120"/>
        <w:contextualSpacing w:val="0"/>
        <w:jc w:val="both"/>
        <w:rPr>
          <w:szCs w:val="24"/>
        </w:rPr>
      </w:pPr>
      <w:r>
        <w:rPr>
          <w:szCs w:val="24"/>
        </w:rPr>
        <w:t xml:space="preserve">Paragraph 3.124 of GSR Part 3 </w:t>
      </w:r>
      <w:r w:rsidR="00417BFF">
        <w:rPr>
          <w:szCs w:val="24"/>
        </w:rPr>
        <w:t>[3]</w:t>
      </w:r>
      <w:r>
        <w:rPr>
          <w:szCs w:val="24"/>
        </w:rPr>
        <w:t xml:space="preserve"> establishes</w:t>
      </w:r>
      <w:r w:rsidR="003E0F5A" w:rsidRPr="00C10D10">
        <w:rPr>
          <w:szCs w:val="24"/>
        </w:rPr>
        <w:t xml:space="preserve"> a requirement to exchange information with other </w:t>
      </w:r>
      <w:r w:rsidR="007F4E7D" w:rsidRPr="00C10D10">
        <w:rPr>
          <w:szCs w:val="24"/>
        </w:rPr>
        <w:t xml:space="preserve">States </w:t>
      </w:r>
      <w:r w:rsidR="003E0F5A" w:rsidRPr="00C10D10">
        <w:rPr>
          <w:szCs w:val="24"/>
        </w:rPr>
        <w:t>when a discharge could cause public exposure</w:t>
      </w:r>
      <w:r>
        <w:rPr>
          <w:szCs w:val="24"/>
        </w:rPr>
        <w:t>s</w:t>
      </w:r>
      <w:r w:rsidR="003E0F5A" w:rsidRPr="00C10D10">
        <w:rPr>
          <w:szCs w:val="24"/>
        </w:rPr>
        <w:t xml:space="preserve"> </w:t>
      </w:r>
      <w:r>
        <w:rPr>
          <w:szCs w:val="24"/>
        </w:rPr>
        <w:t>in</w:t>
      </w:r>
      <w:r w:rsidRPr="00C10D10">
        <w:rPr>
          <w:szCs w:val="24"/>
        </w:rPr>
        <w:t xml:space="preserve"> </w:t>
      </w:r>
      <w:r w:rsidR="003E0F5A" w:rsidRPr="00C10D10">
        <w:rPr>
          <w:szCs w:val="24"/>
        </w:rPr>
        <w:t xml:space="preserve">these </w:t>
      </w:r>
      <w:r w:rsidR="00E11426">
        <w:rPr>
          <w:szCs w:val="24"/>
        </w:rPr>
        <w:t>States</w:t>
      </w:r>
      <w:r w:rsidR="007F4E7D" w:rsidRPr="00C10D10">
        <w:rPr>
          <w:szCs w:val="24"/>
        </w:rPr>
        <w:t>;</w:t>
      </w:r>
      <w:r w:rsidR="003E0F5A" w:rsidRPr="00C10D10">
        <w:rPr>
          <w:szCs w:val="24"/>
        </w:rPr>
        <w:t xml:space="preserve"> </w:t>
      </w:r>
      <w:r w:rsidR="007F4E7D" w:rsidRPr="00C10D10">
        <w:rPr>
          <w:szCs w:val="24"/>
        </w:rPr>
        <w:t>f</w:t>
      </w:r>
      <w:r w:rsidR="003E0F5A" w:rsidRPr="00C10D10">
        <w:rPr>
          <w:szCs w:val="24"/>
        </w:rPr>
        <w:t xml:space="preserve">or example, </w:t>
      </w:r>
      <w:r>
        <w:rPr>
          <w:szCs w:val="24"/>
        </w:rPr>
        <w:t>if</w:t>
      </w:r>
      <w:r w:rsidRPr="00C10D10">
        <w:rPr>
          <w:szCs w:val="24"/>
        </w:rPr>
        <w:t xml:space="preserve"> </w:t>
      </w:r>
      <w:r w:rsidR="003E0F5A" w:rsidRPr="00C10D10">
        <w:rPr>
          <w:szCs w:val="24"/>
        </w:rPr>
        <w:t xml:space="preserve">a facility will discharge into an international waterway, or when the representative person </w:t>
      </w:r>
      <w:r w:rsidR="00E21913">
        <w:rPr>
          <w:szCs w:val="24"/>
        </w:rPr>
        <w:t>is</w:t>
      </w:r>
      <w:r w:rsidR="003E0F5A" w:rsidRPr="00C10D10">
        <w:rPr>
          <w:szCs w:val="24"/>
        </w:rPr>
        <w:t xml:space="preserve"> </w:t>
      </w:r>
      <w:r>
        <w:rPr>
          <w:szCs w:val="24"/>
        </w:rPr>
        <w:t xml:space="preserve">located </w:t>
      </w:r>
      <w:r w:rsidR="003E0F5A" w:rsidRPr="00C10D10">
        <w:rPr>
          <w:szCs w:val="24"/>
        </w:rPr>
        <w:t xml:space="preserve">in a neighbouring </w:t>
      </w:r>
      <w:r>
        <w:rPr>
          <w:szCs w:val="24"/>
        </w:rPr>
        <w:t>State</w:t>
      </w:r>
      <w:r w:rsidR="003E0F5A" w:rsidRPr="00C10D10">
        <w:rPr>
          <w:szCs w:val="24"/>
          <w:vertAlign w:val="superscript"/>
        </w:rPr>
        <w:footnoteReference w:id="22"/>
      </w:r>
      <w:r w:rsidR="003E0F5A" w:rsidRPr="00C10D10">
        <w:rPr>
          <w:szCs w:val="24"/>
        </w:rPr>
        <w:t>.</w:t>
      </w:r>
    </w:p>
    <w:p w:rsidR="008E530B" w:rsidRPr="00C10D10" w:rsidRDefault="008E530B" w:rsidP="008E530B">
      <w:pPr>
        <w:autoSpaceDE w:val="0"/>
        <w:autoSpaceDN w:val="0"/>
        <w:adjustRightInd w:val="0"/>
        <w:spacing w:before="120" w:line="360" w:lineRule="auto"/>
        <w:jc w:val="both"/>
        <w:rPr>
          <w:rFonts w:ascii="Times New Roman" w:hAnsi="Times New Roman"/>
          <w:sz w:val="24"/>
          <w:szCs w:val="24"/>
        </w:rPr>
      </w:pPr>
    </w:p>
    <w:p w:rsidR="00D80FDB" w:rsidRPr="00C10D10" w:rsidRDefault="004928E8" w:rsidP="00EF5796">
      <w:pPr>
        <w:pStyle w:val="Heading1"/>
        <w:spacing w:before="120" w:after="0" w:line="360" w:lineRule="auto"/>
        <w:ind w:left="0" w:firstLine="0"/>
        <w:rPr>
          <w:kern w:val="0"/>
          <w:lang w:val="en-GB"/>
        </w:rPr>
      </w:pPr>
      <w:bookmarkStart w:id="53" w:name="_Toc452966958"/>
      <w:r w:rsidRPr="00C10D10">
        <w:rPr>
          <w:kern w:val="0"/>
          <w:lang w:val="en-GB"/>
        </w:rPr>
        <w:t xml:space="preserve">CONSIDERATION OF </w:t>
      </w:r>
      <w:r w:rsidR="001310D3">
        <w:rPr>
          <w:kern w:val="0"/>
          <w:lang w:val="en-GB"/>
        </w:rPr>
        <w:t>EFFLUENTS CONTAINING</w:t>
      </w:r>
      <w:r w:rsidRPr="00C10D10">
        <w:rPr>
          <w:kern w:val="0"/>
          <w:lang w:val="en-GB"/>
        </w:rPr>
        <w:t xml:space="preserve"> RADIONUCLIDES</w:t>
      </w:r>
      <w:r w:rsidR="001310D3">
        <w:rPr>
          <w:kern w:val="0"/>
          <w:lang w:val="en-GB"/>
        </w:rPr>
        <w:t xml:space="preserve"> OF NATURAL ORIGIN</w:t>
      </w:r>
      <w:r w:rsidR="00CD250A" w:rsidRPr="00C10D10">
        <w:rPr>
          <w:kern w:val="0"/>
          <w:lang w:val="en-GB"/>
        </w:rPr>
        <w:t xml:space="preserve"> IN DIFFERENT INDUSTRIES</w:t>
      </w:r>
      <w:bookmarkEnd w:id="53"/>
    </w:p>
    <w:p w:rsidR="007A0EE1" w:rsidRPr="00C10D10" w:rsidRDefault="007A0EE1" w:rsidP="0091132F">
      <w:pPr>
        <w:numPr>
          <w:ilvl w:val="0"/>
          <w:numId w:val="17"/>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In general, for facilities and activities</w:t>
      </w:r>
      <w:r w:rsidR="00161270">
        <w:rPr>
          <w:rFonts w:ascii="Times New Roman" w:hAnsi="Times New Roman"/>
          <w:sz w:val="24"/>
          <w:szCs w:val="24"/>
        </w:rPr>
        <w:t xml:space="preserve"> authorized in accordance with the </w:t>
      </w:r>
      <w:r w:rsidR="00D309A3">
        <w:rPr>
          <w:rFonts w:ascii="Times New Roman" w:hAnsi="Times New Roman"/>
          <w:sz w:val="24"/>
          <w:szCs w:val="24"/>
        </w:rPr>
        <w:t>requirements of GSR Part 3</w:t>
      </w:r>
      <w:r w:rsidR="00161270">
        <w:rPr>
          <w:rFonts w:ascii="Times New Roman" w:hAnsi="Times New Roman"/>
          <w:sz w:val="24"/>
          <w:szCs w:val="24"/>
        </w:rPr>
        <w:t xml:space="preserve"> </w:t>
      </w:r>
      <w:r w:rsidR="00417BFF">
        <w:rPr>
          <w:rFonts w:ascii="Times New Roman" w:hAnsi="Times New Roman"/>
          <w:sz w:val="24"/>
          <w:szCs w:val="24"/>
        </w:rPr>
        <w:t>[3]</w:t>
      </w:r>
      <w:r w:rsidRPr="00C10D10">
        <w:rPr>
          <w:rFonts w:ascii="Times New Roman" w:hAnsi="Times New Roman"/>
          <w:sz w:val="24"/>
          <w:szCs w:val="24"/>
        </w:rPr>
        <w:t xml:space="preserve"> there is no distinction in the </w:t>
      </w:r>
      <w:r w:rsidR="0027493E">
        <w:rPr>
          <w:rFonts w:ascii="Times New Roman" w:hAnsi="Times New Roman"/>
          <w:sz w:val="24"/>
          <w:szCs w:val="24"/>
        </w:rPr>
        <w:t xml:space="preserve">general </w:t>
      </w:r>
      <w:r w:rsidR="00161270">
        <w:rPr>
          <w:rFonts w:ascii="Times New Roman" w:hAnsi="Times New Roman"/>
          <w:sz w:val="24"/>
          <w:szCs w:val="24"/>
        </w:rPr>
        <w:t xml:space="preserve">approach </w:t>
      </w:r>
      <w:r w:rsidR="005F6B1D">
        <w:rPr>
          <w:rFonts w:ascii="Times New Roman" w:hAnsi="Times New Roman"/>
          <w:sz w:val="24"/>
          <w:szCs w:val="24"/>
        </w:rPr>
        <w:t>for controlling</w:t>
      </w:r>
      <w:r w:rsidRPr="00C10D10">
        <w:rPr>
          <w:rFonts w:ascii="Times New Roman" w:hAnsi="Times New Roman"/>
          <w:sz w:val="24"/>
          <w:szCs w:val="24"/>
        </w:rPr>
        <w:t xml:space="preserve"> the </w:t>
      </w:r>
      <w:r w:rsidR="001310D3">
        <w:rPr>
          <w:rFonts w:ascii="Times New Roman" w:hAnsi="Times New Roman"/>
          <w:sz w:val="24"/>
          <w:szCs w:val="24"/>
        </w:rPr>
        <w:t>release</w:t>
      </w:r>
      <w:r w:rsidR="001310D3" w:rsidRPr="00C10D10">
        <w:rPr>
          <w:rFonts w:ascii="Times New Roman" w:hAnsi="Times New Roman"/>
          <w:sz w:val="24"/>
          <w:szCs w:val="24"/>
        </w:rPr>
        <w:t xml:space="preserve"> </w:t>
      </w:r>
      <w:r w:rsidR="00A9096B">
        <w:rPr>
          <w:rFonts w:ascii="Times New Roman" w:hAnsi="Times New Roman"/>
          <w:sz w:val="24"/>
          <w:szCs w:val="24"/>
        </w:rPr>
        <w:t>of</w:t>
      </w:r>
      <w:r w:rsidR="00A9096B" w:rsidRPr="00C10D10">
        <w:rPr>
          <w:rFonts w:ascii="Times New Roman" w:hAnsi="Times New Roman"/>
          <w:sz w:val="24"/>
          <w:szCs w:val="24"/>
        </w:rPr>
        <w:t xml:space="preserve"> </w:t>
      </w:r>
      <w:r w:rsidR="00A066DC">
        <w:rPr>
          <w:rFonts w:ascii="Times New Roman" w:hAnsi="Times New Roman"/>
          <w:sz w:val="24"/>
          <w:szCs w:val="24"/>
        </w:rPr>
        <w:lastRenderedPageBreak/>
        <w:t xml:space="preserve">effluents </w:t>
      </w:r>
      <w:r w:rsidR="001310D3">
        <w:rPr>
          <w:rFonts w:ascii="Times New Roman" w:hAnsi="Times New Roman"/>
          <w:sz w:val="24"/>
          <w:szCs w:val="24"/>
        </w:rPr>
        <w:t>containing</w:t>
      </w:r>
      <w:r w:rsidR="00A066DC">
        <w:rPr>
          <w:rFonts w:ascii="Times New Roman" w:hAnsi="Times New Roman"/>
          <w:sz w:val="24"/>
          <w:szCs w:val="24"/>
        </w:rPr>
        <w:t xml:space="preserve"> </w:t>
      </w:r>
      <w:r w:rsidR="00A9096B" w:rsidRPr="00C10D10">
        <w:rPr>
          <w:rFonts w:ascii="Times New Roman" w:hAnsi="Times New Roman"/>
          <w:sz w:val="24"/>
          <w:szCs w:val="24"/>
        </w:rPr>
        <w:t xml:space="preserve">radionuclides </w:t>
      </w:r>
      <w:r w:rsidR="00A9096B">
        <w:rPr>
          <w:rFonts w:ascii="Times New Roman" w:hAnsi="Times New Roman"/>
          <w:sz w:val="24"/>
          <w:szCs w:val="24"/>
        </w:rPr>
        <w:t xml:space="preserve">of </w:t>
      </w:r>
      <w:r w:rsidR="00C365F5" w:rsidRPr="00C10D10">
        <w:rPr>
          <w:rFonts w:ascii="Times New Roman" w:hAnsi="Times New Roman"/>
          <w:sz w:val="24"/>
          <w:szCs w:val="24"/>
        </w:rPr>
        <w:t>artificial</w:t>
      </w:r>
      <w:r w:rsidR="00C365F5">
        <w:rPr>
          <w:rFonts w:ascii="Times New Roman" w:hAnsi="Times New Roman"/>
          <w:sz w:val="24"/>
          <w:szCs w:val="24"/>
        </w:rPr>
        <w:t xml:space="preserve"> origin</w:t>
      </w:r>
      <w:r w:rsidR="00C365F5" w:rsidRPr="00C10D10">
        <w:rPr>
          <w:rFonts w:ascii="Times New Roman" w:hAnsi="Times New Roman"/>
          <w:sz w:val="24"/>
          <w:szCs w:val="24"/>
        </w:rPr>
        <w:t xml:space="preserve"> </w:t>
      </w:r>
      <w:r w:rsidRPr="00C10D10">
        <w:rPr>
          <w:rFonts w:ascii="Times New Roman" w:hAnsi="Times New Roman"/>
          <w:sz w:val="24"/>
          <w:szCs w:val="24"/>
        </w:rPr>
        <w:t xml:space="preserve">or </w:t>
      </w:r>
      <w:r w:rsidR="00E21913" w:rsidRPr="00C10D10">
        <w:rPr>
          <w:rFonts w:ascii="Times New Roman" w:hAnsi="Times New Roman"/>
          <w:sz w:val="24"/>
          <w:szCs w:val="24"/>
        </w:rPr>
        <w:t xml:space="preserve">radionuclides </w:t>
      </w:r>
      <w:r w:rsidR="00D309A3">
        <w:rPr>
          <w:rFonts w:ascii="Times New Roman" w:hAnsi="Times New Roman"/>
          <w:sz w:val="24"/>
          <w:szCs w:val="24"/>
        </w:rPr>
        <w:t xml:space="preserve">of </w:t>
      </w:r>
      <w:r w:rsidR="00C365F5" w:rsidRPr="00C10D10">
        <w:rPr>
          <w:rFonts w:ascii="Times New Roman" w:hAnsi="Times New Roman"/>
          <w:sz w:val="24"/>
          <w:szCs w:val="24"/>
        </w:rPr>
        <w:t xml:space="preserve">natural </w:t>
      </w:r>
      <w:r w:rsidR="00C365F5">
        <w:rPr>
          <w:rFonts w:ascii="Times New Roman" w:hAnsi="Times New Roman"/>
          <w:sz w:val="24"/>
          <w:szCs w:val="24"/>
        </w:rPr>
        <w:t>origin</w:t>
      </w:r>
      <w:r w:rsidR="00A9096B">
        <w:rPr>
          <w:rFonts w:ascii="Times New Roman" w:hAnsi="Times New Roman"/>
          <w:sz w:val="24"/>
          <w:szCs w:val="24"/>
        </w:rPr>
        <w:t xml:space="preserve">, </w:t>
      </w:r>
      <w:r w:rsidRPr="00C10D10">
        <w:rPr>
          <w:rFonts w:ascii="Times New Roman" w:hAnsi="Times New Roman"/>
          <w:sz w:val="24"/>
          <w:szCs w:val="24"/>
        </w:rPr>
        <w:t>for example</w:t>
      </w:r>
      <w:r w:rsidR="00A066DC">
        <w:rPr>
          <w:rFonts w:ascii="Times New Roman" w:hAnsi="Times New Roman"/>
          <w:sz w:val="24"/>
          <w:szCs w:val="24"/>
        </w:rPr>
        <w:t xml:space="preserve"> </w:t>
      </w:r>
      <w:r w:rsidR="00D309A3">
        <w:rPr>
          <w:rFonts w:ascii="Times New Roman" w:hAnsi="Times New Roman"/>
          <w:sz w:val="24"/>
          <w:szCs w:val="24"/>
        </w:rPr>
        <w:t>discharges</w:t>
      </w:r>
      <w:r w:rsidRPr="00C10D10">
        <w:rPr>
          <w:rFonts w:ascii="Times New Roman" w:hAnsi="Times New Roman"/>
          <w:sz w:val="24"/>
          <w:szCs w:val="24"/>
        </w:rPr>
        <w:t xml:space="preserve"> </w:t>
      </w:r>
      <w:r w:rsidR="00A9096B">
        <w:rPr>
          <w:rFonts w:ascii="Times New Roman" w:hAnsi="Times New Roman"/>
          <w:sz w:val="24"/>
          <w:szCs w:val="24"/>
        </w:rPr>
        <w:t>from</w:t>
      </w:r>
      <w:r w:rsidRPr="00C10D10">
        <w:rPr>
          <w:rFonts w:ascii="Times New Roman" w:hAnsi="Times New Roman"/>
          <w:sz w:val="24"/>
          <w:szCs w:val="24"/>
        </w:rPr>
        <w:t xml:space="preserve"> nuclear installations </w:t>
      </w:r>
      <w:r w:rsidR="00D4699A">
        <w:rPr>
          <w:rFonts w:ascii="Times New Roman" w:hAnsi="Times New Roman"/>
          <w:sz w:val="24"/>
          <w:szCs w:val="24"/>
        </w:rPr>
        <w:t xml:space="preserve">and </w:t>
      </w:r>
      <w:r w:rsidR="00D309A3">
        <w:rPr>
          <w:rFonts w:ascii="Times New Roman" w:hAnsi="Times New Roman"/>
          <w:sz w:val="24"/>
          <w:szCs w:val="24"/>
        </w:rPr>
        <w:t xml:space="preserve">from </w:t>
      </w:r>
      <w:r w:rsidRPr="00C10D10">
        <w:rPr>
          <w:rFonts w:ascii="Times New Roman" w:hAnsi="Times New Roman"/>
          <w:sz w:val="24"/>
          <w:szCs w:val="24"/>
        </w:rPr>
        <w:t xml:space="preserve">uranium and thorium </w:t>
      </w:r>
      <w:r w:rsidR="00D84A2D" w:rsidRPr="00C10D10">
        <w:rPr>
          <w:rFonts w:ascii="Times New Roman" w:hAnsi="Times New Roman"/>
          <w:sz w:val="24"/>
          <w:szCs w:val="24"/>
        </w:rPr>
        <w:t xml:space="preserve">mining and </w:t>
      </w:r>
      <w:r w:rsidRPr="00C10D10">
        <w:rPr>
          <w:rFonts w:ascii="Times New Roman" w:hAnsi="Times New Roman"/>
          <w:sz w:val="24"/>
          <w:szCs w:val="24"/>
        </w:rPr>
        <w:t>processing facilities</w:t>
      </w:r>
      <w:r w:rsidR="006B4D01">
        <w:rPr>
          <w:rFonts w:ascii="Times New Roman" w:hAnsi="Times New Roman"/>
          <w:sz w:val="24"/>
          <w:szCs w:val="24"/>
        </w:rPr>
        <w:t xml:space="preserve"> within the nuclear fuel cycle</w:t>
      </w:r>
      <w:r w:rsidRPr="00C10D10">
        <w:rPr>
          <w:rFonts w:ascii="Times New Roman" w:hAnsi="Times New Roman"/>
          <w:sz w:val="24"/>
          <w:szCs w:val="24"/>
        </w:rPr>
        <w:t>.</w:t>
      </w:r>
      <w:r w:rsidR="00C35385" w:rsidRPr="00C10D10">
        <w:rPr>
          <w:rFonts w:ascii="Times New Roman" w:hAnsi="Times New Roman"/>
          <w:sz w:val="24"/>
          <w:szCs w:val="24"/>
        </w:rPr>
        <w:t xml:space="preserve"> </w:t>
      </w:r>
      <w:r w:rsidR="00D84A2D" w:rsidRPr="00C10D10">
        <w:rPr>
          <w:rFonts w:ascii="Times New Roman" w:hAnsi="Times New Roman"/>
          <w:sz w:val="24"/>
          <w:szCs w:val="24"/>
        </w:rPr>
        <w:t xml:space="preserve">This </w:t>
      </w:r>
      <w:r w:rsidR="00FC5BB4">
        <w:rPr>
          <w:rFonts w:ascii="Times New Roman" w:hAnsi="Times New Roman"/>
          <w:sz w:val="24"/>
          <w:szCs w:val="24"/>
        </w:rPr>
        <w:t xml:space="preserve">same general </w:t>
      </w:r>
      <w:r w:rsidR="00A9096B">
        <w:rPr>
          <w:rFonts w:ascii="Times New Roman" w:hAnsi="Times New Roman"/>
          <w:sz w:val="24"/>
          <w:szCs w:val="24"/>
        </w:rPr>
        <w:t xml:space="preserve">approach </w:t>
      </w:r>
      <w:r w:rsidR="00FC5BB4">
        <w:rPr>
          <w:rFonts w:ascii="Times New Roman" w:hAnsi="Times New Roman"/>
          <w:sz w:val="24"/>
          <w:szCs w:val="24"/>
        </w:rPr>
        <w:t>involves</w:t>
      </w:r>
      <w:r w:rsidR="00FC5BB4" w:rsidRPr="00C10D10">
        <w:rPr>
          <w:rFonts w:ascii="Times New Roman" w:hAnsi="Times New Roman"/>
          <w:sz w:val="24"/>
          <w:szCs w:val="24"/>
        </w:rPr>
        <w:t xml:space="preserve"> </w:t>
      </w:r>
      <w:r w:rsidR="00C35385" w:rsidRPr="00C10D10">
        <w:rPr>
          <w:rFonts w:ascii="Times New Roman" w:hAnsi="Times New Roman"/>
          <w:sz w:val="24"/>
          <w:szCs w:val="24"/>
        </w:rPr>
        <w:t>the use of dose limits, dose assessment, dose constraints and optimization</w:t>
      </w:r>
      <w:r w:rsidR="00001215">
        <w:rPr>
          <w:rFonts w:ascii="Times New Roman" w:hAnsi="Times New Roman"/>
          <w:sz w:val="24"/>
          <w:szCs w:val="24"/>
        </w:rPr>
        <w:t xml:space="preserve"> of the protection and safety</w:t>
      </w:r>
      <w:r w:rsidR="00C35385" w:rsidRPr="00C10D10">
        <w:rPr>
          <w:rFonts w:ascii="Times New Roman" w:hAnsi="Times New Roman"/>
          <w:sz w:val="24"/>
          <w:szCs w:val="24"/>
        </w:rPr>
        <w:t xml:space="preserve"> </w:t>
      </w:r>
      <w:r w:rsidR="00CD250A" w:rsidRPr="00C10D10">
        <w:rPr>
          <w:rFonts w:ascii="Times New Roman" w:hAnsi="Times New Roman"/>
          <w:sz w:val="24"/>
          <w:szCs w:val="24"/>
        </w:rPr>
        <w:sym w:font="Symbol" w:char="F0BE"/>
      </w:r>
      <w:r w:rsidR="002A360E">
        <w:rPr>
          <w:rFonts w:ascii="Times New Roman" w:hAnsi="Times New Roman"/>
          <w:sz w:val="24"/>
          <w:szCs w:val="24"/>
        </w:rPr>
        <w:t xml:space="preserve"> </w:t>
      </w:r>
      <w:r w:rsidR="00C35385" w:rsidRPr="00C10D10">
        <w:rPr>
          <w:rFonts w:ascii="Times New Roman" w:hAnsi="Times New Roman"/>
          <w:sz w:val="24"/>
          <w:szCs w:val="24"/>
        </w:rPr>
        <w:t xml:space="preserve">or </w:t>
      </w:r>
      <w:r w:rsidR="00EC7B82" w:rsidRPr="00C10D10">
        <w:rPr>
          <w:rFonts w:ascii="Times New Roman" w:hAnsi="Times New Roman"/>
          <w:sz w:val="24"/>
          <w:szCs w:val="24"/>
        </w:rPr>
        <w:t xml:space="preserve">best available techniques </w:t>
      </w:r>
      <w:r w:rsidR="00C35385" w:rsidRPr="00C10D10">
        <w:rPr>
          <w:rFonts w:ascii="Times New Roman" w:hAnsi="Times New Roman"/>
          <w:sz w:val="24"/>
          <w:szCs w:val="24"/>
        </w:rPr>
        <w:t>as relevant</w:t>
      </w:r>
      <w:r w:rsidR="002A360E">
        <w:rPr>
          <w:rFonts w:ascii="Times New Roman" w:hAnsi="Times New Roman"/>
          <w:sz w:val="24"/>
          <w:szCs w:val="24"/>
        </w:rPr>
        <w:t xml:space="preserve"> </w:t>
      </w:r>
      <w:r w:rsidR="00CD250A" w:rsidRPr="00C10D10">
        <w:rPr>
          <w:rFonts w:ascii="Times New Roman" w:hAnsi="Times New Roman"/>
          <w:sz w:val="24"/>
          <w:szCs w:val="24"/>
        </w:rPr>
        <w:sym w:font="Symbol" w:char="F0BE"/>
      </w:r>
      <w:r w:rsidR="00C35385" w:rsidRPr="00C10D10">
        <w:rPr>
          <w:rFonts w:ascii="Times New Roman" w:hAnsi="Times New Roman"/>
          <w:sz w:val="24"/>
          <w:szCs w:val="24"/>
        </w:rPr>
        <w:t xml:space="preserve"> </w:t>
      </w:r>
      <w:r w:rsidR="00FC5BB4">
        <w:rPr>
          <w:rFonts w:ascii="Times New Roman" w:hAnsi="Times New Roman"/>
          <w:sz w:val="24"/>
          <w:szCs w:val="24"/>
        </w:rPr>
        <w:t xml:space="preserve">in </w:t>
      </w:r>
      <w:r w:rsidR="00C35385" w:rsidRPr="00C10D10">
        <w:rPr>
          <w:rFonts w:ascii="Times New Roman" w:hAnsi="Times New Roman"/>
          <w:sz w:val="24"/>
          <w:szCs w:val="24"/>
        </w:rPr>
        <w:t>accord</w:t>
      </w:r>
      <w:r w:rsidR="00FC5BB4">
        <w:rPr>
          <w:rFonts w:ascii="Times New Roman" w:hAnsi="Times New Roman"/>
          <w:sz w:val="24"/>
          <w:szCs w:val="24"/>
        </w:rPr>
        <w:t>ance with</w:t>
      </w:r>
      <w:r w:rsidR="00C35385" w:rsidRPr="00C10D10">
        <w:rPr>
          <w:rFonts w:ascii="Times New Roman" w:hAnsi="Times New Roman"/>
          <w:sz w:val="24"/>
          <w:szCs w:val="24"/>
        </w:rPr>
        <w:t xml:space="preserve"> the national </w:t>
      </w:r>
      <w:r w:rsidR="00FC4099">
        <w:rPr>
          <w:rFonts w:ascii="Times New Roman" w:hAnsi="Times New Roman"/>
          <w:sz w:val="24"/>
          <w:szCs w:val="24"/>
        </w:rPr>
        <w:t>regulations</w:t>
      </w:r>
      <w:r w:rsidR="00C35385" w:rsidRPr="000719A4">
        <w:rPr>
          <w:rFonts w:ascii="Times New Roman" w:hAnsi="Times New Roman"/>
          <w:sz w:val="24"/>
          <w:szCs w:val="24"/>
        </w:rPr>
        <w:t>.</w:t>
      </w:r>
    </w:p>
    <w:p w:rsidR="006B2DC4" w:rsidRPr="00C10D10" w:rsidRDefault="007A0EE1" w:rsidP="0091132F">
      <w:pPr>
        <w:numPr>
          <w:ilvl w:val="0"/>
          <w:numId w:val="17"/>
        </w:numPr>
        <w:autoSpaceDE w:val="0"/>
        <w:autoSpaceDN w:val="0"/>
        <w:adjustRightInd w:val="0"/>
        <w:spacing w:before="120" w:line="360" w:lineRule="auto"/>
        <w:jc w:val="both"/>
        <w:rPr>
          <w:rFonts w:ascii="Times New Roman" w:hAnsi="Times New Roman"/>
          <w:sz w:val="24"/>
          <w:szCs w:val="24"/>
        </w:rPr>
      </w:pPr>
      <w:r w:rsidRPr="00C10D10">
        <w:rPr>
          <w:rFonts w:ascii="Times New Roman" w:hAnsi="Times New Roman"/>
          <w:sz w:val="24"/>
          <w:szCs w:val="24"/>
        </w:rPr>
        <w:t xml:space="preserve">Some non-nuclear industries may </w:t>
      </w:r>
      <w:r w:rsidR="00A066DC">
        <w:rPr>
          <w:rFonts w:ascii="Times New Roman" w:hAnsi="Times New Roman"/>
          <w:sz w:val="24"/>
          <w:szCs w:val="24"/>
        </w:rPr>
        <w:t xml:space="preserve">release </w:t>
      </w:r>
      <w:r w:rsidR="00A9096B">
        <w:rPr>
          <w:rFonts w:ascii="Times New Roman" w:hAnsi="Times New Roman"/>
          <w:sz w:val="24"/>
          <w:szCs w:val="24"/>
        </w:rPr>
        <w:t>effluents</w:t>
      </w:r>
      <w:r w:rsidRPr="00C10D10">
        <w:rPr>
          <w:rFonts w:ascii="Times New Roman" w:hAnsi="Times New Roman"/>
          <w:sz w:val="24"/>
          <w:szCs w:val="24"/>
        </w:rPr>
        <w:t xml:space="preserve"> containing </w:t>
      </w:r>
      <w:r w:rsidR="001310D3">
        <w:rPr>
          <w:rFonts w:ascii="Times New Roman" w:hAnsi="Times New Roman"/>
          <w:sz w:val="24"/>
          <w:szCs w:val="24"/>
        </w:rPr>
        <w:t xml:space="preserve">radionuclides of </w:t>
      </w:r>
      <w:r w:rsidR="00CD250A" w:rsidRPr="00C10D10">
        <w:rPr>
          <w:rFonts w:ascii="Times New Roman" w:hAnsi="Times New Roman"/>
          <w:sz w:val="24"/>
          <w:szCs w:val="24"/>
        </w:rPr>
        <w:t>natural</w:t>
      </w:r>
      <w:r w:rsidR="001310D3">
        <w:rPr>
          <w:rFonts w:ascii="Times New Roman" w:hAnsi="Times New Roman"/>
          <w:sz w:val="24"/>
          <w:szCs w:val="24"/>
        </w:rPr>
        <w:t xml:space="preserve"> origin</w:t>
      </w:r>
      <w:r w:rsidRPr="00C10D10">
        <w:rPr>
          <w:rFonts w:ascii="Times New Roman" w:hAnsi="Times New Roman"/>
          <w:sz w:val="24"/>
          <w:szCs w:val="24"/>
        </w:rPr>
        <w:t xml:space="preserve">. </w:t>
      </w:r>
      <w:r w:rsidR="006B2DC4" w:rsidRPr="00C10D10">
        <w:rPr>
          <w:rFonts w:ascii="Times New Roman" w:hAnsi="Times New Roman"/>
          <w:iCs/>
          <w:sz w:val="24"/>
          <w:szCs w:val="24"/>
        </w:rPr>
        <w:t xml:space="preserve">In some States, </w:t>
      </w:r>
      <w:r w:rsidR="00644E35" w:rsidRPr="00C10D10">
        <w:rPr>
          <w:rFonts w:ascii="Times New Roman" w:hAnsi="Times New Roman"/>
          <w:iCs/>
          <w:sz w:val="24"/>
          <w:szCs w:val="24"/>
        </w:rPr>
        <w:t xml:space="preserve">some </w:t>
      </w:r>
      <w:r w:rsidR="009D0098" w:rsidRPr="00C10D10">
        <w:rPr>
          <w:rFonts w:ascii="Times New Roman" w:hAnsi="Times New Roman"/>
          <w:iCs/>
          <w:sz w:val="24"/>
          <w:szCs w:val="24"/>
        </w:rPr>
        <w:t xml:space="preserve">of these </w:t>
      </w:r>
      <w:r w:rsidR="00644E35" w:rsidRPr="00C10D10">
        <w:rPr>
          <w:rFonts w:ascii="Times New Roman" w:hAnsi="Times New Roman"/>
          <w:iCs/>
          <w:sz w:val="24"/>
          <w:szCs w:val="24"/>
        </w:rPr>
        <w:t>industries</w:t>
      </w:r>
      <w:r w:rsidR="006B2DC4" w:rsidRPr="00C10D10">
        <w:rPr>
          <w:rFonts w:ascii="Times New Roman" w:hAnsi="Times New Roman"/>
          <w:iCs/>
          <w:sz w:val="24"/>
          <w:szCs w:val="24"/>
        </w:rPr>
        <w:t xml:space="preserve"> involving </w:t>
      </w:r>
      <w:r w:rsidR="001310D3">
        <w:rPr>
          <w:rFonts w:ascii="Times New Roman" w:hAnsi="Times New Roman"/>
          <w:iCs/>
          <w:sz w:val="24"/>
          <w:szCs w:val="24"/>
        </w:rPr>
        <w:t>naturally occurring radioactive material</w:t>
      </w:r>
      <w:r w:rsidR="001310D3" w:rsidRPr="00C10D10">
        <w:rPr>
          <w:rFonts w:ascii="Times New Roman" w:hAnsi="Times New Roman"/>
          <w:iCs/>
          <w:sz w:val="24"/>
          <w:szCs w:val="24"/>
        </w:rPr>
        <w:t xml:space="preserve"> </w:t>
      </w:r>
      <w:r w:rsidR="006B2DC4" w:rsidRPr="00C10D10">
        <w:rPr>
          <w:rFonts w:ascii="Times New Roman" w:hAnsi="Times New Roman"/>
          <w:iCs/>
          <w:sz w:val="24"/>
          <w:szCs w:val="24"/>
        </w:rPr>
        <w:t xml:space="preserve">are </w:t>
      </w:r>
      <w:r w:rsidR="00A9096B">
        <w:rPr>
          <w:rFonts w:ascii="Times New Roman" w:hAnsi="Times New Roman"/>
          <w:iCs/>
          <w:sz w:val="24"/>
          <w:szCs w:val="24"/>
        </w:rPr>
        <w:t>regulated by</w:t>
      </w:r>
      <w:r w:rsidR="006B2DC4" w:rsidRPr="00C10D10">
        <w:rPr>
          <w:rFonts w:ascii="Times New Roman" w:hAnsi="Times New Roman"/>
          <w:iCs/>
          <w:sz w:val="24"/>
          <w:szCs w:val="24"/>
        </w:rPr>
        <w:t xml:space="preserve"> national authorities different </w:t>
      </w:r>
      <w:r w:rsidR="00831859">
        <w:rPr>
          <w:rFonts w:ascii="Times New Roman" w:hAnsi="Times New Roman"/>
          <w:iCs/>
          <w:sz w:val="24"/>
          <w:szCs w:val="24"/>
        </w:rPr>
        <w:t>from</w:t>
      </w:r>
      <w:r w:rsidR="006B2DC4" w:rsidRPr="00C10D10">
        <w:rPr>
          <w:rFonts w:ascii="Times New Roman" w:hAnsi="Times New Roman"/>
          <w:iCs/>
          <w:sz w:val="24"/>
          <w:szCs w:val="24"/>
        </w:rPr>
        <w:t xml:space="preserve"> the regulatory body and therefore, discharges </w:t>
      </w:r>
      <w:r w:rsidR="00F4379A">
        <w:rPr>
          <w:rFonts w:ascii="Times New Roman" w:hAnsi="Times New Roman"/>
          <w:iCs/>
          <w:sz w:val="24"/>
          <w:szCs w:val="24"/>
        </w:rPr>
        <w:t>may</w:t>
      </w:r>
      <w:r w:rsidR="006B2DC4" w:rsidRPr="00C10D10">
        <w:rPr>
          <w:rFonts w:ascii="Times New Roman" w:hAnsi="Times New Roman"/>
          <w:iCs/>
          <w:sz w:val="24"/>
          <w:szCs w:val="24"/>
        </w:rPr>
        <w:t xml:space="preserve"> not be subject to regulatory control with respect to radioactive substances. Where necessary, the regulatory body should cooperate with other national authorities with responsibilities for </w:t>
      </w:r>
      <w:r w:rsidR="00642BAE">
        <w:rPr>
          <w:rFonts w:ascii="Times New Roman" w:hAnsi="Times New Roman"/>
          <w:iCs/>
          <w:sz w:val="24"/>
          <w:szCs w:val="24"/>
        </w:rPr>
        <w:t xml:space="preserve">the </w:t>
      </w:r>
      <w:r w:rsidR="008B77B4">
        <w:rPr>
          <w:rFonts w:ascii="Times New Roman" w:hAnsi="Times New Roman"/>
          <w:iCs/>
          <w:sz w:val="24"/>
          <w:szCs w:val="24"/>
        </w:rPr>
        <w:t xml:space="preserve">regulation of those industries and </w:t>
      </w:r>
      <w:r w:rsidR="00642BAE">
        <w:rPr>
          <w:rFonts w:ascii="Times New Roman" w:hAnsi="Times New Roman"/>
          <w:iCs/>
          <w:sz w:val="24"/>
          <w:szCs w:val="24"/>
        </w:rPr>
        <w:t xml:space="preserve">should </w:t>
      </w:r>
      <w:r w:rsidR="008B77B4">
        <w:rPr>
          <w:rFonts w:ascii="Times New Roman" w:hAnsi="Times New Roman"/>
          <w:iCs/>
          <w:sz w:val="24"/>
          <w:szCs w:val="24"/>
        </w:rPr>
        <w:t>coordinate actions regarding the control of releases</w:t>
      </w:r>
      <w:r w:rsidR="00642BAE">
        <w:rPr>
          <w:rFonts w:ascii="Times New Roman" w:hAnsi="Times New Roman"/>
          <w:iCs/>
          <w:sz w:val="24"/>
          <w:szCs w:val="24"/>
        </w:rPr>
        <w:t>,</w:t>
      </w:r>
      <w:r w:rsidR="008B77B4">
        <w:rPr>
          <w:rFonts w:ascii="Times New Roman" w:hAnsi="Times New Roman"/>
          <w:iCs/>
          <w:sz w:val="24"/>
          <w:szCs w:val="24"/>
        </w:rPr>
        <w:t xml:space="preserve"> </w:t>
      </w:r>
      <w:r w:rsidR="006B2DC4" w:rsidRPr="00C10D10">
        <w:rPr>
          <w:rFonts w:ascii="Times New Roman" w:hAnsi="Times New Roman"/>
          <w:iCs/>
          <w:sz w:val="24"/>
          <w:szCs w:val="24"/>
        </w:rPr>
        <w:t>to ensure that radiation protection is taken into account in the management of any effluents</w:t>
      </w:r>
      <w:r w:rsidR="00107DBB">
        <w:rPr>
          <w:rStyle w:val="FootnoteReference"/>
          <w:rFonts w:ascii="Times New Roman" w:hAnsi="Times New Roman"/>
          <w:sz w:val="24"/>
          <w:szCs w:val="24"/>
        </w:rPr>
        <w:footnoteReference w:id="23"/>
      </w:r>
      <w:r w:rsidR="006B2DC4" w:rsidRPr="00C10D10">
        <w:rPr>
          <w:rFonts w:ascii="Times New Roman" w:hAnsi="Times New Roman"/>
          <w:iCs/>
          <w:sz w:val="24"/>
          <w:szCs w:val="24"/>
        </w:rPr>
        <w:t>.</w:t>
      </w:r>
    </w:p>
    <w:p w:rsidR="00D90FBF" w:rsidRPr="00C10D10" w:rsidRDefault="00A9096B" w:rsidP="0091132F">
      <w:pPr>
        <w:numPr>
          <w:ilvl w:val="0"/>
          <w:numId w:val="17"/>
        </w:numPr>
        <w:autoSpaceDE w:val="0"/>
        <w:autoSpaceDN w:val="0"/>
        <w:adjustRightInd w:val="0"/>
        <w:spacing w:before="120" w:line="360" w:lineRule="auto"/>
        <w:jc w:val="both"/>
        <w:rPr>
          <w:rFonts w:ascii="Times New Roman" w:hAnsi="Times New Roman"/>
          <w:iCs/>
          <w:sz w:val="24"/>
          <w:szCs w:val="24"/>
        </w:rPr>
      </w:pPr>
      <w:r>
        <w:rPr>
          <w:rFonts w:ascii="Times New Roman" w:hAnsi="Times New Roman"/>
          <w:iCs/>
          <w:sz w:val="24"/>
          <w:szCs w:val="24"/>
        </w:rPr>
        <w:t xml:space="preserve">Non-nuclear industries </w:t>
      </w:r>
      <w:r w:rsidR="001310D3">
        <w:rPr>
          <w:rFonts w:ascii="Times New Roman" w:hAnsi="Times New Roman"/>
          <w:iCs/>
          <w:sz w:val="24"/>
          <w:szCs w:val="24"/>
        </w:rPr>
        <w:t xml:space="preserve">that </w:t>
      </w:r>
      <w:r w:rsidR="00A066DC">
        <w:rPr>
          <w:rFonts w:ascii="Times New Roman" w:hAnsi="Times New Roman"/>
          <w:iCs/>
          <w:sz w:val="24"/>
          <w:szCs w:val="24"/>
        </w:rPr>
        <w:t xml:space="preserve">may </w:t>
      </w:r>
      <w:r>
        <w:rPr>
          <w:rFonts w:ascii="Times New Roman" w:hAnsi="Times New Roman"/>
          <w:iCs/>
          <w:sz w:val="24"/>
          <w:szCs w:val="24"/>
        </w:rPr>
        <w:t>g</w:t>
      </w:r>
      <w:r w:rsidR="00D80FDB" w:rsidRPr="00C10D10">
        <w:rPr>
          <w:rFonts w:ascii="Times New Roman" w:hAnsi="Times New Roman"/>
          <w:iCs/>
          <w:sz w:val="24"/>
          <w:szCs w:val="24"/>
        </w:rPr>
        <w:t>enerat</w:t>
      </w:r>
      <w:r>
        <w:rPr>
          <w:rFonts w:ascii="Times New Roman" w:hAnsi="Times New Roman"/>
          <w:iCs/>
          <w:sz w:val="24"/>
          <w:szCs w:val="24"/>
        </w:rPr>
        <w:t>e</w:t>
      </w:r>
      <w:r w:rsidR="00D80FDB" w:rsidRPr="00C10D10">
        <w:rPr>
          <w:rFonts w:ascii="Times New Roman" w:hAnsi="Times New Roman"/>
          <w:iCs/>
          <w:sz w:val="24"/>
          <w:szCs w:val="24"/>
        </w:rPr>
        <w:t xml:space="preserve"> </w:t>
      </w:r>
      <w:r>
        <w:rPr>
          <w:rFonts w:ascii="Times New Roman" w:hAnsi="Times New Roman"/>
          <w:iCs/>
          <w:sz w:val="24"/>
          <w:szCs w:val="24"/>
        </w:rPr>
        <w:t xml:space="preserve">controlled releases of </w:t>
      </w:r>
      <w:r w:rsidR="001310D3">
        <w:rPr>
          <w:rFonts w:ascii="Times New Roman" w:hAnsi="Times New Roman"/>
          <w:sz w:val="24"/>
          <w:szCs w:val="24"/>
        </w:rPr>
        <w:t>effluents</w:t>
      </w:r>
      <w:r w:rsidR="001310D3" w:rsidRPr="00C10D10">
        <w:rPr>
          <w:rFonts w:ascii="Times New Roman" w:hAnsi="Times New Roman"/>
          <w:sz w:val="24"/>
          <w:szCs w:val="24"/>
        </w:rPr>
        <w:t xml:space="preserve"> containing </w:t>
      </w:r>
      <w:r w:rsidR="001310D3">
        <w:rPr>
          <w:rFonts w:ascii="Times New Roman" w:hAnsi="Times New Roman"/>
          <w:sz w:val="24"/>
          <w:szCs w:val="24"/>
        </w:rPr>
        <w:t xml:space="preserve">radionuclides of </w:t>
      </w:r>
      <w:r w:rsidR="001310D3" w:rsidRPr="00C10D10">
        <w:rPr>
          <w:rFonts w:ascii="Times New Roman" w:hAnsi="Times New Roman"/>
          <w:sz w:val="24"/>
          <w:szCs w:val="24"/>
        </w:rPr>
        <w:t>natural</w:t>
      </w:r>
      <w:r w:rsidR="001310D3">
        <w:rPr>
          <w:rFonts w:ascii="Times New Roman" w:hAnsi="Times New Roman"/>
          <w:sz w:val="24"/>
          <w:szCs w:val="24"/>
        </w:rPr>
        <w:t xml:space="preserve"> origin</w:t>
      </w:r>
      <w:r w:rsidR="001310D3" w:rsidRPr="00C10D10" w:rsidDel="001310D3">
        <w:rPr>
          <w:rFonts w:ascii="Times New Roman" w:hAnsi="Times New Roman"/>
          <w:iCs/>
          <w:sz w:val="24"/>
          <w:szCs w:val="24"/>
        </w:rPr>
        <w:t xml:space="preserve"> </w:t>
      </w:r>
      <w:r w:rsidR="00D80FDB" w:rsidRPr="00C10D10">
        <w:rPr>
          <w:rFonts w:ascii="Times New Roman" w:hAnsi="Times New Roman"/>
          <w:iCs/>
          <w:sz w:val="24"/>
          <w:szCs w:val="24"/>
        </w:rPr>
        <w:t>include onshore and offshore facilities for oil and gas extraction, surface and underground mineral mines, mills and processing facilities</w:t>
      </w:r>
      <w:r w:rsidR="00FC4099">
        <w:rPr>
          <w:rFonts w:ascii="Times New Roman" w:hAnsi="Times New Roman"/>
          <w:iCs/>
          <w:sz w:val="24"/>
          <w:szCs w:val="24"/>
        </w:rPr>
        <w:t xml:space="preserve"> </w:t>
      </w:r>
      <w:r w:rsidR="001310D3">
        <w:rPr>
          <w:rFonts w:ascii="Times New Roman" w:hAnsi="Times New Roman"/>
          <w:iCs/>
          <w:sz w:val="24"/>
          <w:szCs w:val="24"/>
        </w:rPr>
        <w:t>outside</w:t>
      </w:r>
      <w:r w:rsidR="00FC4099">
        <w:rPr>
          <w:rFonts w:ascii="Times New Roman" w:hAnsi="Times New Roman"/>
          <w:iCs/>
          <w:sz w:val="24"/>
          <w:szCs w:val="24"/>
        </w:rPr>
        <w:t xml:space="preserve"> </w:t>
      </w:r>
      <w:r w:rsidR="001310D3">
        <w:rPr>
          <w:rFonts w:ascii="Times New Roman" w:hAnsi="Times New Roman"/>
          <w:iCs/>
          <w:sz w:val="24"/>
          <w:szCs w:val="24"/>
        </w:rPr>
        <w:t xml:space="preserve">the </w:t>
      </w:r>
      <w:r w:rsidR="00FC4099">
        <w:rPr>
          <w:rFonts w:ascii="Times New Roman" w:hAnsi="Times New Roman"/>
          <w:iCs/>
          <w:sz w:val="24"/>
          <w:szCs w:val="24"/>
        </w:rPr>
        <w:t>nuclear</w:t>
      </w:r>
      <w:r w:rsidR="00465379">
        <w:rPr>
          <w:rFonts w:ascii="Times New Roman" w:hAnsi="Times New Roman"/>
          <w:iCs/>
          <w:sz w:val="24"/>
          <w:szCs w:val="24"/>
        </w:rPr>
        <w:t xml:space="preserve"> fuel cycle</w:t>
      </w:r>
      <w:r w:rsidR="00D80FDB" w:rsidRPr="00C10D10">
        <w:rPr>
          <w:rFonts w:ascii="Times New Roman" w:hAnsi="Times New Roman"/>
          <w:iCs/>
          <w:sz w:val="24"/>
          <w:szCs w:val="24"/>
        </w:rPr>
        <w:t xml:space="preserve">, and the production of rare earth metals, fertilizers, </w:t>
      </w:r>
      <w:proofErr w:type="spellStart"/>
      <w:r w:rsidR="000F40A9">
        <w:rPr>
          <w:rFonts w:ascii="Times New Roman" w:hAnsi="Times New Roman"/>
          <w:iCs/>
          <w:sz w:val="24"/>
          <w:szCs w:val="24"/>
        </w:rPr>
        <w:t>phosphogypsum</w:t>
      </w:r>
      <w:proofErr w:type="spellEnd"/>
      <w:r w:rsidR="000F40A9">
        <w:rPr>
          <w:rFonts w:ascii="Times New Roman" w:hAnsi="Times New Roman"/>
          <w:iCs/>
          <w:sz w:val="24"/>
          <w:szCs w:val="24"/>
        </w:rPr>
        <w:t xml:space="preserve">, </w:t>
      </w:r>
      <w:r w:rsidR="00B95959" w:rsidRPr="00C10D10">
        <w:rPr>
          <w:rFonts w:ascii="Times New Roman" w:hAnsi="Times New Roman"/>
          <w:iCs/>
          <w:sz w:val="24"/>
          <w:szCs w:val="24"/>
        </w:rPr>
        <w:t>t</w:t>
      </w:r>
      <w:r w:rsidR="00D80FDB" w:rsidRPr="00C10D10">
        <w:rPr>
          <w:rFonts w:ascii="Times New Roman" w:hAnsi="Times New Roman"/>
          <w:iCs/>
          <w:sz w:val="24"/>
          <w:szCs w:val="24"/>
        </w:rPr>
        <w:t>horium, titanium and ceramics using zircon sands.</w:t>
      </w:r>
      <w:r w:rsidR="00776AA8" w:rsidRPr="00C10D10">
        <w:rPr>
          <w:rFonts w:ascii="Times New Roman" w:hAnsi="Times New Roman"/>
          <w:iCs/>
          <w:sz w:val="24"/>
          <w:szCs w:val="24"/>
        </w:rPr>
        <w:t xml:space="preserve"> </w:t>
      </w:r>
      <w:r w:rsidR="00A1204A">
        <w:rPr>
          <w:rFonts w:ascii="Times New Roman" w:hAnsi="Times New Roman"/>
          <w:iCs/>
          <w:sz w:val="24"/>
          <w:szCs w:val="24"/>
        </w:rPr>
        <w:t xml:space="preserve">Effluents </w:t>
      </w:r>
      <w:r w:rsidR="00D90FBF" w:rsidRPr="00C10D10">
        <w:rPr>
          <w:rFonts w:ascii="Times New Roman" w:hAnsi="Times New Roman"/>
          <w:iCs/>
          <w:sz w:val="24"/>
          <w:szCs w:val="24"/>
        </w:rPr>
        <w:t xml:space="preserve">from the extraction processes used for heavy metals usually also </w:t>
      </w:r>
      <w:r>
        <w:rPr>
          <w:rFonts w:ascii="Times New Roman" w:hAnsi="Times New Roman"/>
          <w:iCs/>
          <w:sz w:val="24"/>
          <w:szCs w:val="24"/>
        </w:rPr>
        <w:t>contain</w:t>
      </w:r>
      <w:r w:rsidR="00D90FBF" w:rsidRPr="00C10D10">
        <w:rPr>
          <w:rFonts w:ascii="Times New Roman" w:hAnsi="Times New Roman"/>
          <w:iCs/>
          <w:sz w:val="24"/>
          <w:szCs w:val="24"/>
        </w:rPr>
        <w:t xml:space="preserve"> natural</w:t>
      </w:r>
      <w:r>
        <w:rPr>
          <w:rFonts w:ascii="Times New Roman" w:hAnsi="Times New Roman"/>
          <w:iCs/>
          <w:sz w:val="24"/>
          <w:szCs w:val="24"/>
        </w:rPr>
        <w:t>ly occurring</w:t>
      </w:r>
      <w:r w:rsidR="00D90FBF" w:rsidRPr="00C10D10">
        <w:rPr>
          <w:rFonts w:ascii="Times New Roman" w:hAnsi="Times New Roman"/>
          <w:iCs/>
          <w:sz w:val="24"/>
          <w:szCs w:val="24"/>
        </w:rPr>
        <w:t xml:space="preserve"> radionuclides. </w:t>
      </w:r>
      <w:r w:rsidR="000F40A9" w:rsidRPr="00C10D10">
        <w:rPr>
          <w:rFonts w:ascii="Times New Roman" w:hAnsi="Times New Roman"/>
          <w:iCs/>
          <w:sz w:val="24"/>
          <w:szCs w:val="24"/>
        </w:rPr>
        <w:t>Most</w:t>
      </w:r>
      <w:r w:rsidR="00D90FBF" w:rsidRPr="00C10D10">
        <w:rPr>
          <w:rFonts w:ascii="Times New Roman" w:hAnsi="Times New Roman"/>
          <w:iCs/>
          <w:sz w:val="24"/>
          <w:szCs w:val="24"/>
        </w:rPr>
        <w:t xml:space="preserve"> of the radio</w:t>
      </w:r>
      <w:r w:rsidR="00C76BB9" w:rsidRPr="00C10D10">
        <w:rPr>
          <w:rFonts w:ascii="Times New Roman" w:hAnsi="Times New Roman"/>
          <w:iCs/>
          <w:sz w:val="24"/>
          <w:szCs w:val="24"/>
        </w:rPr>
        <w:t>nuclides</w:t>
      </w:r>
      <w:r w:rsidR="00D90FBF" w:rsidRPr="00C10D10">
        <w:rPr>
          <w:rFonts w:ascii="Times New Roman" w:hAnsi="Times New Roman"/>
          <w:iCs/>
          <w:sz w:val="24"/>
          <w:szCs w:val="24"/>
        </w:rPr>
        <w:t xml:space="preserve"> </w:t>
      </w:r>
      <w:r w:rsidR="001310D3">
        <w:rPr>
          <w:rFonts w:ascii="Times New Roman" w:hAnsi="Times New Roman"/>
          <w:iCs/>
          <w:sz w:val="24"/>
          <w:szCs w:val="24"/>
        </w:rPr>
        <w:t xml:space="preserve">of natural origin </w:t>
      </w:r>
      <w:r w:rsidR="000F40A9">
        <w:rPr>
          <w:rFonts w:ascii="Times New Roman" w:hAnsi="Times New Roman"/>
          <w:iCs/>
          <w:sz w:val="24"/>
          <w:szCs w:val="24"/>
        </w:rPr>
        <w:t xml:space="preserve">associated </w:t>
      </w:r>
      <w:r w:rsidR="001310D3">
        <w:rPr>
          <w:rFonts w:ascii="Times New Roman" w:hAnsi="Times New Roman"/>
          <w:iCs/>
          <w:sz w:val="24"/>
          <w:szCs w:val="24"/>
        </w:rPr>
        <w:t>with</w:t>
      </w:r>
      <w:r w:rsidR="000F40A9">
        <w:rPr>
          <w:rFonts w:ascii="Times New Roman" w:hAnsi="Times New Roman"/>
          <w:iCs/>
          <w:sz w:val="24"/>
          <w:szCs w:val="24"/>
        </w:rPr>
        <w:t xml:space="preserve"> these industries</w:t>
      </w:r>
      <w:r w:rsidR="00465379">
        <w:rPr>
          <w:rFonts w:ascii="Times New Roman" w:hAnsi="Times New Roman"/>
          <w:iCs/>
          <w:sz w:val="24"/>
          <w:szCs w:val="24"/>
        </w:rPr>
        <w:t xml:space="preserve"> </w:t>
      </w:r>
      <w:r w:rsidR="008B77B4">
        <w:rPr>
          <w:rFonts w:ascii="Times New Roman" w:hAnsi="Times New Roman"/>
          <w:iCs/>
          <w:sz w:val="24"/>
          <w:szCs w:val="24"/>
        </w:rPr>
        <w:t xml:space="preserve">are </w:t>
      </w:r>
      <w:r w:rsidR="008B77B4" w:rsidRPr="00C10D10">
        <w:rPr>
          <w:rFonts w:ascii="Times New Roman" w:hAnsi="Times New Roman"/>
          <w:iCs/>
          <w:sz w:val="24"/>
          <w:szCs w:val="24"/>
        </w:rPr>
        <w:t>found</w:t>
      </w:r>
      <w:r w:rsidR="00D90FBF" w:rsidRPr="00C10D10">
        <w:rPr>
          <w:rFonts w:ascii="Times New Roman" w:hAnsi="Times New Roman"/>
          <w:iCs/>
          <w:sz w:val="24"/>
          <w:szCs w:val="24"/>
        </w:rPr>
        <w:t xml:space="preserve"> in products, by</w:t>
      </w:r>
      <w:r w:rsidR="00465379">
        <w:rPr>
          <w:rFonts w:ascii="Times New Roman" w:hAnsi="Times New Roman"/>
          <w:iCs/>
          <w:sz w:val="24"/>
          <w:szCs w:val="24"/>
        </w:rPr>
        <w:noBreakHyphen/>
      </w:r>
      <w:r w:rsidR="00D90FBF" w:rsidRPr="00C10D10">
        <w:rPr>
          <w:rFonts w:ascii="Times New Roman" w:hAnsi="Times New Roman"/>
          <w:iCs/>
          <w:sz w:val="24"/>
          <w:szCs w:val="24"/>
        </w:rPr>
        <w:t xml:space="preserve">products and solid waste. For example, in the phosphate industry, fertilizers </w:t>
      </w:r>
      <w:r w:rsidR="002A360E">
        <w:rPr>
          <w:rFonts w:ascii="Times New Roman" w:hAnsi="Times New Roman"/>
          <w:iCs/>
          <w:sz w:val="24"/>
          <w:szCs w:val="24"/>
        </w:rPr>
        <w:t xml:space="preserve">contain enhanced levels of </w:t>
      </w:r>
      <w:r w:rsidR="00D90FBF" w:rsidRPr="00C10D10">
        <w:rPr>
          <w:rFonts w:ascii="Times New Roman" w:hAnsi="Times New Roman"/>
          <w:iCs/>
          <w:sz w:val="24"/>
          <w:szCs w:val="24"/>
        </w:rPr>
        <w:t>uranium</w:t>
      </w:r>
      <w:r w:rsidR="00A1204A">
        <w:rPr>
          <w:rFonts w:ascii="Times New Roman" w:hAnsi="Times New Roman"/>
          <w:iCs/>
          <w:sz w:val="24"/>
          <w:szCs w:val="24"/>
        </w:rPr>
        <w:t>,</w:t>
      </w:r>
      <w:r w:rsidR="00D90FBF" w:rsidRPr="00C10D10">
        <w:rPr>
          <w:rFonts w:ascii="Times New Roman" w:hAnsi="Times New Roman"/>
          <w:iCs/>
          <w:sz w:val="24"/>
          <w:szCs w:val="24"/>
        </w:rPr>
        <w:t xml:space="preserve"> while </w:t>
      </w:r>
      <w:proofErr w:type="spellStart"/>
      <w:r w:rsidR="00D90FBF" w:rsidRPr="00C10D10">
        <w:rPr>
          <w:rFonts w:ascii="Times New Roman" w:hAnsi="Times New Roman"/>
          <w:iCs/>
          <w:sz w:val="24"/>
          <w:szCs w:val="24"/>
        </w:rPr>
        <w:t>phosphogypsum</w:t>
      </w:r>
      <w:proofErr w:type="spellEnd"/>
      <w:r w:rsidR="00D90FBF" w:rsidRPr="00C10D10">
        <w:rPr>
          <w:rFonts w:ascii="Times New Roman" w:hAnsi="Times New Roman"/>
          <w:iCs/>
          <w:sz w:val="24"/>
          <w:szCs w:val="24"/>
        </w:rPr>
        <w:t xml:space="preserve"> waste usually contains enhanced levels of radium. During the production of rare</w:t>
      </w:r>
      <w:r w:rsidR="00C76BB9" w:rsidRPr="00C10D10">
        <w:rPr>
          <w:rFonts w:ascii="Times New Roman" w:hAnsi="Times New Roman"/>
          <w:iCs/>
          <w:sz w:val="24"/>
          <w:szCs w:val="24"/>
        </w:rPr>
        <w:t xml:space="preserve"> </w:t>
      </w:r>
      <w:r w:rsidR="00D90FBF" w:rsidRPr="00C10D10">
        <w:rPr>
          <w:rFonts w:ascii="Times New Roman" w:hAnsi="Times New Roman"/>
          <w:iCs/>
          <w:sz w:val="24"/>
          <w:szCs w:val="24"/>
        </w:rPr>
        <w:t xml:space="preserve">earth elements, radionuclides from the uranium and thorium series </w:t>
      </w:r>
      <w:r w:rsidR="005F6B1D" w:rsidRPr="00C10D10">
        <w:rPr>
          <w:rFonts w:ascii="Times New Roman" w:hAnsi="Times New Roman"/>
          <w:iCs/>
          <w:sz w:val="24"/>
          <w:szCs w:val="24"/>
        </w:rPr>
        <w:t xml:space="preserve">are </w:t>
      </w:r>
      <w:r w:rsidR="005F6B1D">
        <w:rPr>
          <w:rFonts w:ascii="Times New Roman" w:hAnsi="Times New Roman"/>
          <w:iCs/>
          <w:sz w:val="24"/>
          <w:szCs w:val="24"/>
        </w:rPr>
        <w:t>enhanced</w:t>
      </w:r>
      <w:r w:rsidR="001F277E">
        <w:rPr>
          <w:rFonts w:ascii="Times New Roman" w:hAnsi="Times New Roman"/>
          <w:iCs/>
          <w:sz w:val="24"/>
          <w:szCs w:val="24"/>
        </w:rPr>
        <w:t xml:space="preserve"> </w:t>
      </w:r>
      <w:r w:rsidR="00D90FBF" w:rsidRPr="00C10D10">
        <w:rPr>
          <w:rFonts w:ascii="Times New Roman" w:hAnsi="Times New Roman"/>
          <w:iCs/>
          <w:sz w:val="24"/>
          <w:szCs w:val="24"/>
        </w:rPr>
        <w:t xml:space="preserve">in </w:t>
      </w:r>
      <w:r w:rsidR="001F277E">
        <w:rPr>
          <w:rFonts w:ascii="Times New Roman" w:hAnsi="Times New Roman"/>
          <w:iCs/>
          <w:sz w:val="24"/>
          <w:szCs w:val="24"/>
        </w:rPr>
        <w:t xml:space="preserve">the </w:t>
      </w:r>
      <w:r w:rsidR="00D90FBF" w:rsidRPr="00C10D10">
        <w:rPr>
          <w:rFonts w:ascii="Times New Roman" w:hAnsi="Times New Roman"/>
          <w:iCs/>
          <w:sz w:val="24"/>
          <w:szCs w:val="24"/>
        </w:rPr>
        <w:t>residues.</w:t>
      </w:r>
    </w:p>
    <w:p w:rsidR="00CD250A" w:rsidRPr="00C10D10" w:rsidRDefault="00C240C7" w:rsidP="0091132F">
      <w:pPr>
        <w:pStyle w:val="ListParagraph"/>
        <w:numPr>
          <w:ilvl w:val="0"/>
          <w:numId w:val="17"/>
        </w:numPr>
        <w:autoSpaceDE w:val="0"/>
        <w:autoSpaceDN w:val="0"/>
        <w:adjustRightInd w:val="0"/>
        <w:spacing w:before="120"/>
        <w:contextualSpacing w:val="0"/>
        <w:jc w:val="both"/>
        <w:rPr>
          <w:szCs w:val="24"/>
        </w:rPr>
      </w:pPr>
      <w:r>
        <w:rPr>
          <w:iCs/>
          <w:szCs w:val="24"/>
        </w:rPr>
        <w:t>W</w:t>
      </w:r>
      <w:r w:rsidRPr="00C10D10">
        <w:rPr>
          <w:iCs/>
          <w:szCs w:val="24"/>
        </w:rPr>
        <w:t xml:space="preserve">ithin </w:t>
      </w:r>
      <w:r w:rsidR="009F0AFA">
        <w:rPr>
          <w:iCs/>
          <w:szCs w:val="24"/>
        </w:rPr>
        <w:t xml:space="preserve">non-nuclear </w:t>
      </w:r>
      <w:r w:rsidR="00A066DC">
        <w:rPr>
          <w:iCs/>
          <w:szCs w:val="24"/>
        </w:rPr>
        <w:t xml:space="preserve">industries </w:t>
      </w:r>
      <w:r w:rsidR="00A066DC" w:rsidRPr="008E0497">
        <w:rPr>
          <w:iCs/>
          <w:szCs w:val="24"/>
        </w:rPr>
        <w:t>involving</w:t>
      </w:r>
      <w:r w:rsidR="00A066DC">
        <w:rPr>
          <w:iCs/>
          <w:szCs w:val="24"/>
        </w:rPr>
        <w:t xml:space="preserve"> </w:t>
      </w:r>
      <w:r w:rsidR="00A1204A">
        <w:rPr>
          <w:iCs/>
          <w:szCs w:val="24"/>
        </w:rPr>
        <w:t>naturally occurring radioactive material</w:t>
      </w:r>
      <w:r w:rsidR="00B95959" w:rsidRPr="00C10D10">
        <w:rPr>
          <w:iCs/>
          <w:szCs w:val="24"/>
        </w:rPr>
        <w:t xml:space="preserve">, </w:t>
      </w:r>
      <w:r w:rsidR="00E547F9">
        <w:rPr>
          <w:iCs/>
          <w:szCs w:val="24"/>
        </w:rPr>
        <w:t>atmospheric</w:t>
      </w:r>
      <w:r w:rsidRPr="00C10D10">
        <w:rPr>
          <w:iCs/>
          <w:szCs w:val="24"/>
        </w:rPr>
        <w:t xml:space="preserve"> or liquid releases should be controlled </w:t>
      </w:r>
      <w:r w:rsidR="00252C76">
        <w:rPr>
          <w:iCs/>
          <w:szCs w:val="24"/>
        </w:rPr>
        <w:t xml:space="preserve">in </w:t>
      </w:r>
      <w:r w:rsidRPr="00C10D10">
        <w:rPr>
          <w:iCs/>
          <w:szCs w:val="24"/>
        </w:rPr>
        <w:t>accord</w:t>
      </w:r>
      <w:r w:rsidR="00252C76">
        <w:rPr>
          <w:iCs/>
          <w:szCs w:val="24"/>
        </w:rPr>
        <w:t>ance with</w:t>
      </w:r>
      <w:r w:rsidRPr="00C10D10">
        <w:rPr>
          <w:iCs/>
          <w:szCs w:val="24"/>
        </w:rPr>
        <w:t xml:space="preserve"> the requirements for discharges from planned exposure situations </w:t>
      </w:r>
      <w:r>
        <w:rPr>
          <w:iCs/>
          <w:szCs w:val="24"/>
        </w:rPr>
        <w:t>if</w:t>
      </w:r>
      <w:r w:rsidRPr="00C10D10">
        <w:rPr>
          <w:iCs/>
          <w:szCs w:val="24"/>
        </w:rPr>
        <w:t xml:space="preserve"> </w:t>
      </w:r>
      <w:r w:rsidR="00514223" w:rsidRPr="00C10D10">
        <w:rPr>
          <w:iCs/>
          <w:szCs w:val="24"/>
        </w:rPr>
        <w:t xml:space="preserve">the activity concentration in the material of any radionuclide in the uranium </w:t>
      </w:r>
      <w:r w:rsidR="00252C76">
        <w:rPr>
          <w:iCs/>
          <w:szCs w:val="24"/>
        </w:rPr>
        <w:t xml:space="preserve">decay chain </w:t>
      </w:r>
      <w:r w:rsidR="00514223" w:rsidRPr="00C10D10">
        <w:rPr>
          <w:iCs/>
          <w:szCs w:val="24"/>
        </w:rPr>
        <w:t xml:space="preserve">or </w:t>
      </w:r>
      <w:r w:rsidR="00252C76">
        <w:rPr>
          <w:iCs/>
          <w:szCs w:val="24"/>
        </w:rPr>
        <w:t xml:space="preserve">the </w:t>
      </w:r>
      <w:r w:rsidR="00514223" w:rsidRPr="00C10D10">
        <w:rPr>
          <w:iCs/>
          <w:szCs w:val="24"/>
        </w:rPr>
        <w:t>thorium decay chains is greater than 1</w:t>
      </w:r>
      <w:r w:rsidR="008B77B4">
        <w:rPr>
          <w:iCs/>
          <w:szCs w:val="24"/>
        </w:rPr>
        <w:t> </w:t>
      </w:r>
      <w:proofErr w:type="spellStart"/>
      <w:r w:rsidR="00514223" w:rsidRPr="00C10D10">
        <w:rPr>
          <w:iCs/>
          <w:szCs w:val="24"/>
        </w:rPr>
        <w:t>Bq</w:t>
      </w:r>
      <w:proofErr w:type="spellEnd"/>
      <w:r w:rsidR="00514223" w:rsidRPr="00C10D10">
        <w:rPr>
          <w:iCs/>
          <w:szCs w:val="24"/>
        </w:rPr>
        <w:t xml:space="preserve">/g or the activity concentration of </w:t>
      </w:r>
      <w:r w:rsidR="00514223" w:rsidRPr="00C10D10">
        <w:rPr>
          <w:iCs/>
          <w:szCs w:val="24"/>
          <w:vertAlign w:val="superscript"/>
        </w:rPr>
        <w:t>40</w:t>
      </w:r>
      <w:r w:rsidR="00514223" w:rsidRPr="00C10D10">
        <w:rPr>
          <w:iCs/>
          <w:szCs w:val="24"/>
        </w:rPr>
        <w:t xml:space="preserve">K is greater than 10 </w:t>
      </w:r>
      <w:proofErr w:type="spellStart"/>
      <w:r w:rsidR="00514223" w:rsidRPr="00C10D10">
        <w:rPr>
          <w:iCs/>
          <w:szCs w:val="24"/>
        </w:rPr>
        <w:t>Bq</w:t>
      </w:r>
      <w:proofErr w:type="spellEnd"/>
      <w:r w:rsidR="00514223" w:rsidRPr="00C10D10">
        <w:rPr>
          <w:iCs/>
          <w:szCs w:val="24"/>
        </w:rPr>
        <w:t>/g</w:t>
      </w:r>
      <w:r w:rsidR="00A066DC">
        <w:rPr>
          <w:iCs/>
          <w:szCs w:val="24"/>
        </w:rPr>
        <w:t xml:space="preserve"> </w:t>
      </w:r>
      <w:r w:rsidR="00417BFF">
        <w:rPr>
          <w:iCs/>
          <w:szCs w:val="24"/>
        </w:rPr>
        <w:t>[3]</w:t>
      </w:r>
      <w:r>
        <w:rPr>
          <w:iCs/>
          <w:szCs w:val="24"/>
        </w:rPr>
        <w:t>.</w:t>
      </w:r>
      <w:r w:rsidR="00514223" w:rsidRPr="00C10D10">
        <w:rPr>
          <w:iCs/>
          <w:szCs w:val="24"/>
        </w:rPr>
        <w:t xml:space="preserve"> </w:t>
      </w:r>
      <w:r w:rsidR="003D7B42" w:rsidRPr="00BA2AC8">
        <w:rPr>
          <w:szCs w:val="24"/>
        </w:rPr>
        <w:t xml:space="preserve">In cases where the </w:t>
      </w:r>
      <w:r>
        <w:rPr>
          <w:szCs w:val="24"/>
        </w:rPr>
        <w:lastRenderedPageBreak/>
        <w:t xml:space="preserve">activity </w:t>
      </w:r>
      <w:r w:rsidR="003D7B42" w:rsidRPr="00BA2AC8">
        <w:rPr>
          <w:szCs w:val="24"/>
        </w:rPr>
        <w:t xml:space="preserve">concentrations are below 1 </w:t>
      </w:r>
      <w:proofErr w:type="spellStart"/>
      <w:r w:rsidR="003D7B42" w:rsidRPr="00BA2AC8">
        <w:rPr>
          <w:szCs w:val="24"/>
        </w:rPr>
        <w:t>Bq</w:t>
      </w:r>
      <w:proofErr w:type="spellEnd"/>
      <w:r w:rsidR="003D7B42" w:rsidRPr="00BA2AC8">
        <w:rPr>
          <w:szCs w:val="24"/>
        </w:rPr>
        <w:t xml:space="preserve">/g or 10 </w:t>
      </w:r>
      <w:proofErr w:type="spellStart"/>
      <w:r w:rsidR="003D7B42" w:rsidRPr="00BA2AC8">
        <w:rPr>
          <w:szCs w:val="24"/>
        </w:rPr>
        <w:t>Bq</w:t>
      </w:r>
      <w:proofErr w:type="spellEnd"/>
      <w:r w:rsidR="003D7B42" w:rsidRPr="00BA2AC8">
        <w:rPr>
          <w:szCs w:val="24"/>
        </w:rPr>
        <w:t>/g</w:t>
      </w:r>
      <w:r w:rsidR="00C416E7">
        <w:rPr>
          <w:szCs w:val="24"/>
        </w:rPr>
        <w:t>, as relevant</w:t>
      </w:r>
      <w:r w:rsidR="003D7B42" w:rsidRPr="00BA2AC8">
        <w:rPr>
          <w:szCs w:val="24"/>
        </w:rPr>
        <w:t xml:space="preserve">, the regulatory body may </w:t>
      </w:r>
      <w:r w:rsidR="009F0AFA">
        <w:rPr>
          <w:szCs w:val="24"/>
        </w:rPr>
        <w:t xml:space="preserve">still </w:t>
      </w:r>
      <w:r w:rsidR="003D7B42" w:rsidRPr="00BA2AC8">
        <w:rPr>
          <w:szCs w:val="24"/>
        </w:rPr>
        <w:t>require an assessment of the doses delivered based on actual exposure scenarios.</w:t>
      </w:r>
    </w:p>
    <w:p w:rsidR="00510F87" w:rsidRPr="0041256F" w:rsidRDefault="00C240C7" w:rsidP="0091132F">
      <w:pPr>
        <w:pStyle w:val="ListParagraph"/>
        <w:numPr>
          <w:ilvl w:val="0"/>
          <w:numId w:val="17"/>
        </w:numPr>
        <w:autoSpaceDE w:val="0"/>
        <w:autoSpaceDN w:val="0"/>
        <w:adjustRightInd w:val="0"/>
        <w:spacing w:before="120"/>
        <w:jc w:val="both"/>
        <w:rPr>
          <w:szCs w:val="24"/>
        </w:rPr>
      </w:pPr>
      <w:r>
        <w:rPr>
          <w:iCs/>
          <w:szCs w:val="24"/>
        </w:rPr>
        <w:t>P</w:t>
      </w:r>
      <w:r w:rsidRPr="0041256F">
        <w:rPr>
          <w:iCs/>
          <w:szCs w:val="24"/>
        </w:rPr>
        <w:t>ara</w:t>
      </w:r>
      <w:r w:rsidR="00252C76">
        <w:rPr>
          <w:iCs/>
          <w:szCs w:val="24"/>
        </w:rPr>
        <w:t>graph</w:t>
      </w:r>
      <w:r w:rsidRPr="0041256F">
        <w:rPr>
          <w:iCs/>
          <w:szCs w:val="24"/>
        </w:rPr>
        <w:t xml:space="preserve"> I</w:t>
      </w:r>
      <w:r w:rsidR="00252C76">
        <w:rPr>
          <w:iCs/>
          <w:szCs w:val="24"/>
        </w:rPr>
        <w:t>.</w:t>
      </w:r>
      <w:r w:rsidRPr="0041256F">
        <w:rPr>
          <w:iCs/>
          <w:szCs w:val="24"/>
        </w:rPr>
        <w:t>4</w:t>
      </w:r>
      <w:r>
        <w:rPr>
          <w:iCs/>
          <w:szCs w:val="24"/>
        </w:rPr>
        <w:t xml:space="preserve"> </w:t>
      </w:r>
      <w:r w:rsidRPr="0041256F">
        <w:rPr>
          <w:iCs/>
          <w:szCs w:val="24"/>
        </w:rPr>
        <w:t>in Schedule I</w:t>
      </w:r>
      <w:r>
        <w:rPr>
          <w:iCs/>
          <w:szCs w:val="24"/>
        </w:rPr>
        <w:t xml:space="preserve"> of </w:t>
      </w:r>
      <w:r w:rsidR="00426D0C" w:rsidRPr="0041256F">
        <w:rPr>
          <w:iCs/>
          <w:szCs w:val="24"/>
        </w:rPr>
        <w:t xml:space="preserve">GSR Part 3 </w:t>
      </w:r>
      <w:r w:rsidR="00417BFF">
        <w:rPr>
          <w:iCs/>
          <w:szCs w:val="24"/>
        </w:rPr>
        <w:t>[3]</w:t>
      </w:r>
      <w:r>
        <w:rPr>
          <w:iCs/>
          <w:szCs w:val="24"/>
        </w:rPr>
        <w:t xml:space="preserve"> </w:t>
      </w:r>
      <w:r w:rsidR="00426D0C" w:rsidRPr="0041256F">
        <w:rPr>
          <w:iCs/>
          <w:szCs w:val="24"/>
        </w:rPr>
        <w:t>states</w:t>
      </w:r>
      <w:r w:rsidR="00426D0C" w:rsidRPr="00342F01">
        <w:rPr>
          <w:iCs/>
          <w:szCs w:val="24"/>
        </w:rPr>
        <w:t xml:space="preserve"> </w:t>
      </w:r>
      <w:r w:rsidR="0041256F" w:rsidRPr="00342F01">
        <w:rPr>
          <w:iCs/>
          <w:szCs w:val="24"/>
        </w:rPr>
        <w:t>“</w:t>
      </w:r>
      <w:r w:rsidR="00252C76">
        <w:rPr>
          <w:iCs/>
          <w:szCs w:val="24"/>
        </w:rPr>
        <w:t>F</w:t>
      </w:r>
      <w:r w:rsidR="0041256F" w:rsidRPr="00342F01">
        <w:rPr>
          <w:iCs/>
          <w:szCs w:val="24"/>
        </w:rPr>
        <w:t>or radionuclides of natural origin, exemption of bulk amounts of material is necessarily considered on a case by case basis by using a dose criterion of</w:t>
      </w:r>
      <w:r w:rsidR="0041256F" w:rsidRPr="004F604C">
        <w:rPr>
          <w:iCs/>
          <w:szCs w:val="24"/>
        </w:rPr>
        <w:t xml:space="preserve"> the order of 1 </w:t>
      </w:r>
      <w:proofErr w:type="spellStart"/>
      <w:r w:rsidR="0041256F" w:rsidRPr="004F604C">
        <w:rPr>
          <w:iCs/>
          <w:szCs w:val="24"/>
        </w:rPr>
        <w:t>mSv</w:t>
      </w:r>
      <w:proofErr w:type="spellEnd"/>
      <w:r w:rsidR="0041256F" w:rsidRPr="004F604C">
        <w:rPr>
          <w:iCs/>
          <w:szCs w:val="24"/>
        </w:rPr>
        <w:t xml:space="preserve"> in a year, commensurate with typical doses due to natural</w:t>
      </w:r>
      <w:r w:rsidR="0041256F" w:rsidRPr="00862EA6">
        <w:rPr>
          <w:iCs/>
          <w:szCs w:val="24"/>
        </w:rPr>
        <w:t xml:space="preserve"> background levels of radiation</w:t>
      </w:r>
      <w:r w:rsidR="0041256F">
        <w:rPr>
          <w:iCs/>
          <w:szCs w:val="24"/>
        </w:rPr>
        <w:t xml:space="preserve">” </w:t>
      </w:r>
      <w:r w:rsidR="00417BFF">
        <w:rPr>
          <w:iCs/>
          <w:szCs w:val="24"/>
        </w:rPr>
        <w:t>[3]</w:t>
      </w:r>
      <w:r w:rsidR="0041256F" w:rsidRPr="0041256F">
        <w:rPr>
          <w:iCs/>
          <w:szCs w:val="24"/>
        </w:rPr>
        <w:t>.</w:t>
      </w:r>
      <w:r w:rsidR="00426D0C" w:rsidRPr="00367C09">
        <w:rPr>
          <w:iCs/>
          <w:szCs w:val="24"/>
        </w:rPr>
        <w:t xml:space="preserve"> </w:t>
      </w:r>
      <w:r w:rsidR="00B13FB8">
        <w:rPr>
          <w:iCs/>
          <w:szCs w:val="24"/>
        </w:rPr>
        <w:t xml:space="preserve">It should be taken into account that </w:t>
      </w:r>
      <w:r w:rsidR="00426D0C" w:rsidRPr="00367C09">
        <w:rPr>
          <w:iCs/>
          <w:szCs w:val="24"/>
        </w:rPr>
        <w:t>the criteri</w:t>
      </w:r>
      <w:r>
        <w:rPr>
          <w:iCs/>
          <w:szCs w:val="24"/>
        </w:rPr>
        <w:t>on</w:t>
      </w:r>
      <w:r w:rsidR="00426D0C" w:rsidRPr="00367C09">
        <w:rPr>
          <w:iCs/>
          <w:szCs w:val="24"/>
        </w:rPr>
        <w:t xml:space="preserve"> </w:t>
      </w:r>
      <w:r w:rsidR="007C16EC">
        <w:rPr>
          <w:iCs/>
          <w:szCs w:val="24"/>
        </w:rPr>
        <w:t xml:space="preserve">used for exemption </w:t>
      </w:r>
      <w:r>
        <w:rPr>
          <w:iCs/>
          <w:szCs w:val="24"/>
        </w:rPr>
        <w:t xml:space="preserve">of bulk amounts of material </w:t>
      </w:r>
      <w:r w:rsidR="003B2808">
        <w:rPr>
          <w:iCs/>
          <w:szCs w:val="24"/>
        </w:rPr>
        <w:t xml:space="preserve">containing </w:t>
      </w:r>
      <w:r>
        <w:rPr>
          <w:iCs/>
          <w:szCs w:val="24"/>
        </w:rPr>
        <w:t xml:space="preserve">radionuclides of natural origin </w:t>
      </w:r>
      <w:r w:rsidR="003B2808">
        <w:rPr>
          <w:iCs/>
          <w:szCs w:val="24"/>
        </w:rPr>
        <w:t>is</w:t>
      </w:r>
      <w:r w:rsidR="00B95959" w:rsidRPr="00342F01">
        <w:rPr>
          <w:iCs/>
          <w:szCs w:val="24"/>
        </w:rPr>
        <w:t xml:space="preserve"> higher than</w:t>
      </w:r>
      <w:r>
        <w:rPr>
          <w:iCs/>
          <w:szCs w:val="24"/>
        </w:rPr>
        <w:t xml:space="preserve"> the criterion normally </w:t>
      </w:r>
      <w:r w:rsidR="003B2808">
        <w:rPr>
          <w:iCs/>
          <w:szCs w:val="24"/>
        </w:rPr>
        <w:t xml:space="preserve">adopted </w:t>
      </w:r>
      <w:r w:rsidR="009F0AFA">
        <w:rPr>
          <w:iCs/>
          <w:szCs w:val="24"/>
        </w:rPr>
        <w:t>in DS432</w:t>
      </w:r>
      <w:r w:rsidR="008E0692">
        <w:rPr>
          <w:iCs/>
          <w:szCs w:val="24"/>
        </w:rPr>
        <w:t xml:space="preserve"> [6</w:t>
      </w:r>
      <w:r w:rsidR="00903DF9">
        <w:rPr>
          <w:iCs/>
          <w:szCs w:val="24"/>
        </w:rPr>
        <w:t>]</w:t>
      </w:r>
      <w:r w:rsidR="009F0AFA">
        <w:rPr>
          <w:iCs/>
          <w:szCs w:val="24"/>
        </w:rPr>
        <w:t xml:space="preserve"> and </w:t>
      </w:r>
      <w:r w:rsidR="00252C76">
        <w:rPr>
          <w:iCs/>
          <w:szCs w:val="24"/>
        </w:rPr>
        <w:t xml:space="preserve">in </w:t>
      </w:r>
      <w:r w:rsidR="009F0AFA">
        <w:rPr>
          <w:iCs/>
          <w:szCs w:val="24"/>
        </w:rPr>
        <w:t xml:space="preserve">this Safety Guide </w:t>
      </w:r>
      <w:r w:rsidR="00252C76">
        <w:rPr>
          <w:iCs/>
          <w:szCs w:val="24"/>
        </w:rPr>
        <w:t>for</w:t>
      </w:r>
      <w:r w:rsidR="009F0AFA">
        <w:rPr>
          <w:iCs/>
          <w:szCs w:val="24"/>
        </w:rPr>
        <w:t xml:space="preserve"> defin</w:t>
      </w:r>
      <w:r w:rsidR="00252C76">
        <w:rPr>
          <w:iCs/>
          <w:szCs w:val="24"/>
        </w:rPr>
        <w:t>ing</w:t>
      </w:r>
      <w:r w:rsidR="009F0AFA">
        <w:rPr>
          <w:iCs/>
          <w:szCs w:val="24"/>
        </w:rPr>
        <w:t xml:space="preserve"> the possible range of </w:t>
      </w:r>
      <w:r w:rsidR="00252C76">
        <w:rPr>
          <w:iCs/>
          <w:szCs w:val="24"/>
        </w:rPr>
        <w:t xml:space="preserve">values for </w:t>
      </w:r>
      <w:r w:rsidR="009F0AFA">
        <w:rPr>
          <w:iCs/>
          <w:szCs w:val="24"/>
        </w:rPr>
        <w:t>dose constraints</w:t>
      </w:r>
      <w:r w:rsidR="00252C76">
        <w:rPr>
          <w:iCs/>
          <w:szCs w:val="24"/>
        </w:rPr>
        <w:t xml:space="preserve"> for public exposure</w:t>
      </w:r>
      <w:r w:rsidR="003B2808">
        <w:rPr>
          <w:iCs/>
          <w:szCs w:val="24"/>
        </w:rPr>
        <w:t xml:space="preserve"> (i.e. </w:t>
      </w:r>
      <w:r w:rsidR="003E54CC">
        <w:rPr>
          <w:iCs/>
          <w:szCs w:val="24"/>
        </w:rPr>
        <w:t xml:space="preserve">below </w:t>
      </w:r>
      <w:r w:rsidR="00065AEE">
        <w:rPr>
          <w:iCs/>
          <w:szCs w:val="24"/>
        </w:rPr>
        <w:t xml:space="preserve">the dose limit for effective dose of </w:t>
      </w:r>
      <w:r w:rsidR="003E54CC">
        <w:rPr>
          <w:iCs/>
          <w:szCs w:val="24"/>
        </w:rPr>
        <w:t xml:space="preserve">1 </w:t>
      </w:r>
      <w:proofErr w:type="spellStart"/>
      <w:r w:rsidR="003E54CC">
        <w:rPr>
          <w:iCs/>
          <w:szCs w:val="24"/>
        </w:rPr>
        <w:t>mSv</w:t>
      </w:r>
      <w:proofErr w:type="spellEnd"/>
      <w:r w:rsidR="003E54CC">
        <w:rPr>
          <w:iCs/>
          <w:szCs w:val="24"/>
        </w:rPr>
        <w:t xml:space="preserve"> in a year </w:t>
      </w:r>
      <w:r w:rsidR="009A7A72">
        <w:rPr>
          <w:iCs/>
          <w:szCs w:val="24"/>
        </w:rPr>
        <w:t xml:space="preserve">and </w:t>
      </w:r>
      <w:r w:rsidR="003E54CC">
        <w:rPr>
          <w:iCs/>
          <w:szCs w:val="24"/>
        </w:rPr>
        <w:t xml:space="preserve">higher than a dose </w:t>
      </w:r>
      <w:r w:rsidR="007713C0" w:rsidRPr="004F604C">
        <w:rPr>
          <w:iCs/>
          <w:szCs w:val="24"/>
        </w:rPr>
        <w:t>of the order of 10</w:t>
      </w:r>
      <w:r w:rsidR="003B2808">
        <w:rPr>
          <w:iCs/>
          <w:szCs w:val="24"/>
        </w:rPr>
        <w:t xml:space="preserve"> </w:t>
      </w:r>
      <w:r w:rsidR="007713C0" w:rsidRPr="004F604C">
        <w:rPr>
          <w:iCs/>
          <w:szCs w:val="24"/>
        </w:rPr>
        <w:t>µ</w:t>
      </w:r>
      <w:proofErr w:type="spellStart"/>
      <w:r w:rsidR="007713C0" w:rsidRPr="004F604C">
        <w:rPr>
          <w:iCs/>
          <w:szCs w:val="24"/>
        </w:rPr>
        <w:t>Sv</w:t>
      </w:r>
      <w:proofErr w:type="spellEnd"/>
      <w:r w:rsidR="007713C0" w:rsidRPr="004F604C">
        <w:rPr>
          <w:iCs/>
          <w:szCs w:val="24"/>
        </w:rPr>
        <w:t xml:space="preserve"> in a year</w:t>
      </w:r>
      <w:r w:rsidR="003B2808">
        <w:rPr>
          <w:iCs/>
          <w:szCs w:val="24"/>
        </w:rPr>
        <w:t xml:space="preserve">). </w:t>
      </w:r>
      <w:r w:rsidR="005A7B28">
        <w:rPr>
          <w:iCs/>
          <w:szCs w:val="24"/>
        </w:rPr>
        <w:t xml:space="preserve">This </w:t>
      </w:r>
      <w:r w:rsidR="00587F00">
        <w:rPr>
          <w:iCs/>
          <w:szCs w:val="24"/>
        </w:rPr>
        <w:t xml:space="preserve">relatively </w:t>
      </w:r>
      <w:r w:rsidR="005A7B28">
        <w:rPr>
          <w:iCs/>
          <w:szCs w:val="24"/>
        </w:rPr>
        <w:t xml:space="preserve">higher criterion </w:t>
      </w:r>
      <w:r w:rsidR="00053CCB">
        <w:rPr>
          <w:iCs/>
          <w:szCs w:val="24"/>
        </w:rPr>
        <w:t xml:space="preserve">for radionuclides of natural origin </w:t>
      </w:r>
      <w:r w:rsidR="005A7B28">
        <w:rPr>
          <w:iCs/>
          <w:szCs w:val="24"/>
        </w:rPr>
        <w:t>should be taken into account w</w:t>
      </w:r>
      <w:r w:rsidR="009F0AFA">
        <w:rPr>
          <w:iCs/>
          <w:szCs w:val="24"/>
        </w:rPr>
        <w:t>hen</w:t>
      </w:r>
      <w:r w:rsidR="005A7B28">
        <w:rPr>
          <w:iCs/>
          <w:szCs w:val="24"/>
        </w:rPr>
        <w:t xml:space="preserve"> </w:t>
      </w:r>
      <w:r w:rsidR="00B95959" w:rsidRPr="007332E9">
        <w:rPr>
          <w:iCs/>
          <w:szCs w:val="24"/>
        </w:rPr>
        <w:t>dose constraints</w:t>
      </w:r>
      <w:r w:rsidR="005A7B28">
        <w:rPr>
          <w:iCs/>
          <w:szCs w:val="24"/>
        </w:rPr>
        <w:t xml:space="preserve"> are specified</w:t>
      </w:r>
      <w:r w:rsidR="009F0AFA">
        <w:rPr>
          <w:iCs/>
          <w:szCs w:val="24"/>
        </w:rPr>
        <w:t xml:space="preserve"> for </w:t>
      </w:r>
      <w:r w:rsidR="003E54CC">
        <w:rPr>
          <w:iCs/>
          <w:szCs w:val="24"/>
        </w:rPr>
        <w:t>these situations</w:t>
      </w:r>
      <w:r w:rsidR="009D0098" w:rsidRPr="00D8330E">
        <w:rPr>
          <w:iCs/>
          <w:szCs w:val="24"/>
        </w:rPr>
        <w:t>,</w:t>
      </w:r>
      <w:r w:rsidR="00B95959" w:rsidRPr="00801EB8">
        <w:rPr>
          <w:iCs/>
          <w:szCs w:val="24"/>
        </w:rPr>
        <w:t xml:space="preserve"> </w:t>
      </w:r>
      <w:r w:rsidR="005A7B28">
        <w:rPr>
          <w:iCs/>
          <w:szCs w:val="24"/>
        </w:rPr>
        <w:t>as appropriate</w:t>
      </w:r>
      <w:r w:rsidR="00B95959" w:rsidRPr="00801EB8">
        <w:rPr>
          <w:iCs/>
          <w:szCs w:val="24"/>
        </w:rPr>
        <w:t>.</w:t>
      </w:r>
      <w:r w:rsidR="00595216" w:rsidRPr="00801EB8">
        <w:rPr>
          <w:iCs/>
          <w:szCs w:val="24"/>
        </w:rPr>
        <w:t xml:space="preserve"> The specification and use of </w:t>
      </w:r>
      <w:r w:rsidR="00065AEE">
        <w:rPr>
          <w:iCs/>
          <w:szCs w:val="24"/>
        </w:rPr>
        <w:t xml:space="preserve">dose </w:t>
      </w:r>
      <w:r w:rsidR="00595216" w:rsidRPr="00801EB8">
        <w:rPr>
          <w:iCs/>
          <w:szCs w:val="24"/>
        </w:rPr>
        <w:t>constraint</w:t>
      </w:r>
      <w:r w:rsidR="00787E63" w:rsidRPr="00801EB8">
        <w:rPr>
          <w:iCs/>
          <w:szCs w:val="24"/>
        </w:rPr>
        <w:t>s</w:t>
      </w:r>
      <w:r w:rsidR="00595216" w:rsidRPr="00EC277A">
        <w:rPr>
          <w:iCs/>
          <w:szCs w:val="24"/>
        </w:rPr>
        <w:t xml:space="preserve"> is </w:t>
      </w:r>
      <w:r w:rsidR="00DE3AE9">
        <w:rPr>
          <w:iCs/>
          <w:szCs w:val="24"/>
        </w:rPr>
        <w:t>described</w:t>
      </w:r>
      <w:r w:rsidR="00DE3AE9" w:rsidRPr="00EC277A">
        <w:rPr>
          <w:iCs/>
          <w:szCs w:val="24"/>
        </w:rPr>
        <w:t xml:space="preserve"> </w:t>
      </w:r>
      <w:r w:rsidR="00595216" w:rsidRPr="00EC277A">
        <w:rPr>
          <w:iCs/>
          <w:szCs w:val="24"/>
        </w:rPr>
        <w:t>in Annex</w:t>
      </w:r>
      <w:r w:rsidR="005A7B28">
        <w:rPr>
          <w:iCs/>
          <w:szCs w:val="24"/>
        </w:rPr>
        <w:t xml:space="preserve"> I</w:t>
      </w:r>
      <w:r w:rsidR="00595216" w:rsidRPr="00EC277A">
        <w:rPr>
          <w:iCs/>
          <w:szCs w:val="24"/>
        </w:rPr>
        <w:t>.</w:t>
      </w:r>
    </w:p>
    <w:p w:rsidR="00510F87" w:rsidRPr="00C10D10" w:rsidRDefault="00E7351C" w:rsidP="0091132F">
      <w:pPr>
        <w:pStyle w:val="ListParagraph"/>
        <w:numPr>
          <w:ilvl w:val="0"/>
          <w:numId w:val="17"/>
        </w:numPr>
        <w:autoSpaceDE w:val="0"/>
        <w:autoSpaceDN w:val="0"/>
        <w:adjustRightInd w:val="0"/>
        <w:spacing w:before="120"/>
        <w:contextualSpacing w:val="0"/>
        <w:jc w:val="both"/>
        <w:rPr>
          <w:szCs w:val="24"/>
        </w:rPr>
      </w:pPr>
      <w:r w:rsidRPr="00C10D10">
        <w:rPr>
          <w:iCs/>
          <w:szCs w:val="24"/>
        </w:rPr>
        <w:t>S</w:t>
      </w:r>
      <w:r w:rsidR="00D80FDB" w:rsidRPr="00C10D10">
        <w:rPr>
          <w:iCs/>
          <w:szCs w:val="24"/>
        </w:rPr>
        <w:t xml:space="preserve">ome important differences </w:t>
      </w:r>
      <w:r w:rsidR="00065AEE">
        <w:rPr>
          <w:iCs/>
          <w:szCs w:val="24"/>
        </w:rPr>
        <w:t>that</w:t>
      </w:r>
      <w:r w:rsidR="00065AEE" w:rsidRPr="00C10D10">
        <w:rPr>
          <w:iCs/>
          <w:szCs w:val="24"/>
        </w:rPr>
        <w:t xml:space="preserve"> </w:t>
      </w:r>
      <w:r w:rsidR="00D80FDB" w:rsidRPr="00C10D10">
        <w:rPr>
          <w:iCs/>
          <w:szCs w:val="24"/>
        </w:rPr>
        <w:t>should be taken into account</w:t>
      </w:r>
      <w:r w:rsidR="00CD250A" w:rsidRPr="00C10D10">
        <w:rPr>
          <w:iCs/>
          <w:szCs w:val="24"/>
        </w:rPr>
        <w:t xml:space="preserve"> </w:t>
      </w:r>
      <w:r w:rsidR="00065AEE">
        <w:rPr>
          <w:iCs/>
          <w:szCs w:val="24"/>
        </w:rPr>
        <w:t>in</w:t>
      </w:r>
      <w:r w:rsidR="00065AEE" w:rsidRPr="00C10D10">
        <w:rPr>
          <w:iCs/>
          <w:szCs w:val="24"/>
        </w:rPr>
        <w:t xml:space="preserve"> </w:t>
      </w:r>
      <w:r w:rsidRPr="00C10D10">
        <w:rPr>
          <w:iCs/>
          <w:szCs w:val="24"/>
        </w:rPr>
        <w:t>specifying</w:t>
      </w:r>
      <w:r w:rsidR="00CD250A" w:rsidRPr="00C10D10">
        <w:rPr>
          <w:iCs/>
          <w:szCs w:val="24"/>
        </w:rPr>
        <w:t xml:space="preserve"> the </w:t>
      </w:r>
      <w:r w:rsidR="008E0692">
        <w:rPr>
          <w:iCs/>
          <w:szCs w:val="24"/>
        </w:rPr>
        <w:t xml:space="preserve">operational limits and </w:t>
      </w:r>
      <w:r w:rsidR="00CD250A" w:rsidRPr="00C10D10">
        <w:rPr>
          <w:iCs/>
          <w:szCs w:val="24"/>
        </w:rPr>
        <w:t>condition</w:t>
      </w:r>
      <w:r w:rsidR="00C416E7">
        <w:rPr>
          <w:iCs/>
          <w:szCs w:val="24"/>
        </w:rPr>
        <w:t>s</w:t>
      </w:r>
      <w:r w:rsidR="00CD250A" w:rsidRPr="00C10D10">
        <w:rPr>
          <w:iCs/>
          <w:szCs w:val="24"/>
        </w:rPr>
        <w:t xml:space="preserve"> </w:t>
      </w:r>
      <w:r w:rsidR="00365828" w:rsidRPr="00C10D10">
        <w:rPr>
          <w:iCs/>
          <w:szCs w:val="24"/>
        </w:rPr>
        <w:t xml:space="preserve"> </w:t>
      </w:r>
      <w:r w:rsidR="008E0692">
        <w:rPr>
          <w:iCs/>
          <w:szCs w:val="24"/>
        </w:rPr>
        <w:t>associated with</w:t>
      </w:r>
      <w:r w:rsidR="00C416E7">
        <w:rPr>
          <w:iCs/>
          <w:szCs w:val="24"/>
        </w:rPr>
        <w:t xml:space="preserve"> </w:t>
      </w:r>
      <w:r w:rsidR="00F73CB8">
        <w:rPr>
          <w:iCs/>
          <w:szCs w:val="24"/>
        </w:rPr>
        <w:t>an authorization for discharge</w:t>
      </w:r>
      <w:r w:rsidR="009D0098" w:rsidRPr="00C10D10">
        <w:rPr>
          <w:iCs/>
          <w:szCs w:val="24"/>
        </w:rPr>
        <w:t>s</w:t>
      </w:r>
      <w:r w:rsidR="00365828" w:rsidRPr="00C10D10">
        <w:rPr>
          <w:iCs/>
          <w:szCs w:val="24"/>
        </w:rPr>
        <w:t xml:space="preserve"> for</w:t>
      </w:r>
      <w:r w:rsidR="00E44F2C">
        <w:rPr>
          <w:iCs/>
          <w:szCs w:val="24"/>
        </w:rPr>
        <w:t xml:space="preserve"> facilities and activities </w:t>
      </w:r>
      <w:r w:rsidR="006E769C">
        <w:rPr>
          <w:iCs/>
          <w:szCs w:val="24"/>
        </w:rPr>
        <w:t xml:space="preserve">discharging radionuclides </w:t>
      </w:r>
      <w:r w:rsidR="00065AEE">
        <w:rPr>
          <w:iCs/>
          <w:szCs w:val="24"/>
        </w:rPr>
        <w:t xml:space="preserve">of natural origin </w:t>
      </w:r>
      <w:r w:rsidR="006E769C">
        <w:rPr>
          <w:iCs/>
          <w:szCs w:val="24"/>
        </w:rPr>
        <w:t>or non-nuclear industries</w:t>
      </w:r>
      <w:r w:rsidR="006E3C9D" w:rsidRPr="006E3C9D">
        <w:rPr>
          <w:iCs/>
          <w:szCs w:val="24"/>
        </w:rPr>
        <w:t xml:space="preserve"> </w:t>
      </w:r>
      <w:r w:rsidR="00053CCB">
        <w:rPr>
          <w:iCs/>
          <w:szCs w:val="24"/>
        </w:rPr>
        <w:t xml:space="preserve">releasing </w:t>
      </w:r>
      <w:r w:rsidR="00065AEE">
        <w:rPr>
          <w:iCs/>
          <w:szCs w:val="24"/>
        </w:rPr>
        <w:t>naturally occurring radioactive material</w:t>
      </w:r>
      <w:r w:rsidR="00053CCB">
        <w:rPr>
          <w:iCs/>
          <w:szCs w:val="24"/>
        </w:rPr>
        <w:t xml:space="preserve"> to the environment</w:t>
      </w:r>
      <w:r w:rsidR="006E769C">
        <w:rPr>
          <w:iCs/>
          <w:szCs w:val="24"/>
        </w:rPr>
        <w:t>, as relevant</w:t>
      </w:r>
      <w:r w:rsidR="00065AEE">
        <w:rPr>
          <w:iCs/>
          <w:szCs w:val="24"/>
        </w:rPr>
        <w:t>,</w:t>
      </w:r>
      <w:r w:rsidR="009D0098" w:rsidRPr="00C10D10">
        <w:rPr>
          <w:iCs/>
          <w:szCs w:val="24"/>
        </w:rPr>
        <w:t xml:space="preserve"> are</w:t>
      </w:r>
      <w:r w:rsidR="00C416E7">
        <w:rPr>
          <w:iCs/>
          <w:szCs w:val="24"/>
        </w:rPr>
        <w:t xml:space="preserve"> the following</w:t>
      </w:r>
      <w:r w:rsidR="00D80FDB" w:rsidRPr="00C10D10">
        <w:rPr>
          <w:iCs/>
          <w:szCs w:val="24"/>
        </w:rPr>
        <w:t>:</w:t>
      </w:r>
      <w:r w:rsidR="00510F87" w:rsidRPr="00C10D10">
        <w:rPr>
          <w:szCs w:val="24"/>
        </w:rPr>
        <w:t xml:space="preserve"> </w:t>
      </w:r>
    </w:p>
    <w:p w:rsidR="00365828" w:rsidRPr="00C10D10" w:rsidRDefault="00D80FDB" w:rsidP="0091132F">
      <w:pPr>
        <w:numPr>
          <w:ilvl w:val="1"/>
          <w:numId w:val="12"/>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 xml:space="preserve">The </w:t>
      </w:r>
      <w:r w:rsidR="00293FAD">
        <w:rPr>
          <w:rFonts w:ascii="Times New Roman" w:hAnsi="Times New Roman"/>
          <w:iCs/>
          <w:sz w:val="24"/>
          <w:szCs w:val="24"/>
        </w:rPr>
        <w:t>releases</w:t>
      </w:r>
      <w:r w:rsidR="00293FAD" w:rsidRPr="00C10D10">
        <w:rPr>
          <w:rFonts w:ascii="Times New Roman" w:hAnsi="Times New Roman"/>
          <w:iCs/>
          <w:sz w:val="24"/>
          <w:szCs w:val="24"/>
        </w:rPr>
        <w:t xml:space="preserve"> </w:t>
      </w:r>
      <w:r w:rsidRPr="00C10D10">
        <w:rPr>
          <w:rFonts w:ascii="Times New Roman" w:hAnsi="Times New Roman"/>
          <w:iCs/>
          <w:sz w:val="24"/>
          <w:szCs w:val="24"/>
        </w:rPr>
        <w:t xml:space="preserve">are not </w:t>
      </w:r>
      <w:r w:rsidR="00D701E1" w:rsidRPr="00C10D10">
        <w:rPr>
          <w:rFonts w:ascii="Times New Roman" w:hAnsi="Times New Roman"/>
          <w:iCs/>
          <w:sz w:val="24"/>
          <w:szCs w:val="24"/>
        </w:rPr>
        <w:t xml:space="preserve">always </w:t>
      </w:r>
      <w:r w:rsidRPr="00C10D10">
        <w:rPr>
          <w:rFonts w:ascii="Times New Roman" w:hAnsi="Times New Roman"/>
          <w:iCs/>
          <w:sz w:val="24"/>
          <w:szCs w:val="24"/>
        </w:rPr>
        <w:t xml:space="preserve">from a point source and often occur from large surface areas of stored material. This means that the determination of source terms and dispersion in the environment may be quite difficult and uncertain. </w:t>
      </w:r>
      <w:r w:rsidR="00C416E7">
        <w:rPr>
          <w:rFonts w:ascii="Times New Roman" w:hAnsi="Times New Roman"/>
          <w:iCs/>
          <w:sz w:val="24"/>
          <w:szCs w:val="24"/>
        </w:rPr>
        <w:t>For</w:t>
      </w:r>
      <w:r w:rsidR="00C416E7" w:rsidRPr="00C10D10">
        <w:rPr>
          <w:rFonts w:ascii="Times New Roman" w:hAnsi="Times New Roman"/>
          <w:iCs/>
          <w:sz w:val="24"/>
          <w:szCs w:val="24"/>
        </w:rPr>
        <w:t xml:space="preserve"> </w:t>
      </w:r>
      <w:r w:rsidRPr="00C10D10">
        <w:rPr>
          <w:rFonts w:ascii="Times New Roman" w:hAnsi="Times New Roman"/>
          <w:iCs/>
          <w:sz w:val="24"/>
          <w:szCs w:val="24"/>
        </w:rPr>
        <w:t xml:space="preserve">existing facilities, surveys should therefore be conducted to determine the </w:t>
      </w:r>
      <w:r w:rsidR="00D701E1" w:rsidRPr="00C10D10">
        <w:rPr>
          <w:rFonts w:ascii="Times New Roman" w:hAnsi="Times New Roman"/>
          <w:iCs/>
          <w:sz w:val="24"/>
          <w:szCs w:val="24"/>
        </w:rPr>
        <w:t xml:space="preserve">geometry </w:t>
      </w:r>
      <w:r w:rsidR="00053CCB">
        <w:rPr>
          <w:rFonts w:ascii="Times New Roman" w:hAnsi="Times New Roman"/>
          <w:iCs/>
          <w:sz w:val="24"/>
          <w:szCs w:val="24"/>
        </w:rPr>
        <w:t xml:space="preserve">and characteristics </w:t>
      </w:r>
      <w:r w:rsidR="00C416E7" w:rsidRPr="00C10D10">
        <w:rPr>
          <w:rFonts w:ascii="Times New Roman" w:hAnsi="Times New Roman"/>
          <w:iCs/>
          <w:sz w:val="24"/>
          <w:szCs w:val="24"/>
        </w:rPr>
        <w:t xml:space="preserve">of the </w:t>
      </w:r>
      <w:r w:rsidR="00C416E7" w:rsidRPr="007D0762">
        <w:rPr>
          <w:rFonts w:ascii="Times New Roman" w:hAnsi="Times New Roman"/>
          <w:iCs/>
          <w:sz w:val="24"/>
          <w:szCs w:val="24"/>
        </w:rPr>
        <w:t>release</w:t>
      </w:r>
      <w:r w:rsidR="00C416E7" w:rsidRPr="00C10D10">
        <w:rPr>
          <w:rFonts w:ascii="Times New Roman" w:hAnsi="Times New Roman"/>
          <w:iCs/>
          <w:sz w:val="24"/>
          <w:szCs w:val="24"/>
        </w:rPr>
        <w:t xml:space="preserve"> </w:t>
      </w:r>
      <w:r w:rsidR="00365828" w:rsidRPr="00C10D10">
        <w:rPr>
          <w:rFonts w:ascii="Times New Roman" w:hAnsi="Times New Roman"/>
          <w:iCs/>
          <w:sz w:val="24"/>
          <w:szCs w:val="24"/>
        </w:rPr>
        <w:t xml:space="preserve">(point </w:t>
      </w:r>
      <w:r w:rsidR="00C416E7">
        <w:rPr>
          <w:rFonts w:ascii="Times New Roman" w:hAnsi="Times New Roman"/>
          <w:iCs/>
          <w:sz w:val="24"/>
          <w:szCs w:val="24"/>
        </w:rPr>
        <w:t xml:space="preserve">source </w:t>
      </w:r>
      <w:r w:rsidR="00365828" w:rsidRPr="00C10D10">
        <w:rPr>
          <w:rFonts w:ascii="Times New Roman" w:hAnsi="Times New Roman"/>
          <w:iCs/>
          <w:sz w:val="24"/>
          <w:szCs w:val="24"/>
        </w:rPr>
        <w:t>versus area source)</w:t>
      </w:r>
      <w:r w:rsidRPr="007D0762">
        <w:rPr>
          <w:rFonts w:ascii="Times New Roman" w:hAnsi="Times New Roman"/>
          <w:iCs/>
          <w:sz w:val="24"/>
          <w:szCs w:val="24"/>
        </w:rPr>
        <w:t xml:space="preserve">. </w:t>
      </w:r>
      <w:r w:rsidR="007D0762" w:rsidRPr="00BA2AC8">
        <w:rPr>
          <w:rFonts w:ascii="Times New Roman" w:hAnsi="Times New Roman"/>
          <w:sz w:val="24"/>
          <w:szCs w:val="24"/>
        </w:rPr>
        <w:t xml:space="preserve">Alternatively, use may be made of appropriate </w:t>
      </w:r>
      <w:r w:rsidR="00D61365">
        <w:rPr>
          <w:rFonts w:ascii="Times New Roman" w:hAnsi="Times New Roman"/>
          <w:sz w:val="24"/>
          <w:szCs w:val="24"/>
        </w:rPr>
        <w:t xml:space="preserve">models </w:t>
      </w:r>
      <w:r w:rsidR="007D0762" w:rsidRPr="00BA2AC8">
        <w:rPr>
          <w:rFonts w:ascii="Times New Roman" w:hAnsi="Times New Roman"/>
          <w:sz w:val="24"/>
          <w:szCs w:val="24"/>
        </w:rPr>
        <w:t>for assessing the impact of area sources.</w:t>
      </w:r>
    </w:p>
    <w:p w:rsidR="00D80FDB" w:rsidRPr="00C10D10" w:rsidRDefault="00D80FDB" w:rsidP="0091132F">
      <w:pPr>
        <w:numPr>
          <w:ilvl w:val="1"/>
          <w:numId w:val="12"/>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 xml:space="preserve">Greater reliance may need to be placed on environmental monitoring in assessing </w:t>
      </w:r>
      <w:r w:rsidR="004364D0">
        <w:rPr>
          <w:rFonts w:ascii="Times New Roman" w:hAnsi="Times New Roman"/>
          <w:iCs/>
          <w:sz w:val="24"/>
          <w:szCs w:val="24"/>
        </w:rPr>
        <w:t xml:space="preserve">and verifying </w:t>
      </w:r>
      <w:r w:rsidRPr="00C10D10">
        <w:rPr>
          <w:rFonts w:ascii="Times New Roman" w:hAnsi="Times New Roman"/>
          <w:iCs/>
          <w:sz w:val="24"/>
          <w:szCs w:val="24"/>
        </w:rPr>
        <w:t xml:space="preserve">doses to the representative person. However, in </w:t>
      </w:r>
      <w:r w:rsidR="00053CCB">
        <w:rPr>
          <w:rFonts w:ascii="Times New Roman" w:hAnsi="Times New Roman"/>
          <w:iCs/>
          <w:sz w:val="24"/>
          <w:szCs w:val="24"/>
        </w:rPr>
        <w:t>regions</w:t>
      </w:r>
      <w:r w:rsidR="00053CCB" w:rsidRPr="00C10D10">
        <w:rPr>
          <w:rFonts w:ascii="Times New Roman" w:hAnsi="Times New Roman"/>
          <w:iCs/>
          <w:sz w:val="24"/>
          <w:szCs w:val="24"/>
        </w:rPr>
        <w:t xml:space="preserve"> </w:t>
      </w:r>
      <w:r w:rsidRPr="00C10D10">
        <w:rPr>
          <w:rFonts w:ascii="Times New Roman" w:hAnsi="Times New Roman"/>
          <w:iCs/>
          <w:sz w:val="24"/>
          <w:szCs w:val="24"/>
        </w:rPr>
        <w:t>with a relatively high level of natural background radiation, any increment in environmental levels</w:t>
      </w:r>
      <w:r w:rsidR="00C416E7">
        <w:rPr>
          <w:rFonts w:ascii="Times New Roman" w:hAnsi="Times New Roman"/>
          <w:iCs/>
          <w:sz w:val="24"/>
          <w:szCs w:val="24"/>
        </w:rPr>
        <w:t xml:space="preserve"> of radiation</w:t>
      </w:r>
      <w:r w:rsidRPr="00C10D10">
        <w:rPr>
          <w:rFonts w:ascii="Times New Roman" w:hAnsi="Times New Roman"/>
          <w:iCs/>
          <w:sz w:val="24"/>
          <w:szCs w:val="24"/>
        </w:rPr>
        <w:t xml:space="preserve"> caused by the discharge may be masked by the natural variability </w:t>
      </w:r>
      <w:r w:rsidR="00C416E7">
        <w:rPr>
          <w:rFonts w:ascii="Times New Roman" w:hAnsi="Times New Roman"/>
          <w:iCs/>
          <w:sz w:val="24"/>
          <w:szCs w:val="24"/>
        </w:rPr>
        <w:t>in</w:t>
      </w:r>
      <w:r w:rsidR="00C416E7" w:rsidRPr="00C10D10">
        <w:rPr>
          <w:rFonts w:ascii="Times New Roman" w:hAnsi="Times New Roman"/>
          <w:iCs/>
          <w:sz w:val="24"/>
          <w:szCs w:val="24"/>
        </w:rPr>
        <w:t xml:space="preserve"> </w:t>
      </w:r>
      <w:r w:rsidR="00C416E7">
        <w:rPr>
          <w:rFonts w:ascii="Times New Roman" w:hAnsi="Times New Roman"/>
          <w:iCs/>
          <w:sz w:val="24"/>
          <w:szCs w:val="24"/>
        </w:rPr>
        <w:t>natural</w:t>
      </w:r>
      <w:r w:rsidR="00C416E7" w:rsidRPr="00C10D10">
        <w:rPr>
          <w:rFonts w:ascii="Times New Roman" w:hAnsi="Times New Roman"/>
          <w:iCs/>
          <w:sz w:val="24"/>
          <w:szCs w:val="24"/>
        </w:rPr>
        <w:t xml:space="preserve"> </w:t>
      </w:r>
      <w:r w:rsidRPr="00C10D10">
        <w:rPr>
          <w:rFonts w:ascii="Times New Roman" w:hAnsi="Times New Roman"/>
          <w:iCs/>
          <w:sz w:val="24"/>
          <w:szCs w:val="24"/>
        </w:rPr>
        <w:t>background levels</w:t>
      </w:r>
      <w:r w:rsidR="00C416E7">
        <w:rPr>
          <w:rFonts w:ascii="Times New Roman" w:hAnsi="Times New Roman"/>
          <w:iCs/>
          <w:sz w:val="24"/>
          <w:szCs w:val="24"/>
        </w:rPr>
        <w:t xml:space="preserve"> of radiation.</w:t>
      </w:r>
    </w:p>
    <w:p w:rsidR="001C14A6" w:rsidRPr="00C10D10" w:rsidRDefault="001C14A6" w:rsidP="0091132F">
      <w:pPr>
        <w:numPr>
          <w:ilvl w:val="1"/>
          <w:numId w:val="12"/>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 xml:space="preserve">Specific assessments should be carried out to identify </w:t>
      </w:r>
      <w:r w:rsidR="000403CC">
        <w:rPr>
          <w:rFonts w:ascii="Times New Roman" w:hAnsi="Times New Roman"/>
          <w:iCs/>
          <w:sz w:val="24"/>
          <w:szCs w:val="24"/>
        </w:rPr>
        <w:t>media</w:t>
      </w:r>
      <w:r w:rsidR="000403CC" w:rsidRPr="00C10D10">
        <w:rPr>
          <w:rFonts w:ascii="Times New Roman" w:hAnsi="Times New Roman"/>
          <w:iCs/>
          <w:sz w:val="24"/>
          <w:szCs w:val="24"/>
        </w:rPr>
        <w:t xml:space="preserve"> </w:t>
      </w:r>
      <w:r w:rsidRPr="00C10D10">
        <w:rPr>
          <w:rFonts w:ascii="Times New Roman" w:hAnsi="Times New Roman"/>
          <w:iCs/>
          <w:sz w:val="24"/>
          <w:szCs w:val="24"/>
        </w:rPr>
        <w:t xml:space="preserve">to be included in the environmental monitoring programme so that </w:t>
      </w:r>
      <w:r w:rsidR="00365828" w:rsidRPr="00C10D10">
        <w:rPr>
          <w:rFonts w:ascii="Times New Roman" w:hAnsi="Times New Roman"/>
          <w:iCs/>
          <w:sz w:val="24"/>
          <w:szCs w:val="24"/>
        </w:rPr>
        <w:t>any</w:t>
      </w:r>
      <w:r w:rsidRPr="00C10D10">
        <w:rPr>
          <w:rFonts w:ascii="Times New Roman" w:hAnsi="Times New Roman"/>
          <w:iCs/>
          <w:sz w:val="24"/>
          <w:szCs w:val="24"/>
        </w:rPr>
        <w:t xml:space="preserve"> increment</w:t>
      </w:r>
      <w:r w:rsidR="00365828" w:rsidRPr="00C10D10">
        <w:rPr>
          <w:rFonts w:ascii="Times New Roman" w:hAnsi="Times New Roman"/>
          <w:iCs/>
          <w:sz w:val="24"/>
          <w:szCs w:val="24"/>
        </w:rPr>
        <w:t xml:space="preserve"> </w:t>
      </w:r>
      <w:r w:rsidR="005A7B28">
        <w:rPr>
          <w:rFonts w:ascii="Times New Roman" w:hAnsi="Times New Roman"/>
          <w:iCs/>
          <w:sz w:val="24"/>
          <w:szCs w:val="24"/>
        </w:rPr>
        <w:t xml:space="preserve">in environmental levels </w:t>
      </w:r>
      <w:r w:rsidR="00C416E7">
        <w:rPr>
          <w:rFonts w:ascii="Times New Roman" w:hAnsi="Times New Roman"/>
          <w:iCs/>
          <w:sz w:val="24"/>
          <w:szCs w:val="24"/>
        </w:rPr>
        <w:t xml:space="preserve">of radiation </w:t>
      </w:r>
      <w:r w:rsidRPr="00C10D10">
        <w:rPr>
          <w:rFonts w:ascii="Times New Roman" w:hAnsi="Times New Roman"/>
          <w:iCs/>
          <w:sz w:val="24"/>
          <w:szCs w:val="24"/>
        </w:rPr>
        <w:t>may be followed in time.</w:t>
      </w:r>
      <w:r w:rsidR="00C505DE">
        <w:rPr>
          <w:rFonts w:ascii="Times New Roman" w:hAnsi="Times New Roman"/>
          <w:iCs/>
          <w:sz w:val="24"/>
          <w:szCs w:val="24"/>
        </w:rPr>
        <w:t xml:space="preserve"> </w:t>
      </w:r>
    </w:p>
    <w:p w:rsidR="00D80FDB" w:rsidRPr="00C10D10" w:rsidRDefault="00D80FDB" w:rsidP="0091132F">
      <w:pPr>
        <w:numPr>
          <w:ilvl w:val="1"/>
          <w:numId w:val="12"/>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 xml:space="preserve">Doses from radon </w:t>
      </w:r>
      <w:r w:rsidR="00C416E7">
        <w:rPr>
          <w:rFonts w:ascii="Times New Roman" w:hAnsi="Times New Roman"/>
          <w:iCs/>
          <w:sz w:val="24"/>
          <w:szCs w:val="24"/>
        </w:rPr>
        <w:t xml:space="preserve">may need to be assessed </w:t>
      </w:r>
      <w:r w:rsidRPr="00C10D10">
        <w:rPr>
          <w:rFonts w:ascii="Times New Roman" w:hAnsi="Times New Roman"/>
          <w:iCs/>
          <w:sz w:val="24"/>
          <w:szCs w:val="24"/>
        </w:rPr>
        <w:t xml:space="preserve">where large quantities of </w:t>
      </w:r>
      <w:r w:rsidR="00C46501">
        <w:rPr>
          <w:rFonts w:ascii="Times New Roman" w:hAnsi="Times New Roman"/>
          <w:iCs/>
          <w:sz w:val="24"/>
          <w:szCs w:val="24"/>
        </w:rPr>
        <w:t>materials containing uranium or radium</w:t>
      </w:r>
      <w:r w:rsidR="00C46501" w:rsidRPr="00C10D10">
        <w:rPr>
          <w:rFonts w:ascii="Times New Roman" w:hAnsi="Times New Roman"/>
          <w:iCs/>
          <w:sz w:val="24"/>
          <w:szCs w:val="24"/>
        </w:rPr>
        <w:t xml:space="preserve"> </w:t>
      </w:r>
      <w:r w:rsidRPr="00C10D10">
        <w:rPr>
          <w:rFonts w:ascii="Times New Roman" w:hAnsi="Times New Roman"/>
          <w:iCs/>
          <w:sz w:val="24"/>
          <w:szCs w:val="24"/>
        </w:rPr>
        <w:t>are handled or stored, including waste piles</w:t>
      </w:r>
      <w:r w:rsidR="009A7A72">
        <w:rPr>
          <w:rFonts w:ascii="Times New Roman" w:hAnsi="Times New Roman"/>
          <w:iCs/>
          <w:sz w:val="24"/>
          <w:szCs w:val="24"/>
        </w:rPr>
        <w:t xml:space="preserve">. </w:t>
      </w:r>
      <w:r w:rsidR="00874785" w:rsidRPr="00C10D10">
        <w:rPr>
          <w:rFonts w:ascii="Times New Roman" w:hAnsi="Times New Roman"/>
          <w:iCs/>
          <w:sz w:val="24"/>
          <w:szCs w:val="24"/>
        </w:rPr>
        <w:t xml:space="preserve">Radioactive </w:t>
      </w:r>
      <w:r w:rsidR="00874785" w:rsidRPr="00C10D10">
        <w:rPr>
          <w:rFonts w:ascii="Times New Roman" w:hAnsi="Times New Roman"/>
          <w:iCs/>
          <w:sz w:val="24"/>
          <w:szCs w:val="24"/>
        </w:rPr>
        <w:lastRenderedPageBreak/>
        <w:t xml:space="preserve">dust may be </w:t>
      </w:r>
      <w:r w:rsidR="006E3C9D">
        <w:rPr>
          <w:rFonts w:ascii="Times New Roman" w:hAnsi="Times New Roman"/>
          <w:iCs/>
          <w:sz w:val="24"/>
          <w:szCs w:val="24"/>
        </w:rPr>
        <w:t xml:space="preserve">released </w:t>
      </w:r>
      <w:r w:rsidR="00874785" w:rsidRPr="00C10D10">
        <w:rPr>
          <w:rFonts w:ascii="Times New Roman" w:hAnsi="Times New Roman"/>
          <w:iCs/>
          <w:sz w:val="24"/>
          <w:szCs w:val="24"/>
        </w:rPr>
        <w:t xml:space="preserve">through ventilation systems or </w:t>
      </w:r>
      <w:proofErr w:type="spellStart"/>
      <w:r w:rsidR="00874785" w:rsidRPr="00C10D10">
        <w:rPr>
          <w:rFonts w:ascii="Times New Roman" w:hAnsi="Times New Roman"/>
          <w:iCs/>
          <w:sz w:val="24"/>
          <w:szCs w:val="24"/>
        </w:rPr>
        <w:t>resuspended</w:t>
      </w:r>
      <w:proofErr w:type="spellEnd"/>
      <w:r w:rsidR="00874785" w:rsidRPr="00C10D10">
        <w:rPr>
          <w:rFonts w:ascii="Times New Roman" w:hAnsi="Times New Roman"/>
          <w:iCs/>
          <w:sz w:val="24"/>
          <w:szCs w:val="24"/>
        </w:rPr>
        <w:t xml:space="preserve"> from waste piles</w:t>
      </w:r>
      <w:r w:rsidR="00874785">
        <w:rPr>
          <w:rFonts w:ascii="Times New Roman" w:hAnsi="Times New Roman"/>
          <w:iCs/>
          <w:sz w:val="24"/>
          <w:szCs w:val="24"/>
        </w:rPr>
        <w:t>. I</w:t>
      </w:r>
      <w:r w:rsidR="000D0AFA" w:rsidRPr="00C10D10">
        <w:rPr>
          <w:rFonts w:ascii="Times New Roman" w:hAnsi="Times New Roman"/>
          <w:iCs/>
          <w:sz w:val="24"/>
          <w:szCs w:val="24"/>
        </w:rPr>
        <w:t xml:space="preserve">n </w:t>
      </w:r>
      <w:r w:rsidR="000D0AFA">
        <w:rPr>
          <w:rFonts w:ascii="Times New Roman" w:hAnsi="Times New Roman"/>
          <w:iCs/>
          <w:sz w:val="24"/>
          <w:szCs w:val="24"/>
        </w:rPr>
        <w:t>this case</w:t>
      </w:r>
      <w:r w:rsidR="00C416E7">
        <w:rPr>
          <w:rFonts w:ascii="Times New Roman" w:hAnsi="Times New Roman"/>
          <w:iCs/>
          <w:sz w:val="24"/>
          <w:szCs w:val="24"/>
        </w:rPr>
        <w:t>,</w:t>
      </w:r>
      <w:r w:rsidR="000D0AFA">
        <w:rPr>
          <w:rFonts w:ascii="Times New Roman" w:hAnsi="Times New Roman"/>
          <w:iCs/>
          <w:sz w:val="24"/>
          <w:szCs w:val="24"/>
        </w:rPr>
        <w:t xml:space="preserve"> </w:t>
      </w:r>
      <w:r w:rsidR="000D0AFA" w:rsidRPr="00C10D10">
        <w:rPr>
          <w:rFonts w:ascii="Times New Roman" w:hAnsi="Times New Roman"/>
          <w:iCs/>
          <w:sz w:val="24"/>
          <w:szCs w:val="24"/>
        </w:rPr>
        <w:t xml:space="preserve">monitoring of radon </w:t>
      </w:r>
      <w:r w:rsidR="00874785">
        <w:rPr>
          <w:rFonts w:ascii="Times New Roman" w:hAnsi="Times New Roman"/>
          <w:iCs/>
          <w:sz w:val="24"/>
          <w:szCs w:val="24"/>
        </w:rPr>
        <w:t xml:space="preserve">and dust </w:t>
      </w:r>
      <w:r w:rsidR="000D0AFA">
        <w:rPr>
          <w:rFonts w:ascii="Times New Roman" w:hAnsi="Times New Roman"/>
          <w:iCs/>
          <w:sz w:val="24"/>
          <w:szCs w:val="24"/>
        </w:rPr>
        <w:t>near</w:t>
      </w:r>
      <w:r w:rsidR="000D0AFA" w:rsidRPr="00C10D10">
        <w:rPr>
          <w:rFonts w:ascii="Times New Roman" w:hAnsi="Times New Roman"/>
          <w:iCs/>
          <w:sz w:val="24"/>
          <w:szCs w:val="24"/>
        </w:rPr>
        <w:t xml:space="preserve"> venting stacks and waste piles</w:t>
      </w:r>
      <w:r w:rsidR="000D0AFA">
        <w:rPr>
          <w:rFonts w:ascii="Times New Roman" w:hAnsi="Times New Roman"/>
          <w:iCs/>
          <w:sz w:val="24"/>
          <w:szCs w:val="24"/>
        </w:rPr>
        <w:t xml:space="preserve"> should be performed</w:t>
      </w:r>
      <w:r w:rsidR="000D0AFA" w:rsidRPr="00C10D10">
        <w:rPr>
          <w:rFonts w:ascii="Times New Roman" w:hAnsi="Times New Roman"/>
          <w:iCs/>
          <w:sz w:val="24"/>
          <w:szCs w:val="24"/>
        </w:rPr>
        <w:t>.</w:t>
      </w:r>
    </w:p>
    <w:p w:rsidR="003C11EB" w:rsidRPr="00C10D10" w:rsidRDefault="0005243C" w:rsidP="0091132F">
      <w:pPr>
        <w:numPr>
          <w:ilvl w:val="1"/>
          <w:numId w:val="12"/>
        </w:numPr>
        <w:autoSpaceDE w:val="0"/>
        <w:autoSpaceDN w:val="0"/>
        <w:adjustRightInd w:val="0"/>
        <w:spacing w:before="120" w:line="360" w:lineRule="auto"/>
        <w:ind w:left="567" w:hanging="567"/>
        <w:jc w:val="both"/>
        <w:rPr>
          <w:rFonts w:ascii="Times New Roman" w:hAnsi="Times New Roman"/>
          <w:sz w:val="24"/>
          <w:szCs w:val="24"/>
        </w:rPr>
      </w:pPr>
      <w:r w:rsidRPr="00C10D10">
        <w:rPr>
          <w:rFonts w:ascii="Times New Roman" w:hAnsi="Times New Roman"/>
          <w:iCs/>
          <w:sz w:val="24"/>
          <w:szCs w:val="24"/>
        </w:rPr>
        <w:t>T</w:t>
      </w:r>
      <w:r w:rsidR="00D80FDB" w:rsidRPr="00C10D10">
        <w:rPr>
          <w:rFonts w:ascii="Times New Roman" w:hAnsi="Times New Roman"/>
          <w:iCs/>
          <w:sz w:val="24"/>
          <w:szCs w:val="24"/>
        </w:rPr>
        <w:t xml:space="preserve">he cleaning </w:t>
      </w:r>
      <w:r w:rsidR="00C416E7">
        <w:rPr>
          <w:rFonts w:ascii="Times New Roman" w:hAnsi="Times New Roman"/>
          <w:iCs/>
          <w:sz w:val="24"/>
          <w:szCs w:val="24"/>
        </w:rPr>
        <w:t>of</w:t>
      </w:r>
      <w:r w:rsidR="00C416E7" w:rsidRPr="00C10D10">
        <w:rPr>
          <w:rFonts w:ascii="Times New Roman" w:hAnsi="Times New Roman"/>
          <w:iCs/>
          <w:sz w:val="24"/>
          <w:szCs w:val="24"/>
        </w:rPr>
        <w:t xml:space="preserve"> </w:t>
      </w:r>
      <w:r w:rsidR="00874785">
        <w:rPr>
          <w:rFonts w:ascii="Times New Roman" w:hAnsi="Times New Roman"/>
          <w:iCs/>
          <w:sz w:val="24"/>
          <w:szCs w:val="24"/>
        </w:rPr>
        <w:t>tanks and</w:t>
      </w:r>
      <w:r w:rsidR="00D80FDB" w:rsidRPr="00C10D10">
        <w:rPr>
          <w:rFonts w:ascii="Times New Roman" w:hAnsi="Times New Roman"/>
          <w:iCs/>
          <w:sz w:val="24"/>
          <w:szCs w:val="24"/>
        </w:rPr>
        <w:t xml:space="preserve"> pipes</w:t>
      </w:r>
      <w:r w:rsidR="00525488">
        <w:rPr>
          <w:rFonts w:ascii="Times New Roman" w:hAnsi="Times New Roman"/>
          <w:iCs/>
          <w:sz w:val="24"/>
          <w:szCs w:val="24"/>
        </w:rPr>
        <w:t xml:space="preserve">, </w:t>
      </w:r>
      <w:r w:rsidR="00C416E7">
        <w:rPr>
          <w:rFonts w:ascii="Times New Roman" w:hAnsi="Times New Roman"/>
          <w:iCs/>
          <w:sz w:val="24"/>
          <w:szCs w:val="24"/>
        </w:rPr>
        <w:t>such as</w:t>
      </w:r>
      <w:r w:rsidR="00525488">
        <w:rPr>
          <w:rFonts w:ascii="Times New Roman" w:hAnsi="Times New Roman"/>
          <w:iCs/>
          <w:sz w:val="24"/>
          <w:szCs w:val="24"/>
        </w:rPr>
        <w:t xml:space="preserve"> those used</w:t>
      </w:r>
      <w:r w:rsidR="00C505DE">
        <w:rPr>
          <w:rFonts w:ascii="Times New Roman" w:hAnsi="Times New Roman"/>
          <w:iCs/>
          <w:sz w:val="24"/>
          <w:szCs w:val="24"/>
        </w:rPr>
        <w:t xml:space="preserve"> </w:t>
      </w:r>
      <w:r w:rsidR="00525488">
        <w:rPr>
          <w:rFonts w:ascii="Times New Roman" w:hAnsi="Times New Roman"/>
          <w:iCs/>
          <w:sz w:val="24"/>
          <w:szCs w:val="24"/>
        </w:rPr>
        <w:t xml:space="preserve">within some oil and gas industries, </w:t>
      </w:r>
      <w:r w:rsidR="000F0FF3">
        <w:rPr>
          <w:rFonts w:ascii="Times New Roman" w:hAnsi="Times New Roman"/>
          <w:iCs/>
          <w:sz w:val="24"/>
          <w:szCs w:val="24"/>
        </w:rPr>
        <w:t xml:space="preserve">that </w:t>
      </w:r>
      <w:r w:rsidR="00D80FDB" w:rsidRPr="00C10D10">
        <w:rPr>
          <w:rFonts w:ascii="Times New Roman" w:hAnsi="Times New Roman"/>
          <w:iCs/>
          <w:sz w:val="24"/>
          <w:szCs w:val="24"/>
        </w:rPr>
        <w:t>contain</w:t>
      </w:r>
      <w:r w:rsidR="000F0FF3">
        <w:rPr>
          <w:rFonts w:ascii="Times New Roman" w:hAnsi="Times New Roman"/>
          <w:iCs/>
          <w:sz w:val="24"/>
          <w:szCs w:val="24"/>
        </w:rPr>
        <w:t>ed</w:t>
      </w:r>
      <w:r w:rsidR="00D80FDB" w:rsidRPr="00C10D10">
        <w:rPr>
          <w:rFonts w:ascii="Times New Roman" w:hAnsi="Times New Roman"/>
          <w:iCs/>
          <w:sz w:val="24"/>
          <w:szCs w:val="24"/>
        </w:rPr>
        <w:t xml:space="preserve"> residues</w:t>
      </w:r>
      <w:r w:rsidR="00053CCB">
        <w:rPr>
          <w:rFonts w:ascii="Times New Roman" w:hAnsi="Times New Roman"/>
          <w:iCs/>
          <w:sz w:val="24"/>
          <w:szCs w:val="24"/>
        </w:rPr>
        <w:t xml:space="preserve"> </w:t>
      </w:r>
      <w:r w:rsidR="00D80FDB" w:rsidRPr="00C10D10">
        <w:rPr>
          <w:rFonts w:ascii="Times New Roman" w:hAnsi="Times New Roman"/>
          <w:iCs/>
          <w:sz w:val="24"/>
          <w:szCs w:val="24"/>
        </w:rPr>
        <w:t>with elevated levels of radium may result in liquid</w:t>
      </w:r>
      <w:r w:rsidR="00F055F5">
        <w:rPr>
          <w:rFonts w:ascii="Times New Roman" w:hAnsi="Times New Roman"/>
          <w:iCs/>
          <w:sz w:val="24"/>
          <w:szCs w:val="24"/>
        </w:rPr>
        <w:t>, aerosol</w:t>
      </w:r>
      <w:r w:rsidR="00D80FDB" w:rsidRPr="00C10D10">
        <w:rPr>
          <w:rFonts w:ascii="Times New Roman" w:hAnsi="Times New Roman"/>
          <w:iCs/>
          <w:sz w:val="24"/>
          <w:szCs w:val="24"/>
        </w:rPr>
        <w:t xml:space="preserve"> </w:t>
      </w:r>
      <w:r w:rsidR="00874785">
        <w:rPr>
          <w:rFonts w:ascii="Times New Roman" w:hAnsi="Times New Roman"/>
          <w:iCs/>
          <w:sz w:val="24"/>
          <w:szCs w:val="24"/>
        </w:rPr>
        <w:t xml:space="preserve">or solid </w:t>
      </w:r>
      <w:r w:rsidRPr="00C10D10">
        <w:rPr>
          <w:rFonts w:ascii="Times New Roman" w:hAnsi="Times New Roman"/>
          <w:iCs/>
          <w:sz w:val="24"/>
          <w:szCs w:val="24"/>
        </w:rPr>
        <w:t xml:space="preserve">radioactive </w:t>
      </w:r>
      <w:r w:rsidR="00D80FDB" w:rsidRPr="00C10D10">
        <w:rPr>
          <w:rFonts w:ascii="Times New Roman" w:hAnsi="Times New Roman"/>
          <w:iCs/>
          <w:sz w:val="24"/>
          <w:szCs w:val="24"/>
        </w:rPr>
        <w:t>waste</w:t>
      </w:r>
      <w:r w:rsidR="00C416E7">
        <w:rPr>
          <w:rFonts w:ascii="Times New Roman" w:hAnsi="Times New Roman"/>
          <w:iCs/>
          <w:sz w:val="24"/>
          <w:szCs w:val="24"/>
        </w:rPr>
        <w:t>;</w:t>
      </w:r>
      <w:r w:rsidR="00D80FDB" w:rsidRPr="00C10D10">
        <w:rPr>
          <w:rFonts w:ascii="Times New Roman" w:hAnsi="Times New Roman"/>
          <w:iCs/>
          <w:sz w:val="24"/>
          <w:szCs w:val="24"/>
        </w:rPr>
        <w:t xml:space="preserve"> </w:t>
      </w:r>
      <w:r w:rsidR="00C416E7">
        <w:rPr>
          <w:rFonts w:ascii="Times New Roman" w:hAnsi="Times New Roman"/>
          <w:iCs/>
          <w:sz w:val="24"/>
          <w:szCs w:val="24"/>
        </w:rPr>
        <w:t>the need for regulation of such waste</w:t>
      </w:r>
      <w:r w:rsidR="00C416E7" w:rsidRPr="00C10D10">
        <w:rPr>
          <w:rFonts w:ascii="Times New Roman" w:hAnsi="Times New Roman"/>
          <w:iCs/>
          <w:sz w:val="24"/>
          <w:szCs w:val="24"/>
        </w:rPr>
        <w:t xml:space="preserve"> </w:t>
      </w:r>
      <w:r w:rsidR="00D80FDB" w:rsidRPr="00C10D10">
        <w:rPr>
          <w:rFonts w:ascii="Times New Roman" w:hAnsi="Times New Roman"/>
          <w:iCs/>
          <w:sz w:val="24"/>
          <w:szCs w:val="24"/>
        </w:rPr>
        <w:t xml:space="preserve">should be </w:t>
      </w:r>
      <w:r w:rsidR="00352DA5">
        <w:rPr>
          <w:rFonts w:ascii="Times New Roman" w:hAnsi="Times New Roman"/>
          <w:iCs/>
          <w:sz w:val="24"/>
          <w:szCs w:val="24"/>
        </w:rPr>
        <w:t>considered</w:t>
      </w:r>
      <w:r w:rsidR="00D80FDB" w:rsidRPr="00C10D10">
        <w:rPr>
          <w:rFonts w:ascii="Times New Roman" w:hAnsi="Times New Roman"/>
          <w:iCs/>
          <w:sz w:val="24"/>
          <w:szCs w:val="24"/>
        </w:rPr>
        <w:t xml:space="preserve">; </w:t>
      </w:r>
    </w:p>
    <w:p w:rsidR="000403CC" w:rsidRDefault="00D80FDB" w:rsidP="0091132F">
      <w:pPr>
        <w:numPr>
          <w:ilvl w:val="1"/>
          <w:numId w:val="12"/>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 xml:space="preserve">Seasonal variation in rainfall may affect the </w:t>
      </w:r>
      <w:r w:rsidR="00791FC0">
        <w:rPr>
          <w:rFonts w:ascii="Times New Roman" w:hAnsi="Times New Roman"/>
          <w:iCs/>
          <w:sz w:val="24"/>
          <w:szCs w:val="24"/>
        </w:rPr>
        <w:t xml:space="preserve">radioactive releases and the </w:t>
      </w:r>
      <w:r w:rsidRPr="00C10D10">
        <w:rPr>
          <w:rFonts w:ascii="Times New Roman" w:hAnsi="Times New Roman"/>
          <w:iCs/>
          <w:sz w:val="24"/>
          <w:szCs w:val="24"/>
        </w:rPr>
        <w:t xml:space="preserve">radiological impact of liquid </w:t>
      </w:r>
      <w:r w:rsidR="00874785">
        <w:rPr>
          <w:rFonts w:ascii="Times New Roman" w:hAnsi="Times New Roman"/>
          <w:iCs/>
          <w:sz w:val="24"/>
          <w:szCs w:val="24"/>
        </w:rPr>
        <w:t>effluents</w:t>
      </w:r>
      <w:r w:rsidR="00874785" w:rsidRPr="00C10D10">
        <w:rPr>
          <w:rFonts w:ascii="Times New Roman" w:hAnsi="Times New Roman"/>
          <w:iCs/>
          <w:sz w:val="24"/>
          <w:szCs w:val="24"/>
        </w:rPr>
        <w:t xml:space="preserve"> </w:t>
      </w:r>
      <w:r w:rsidRPr="00C10D10">
        <w:rPr>
          <w:rFonts w:ascii="Times New Roman" w:hAnsi="Times New Roman"/>
          <w:iCs/>
          <w:sz w:val="24"/>
          <w:szCs w:val="24"/>
        </w:rPr>
        <w:t xml:space="preserve">from </w:t>
      </w:r>
      <w:r w:rsidR="00874785">
        <w:rPr>
          <w:rFonts w:ascii="Times New Roman" w:hAnsi="Times New Roman"/>
          <w:iCs/>
          <w:sz w:val="24"/>
          <w:szCs w:val="24"/>
        </w:rPr>
        <w:t>min</w:t>
      </w:r>
      <w:r w:rsidR="008E0692">
        <w:rPr>
          <w:rFonts w:ascii="Times New Roman" w:hAnsi="Times New Roman"/>
          <w:iCs/>
          <w:sz w:val="24"/>
          <w:szCs w:val="24"/>
        </w:rPr>
        <w:t>ing</w:t>
      </w:r>
      <w:r w:rsidR="00874785">
        <w:rPr>
          <w:rFonts w:ascii="Times New Roman" w:hAnsi="Times New Roman"/>
          <w:iCs/>
          <w:sz w:val="24"/>
          <w:szCs w:val="24"/>
        </w:rPr>
        <w:t xml:space="preserve"> and </w:t>
      </w:r>
      <w:r w:rsidR="00C416E7">
        <w:rPr>
          <w:rFonts w:ascii="Times New Roman" w:hAnsi="Times New Roman"/>
          <w:iCs/>
          <w:sz w:val="24"/>
          <w:szCs w:val="24"/>
        </w:rPr>
        <w:t>processing</w:t>
      </w:r>
      <w:r w:rsidR="00C416E7" w:rsidRPr="00C10D10">
        <w:rPr>
          <w:rFonts w:ascii="Times New Roman" w:hAnsi="Times New Roman"/>
          <w:iCs/>
          <w:sz w:val="24"/>
          <w:szCs w:val="24"/>
        </w:rPr>
        <w:t xml:space="preserve"> </w:t>
      </w:r>
      <w:r w:rsidRPr="00C10D10">
        <w:rPr>
          <w:rFonts w:ascii="Times New Roman" w:hAnsi="Times New Roman"/>
          <w:iCs/>
          <w:sz w:val="24"/>
          <w:szCs w:val="24"/>
        </w:rPr>
        <w:t>facilit</w:t>
      </w:r>
      <w:r w:rsidR="00874785">
        <w:rPr>
          <w:rFonts w:ascii="Times New Roman" w:hAnsi="Times New Roman"/>
          <w:iCs/>
          <w:sz w:val="24"/>
          <w:szCs w:val="24"/>
        </w:rPr>
        <w:t>ies</w:t>
      </w:r>
      <w:r w:rsidR="00053CCB">
        <w:rPr>
          <w:rFonts w:ascii="Times New Roman" w:hAnsi="Times New Roman"/>
          <w:iCs/>
          <w:sz w:val="24"/>
          <w:szCs w:val="24"/>
        </w:rPr>
        <w:t xml:space="preserve"> </w:t>
      </w:r>
      <w:r w:rsidR="00791FC0">
        <w:rPr>
          <w:rFonts w:ascii="Times New Roman" w:hAnsi="Times New Roman"/>
          <w:iCs/>
          <w:sz w:val="24"/>
          <w:szCs w:val="24"/>
        </w:rPr>
        <w:t xml:space="preserve">or activities </w:t>
      </w:r>
      <w:r w:rsidR="00053CCB">
        <w:rPr>
          <w:rFonts w:ascii="Times New Roman" w:hAnsi="Times New Roman"/>
          <w:iCs/>
          <w:sz w:val="24"/>
          <w:szCs w:val="24"/>
        </w:rPr>
        <w:t>(e.g</w:t>
      </w:r>
      <w:r w:rsidR="00293FAD">
        <w:rPr>
          <w:rFonts w:ascii="Times New Roman" w:hAnsi="Times New Roman"/>
          <w:iCs/>
          <w:sz w:val="24"/>
          <w:szCs w:val="24"/>
        </w:rPr>
        <w:t>.</w:t>
      </w:r>
      <w:r w:rsidR="00053CCB">
        <w:rPr>
          <w:rFonts w:ascii="Times New Roman" w:hAnsi="Times New Roman"/>
          <w:iCs/>
          <w:sz w:val="24"/>
          <w:szCs w:val="24"/>
        </w:rPr>
        <w:t xml:space="preserve"> where </w:t>
      </w:r>
      <w:r w:rsidR="00293FAD">
        <w:rPr>
          <w:rFonts w:ascii="Times New Roman" w:hAnsi="Times New Roman"/>
          <w:iCs/>
          <w:sz w:val="24"/>
          <w:szCs w:val="24"/>
        </w:rPr>
        <w:t xml:space="preserve">the </w:t>
      </w:r>
      <w:r w:rsidR="00791FC0">
        <w:rPr>
          <w:rFonts w:ascii="Times New Roman" w:hAnsi="Times New Roman"/>
          <w:iCs/>
          <w:sz w:val="24"/>
          <w:szCs w:val="24"/>
        </w:rPr>
        <w:t>storage or processing of mineral</w:t>
      </w:r>
      <w:r w:rsidR="00293FAD">
        <w:rPr>
          <w:rFonts w:ascii="Times New Roman" w:hAnsi="Times New Roman"/>
          <w:iCs/>
          <w:sz w:val="24"/>
          <w:szCs w:val="24"/>
        </w:rPr>
        <w:t>s</w:t>
      </w:r>
      <w:r w:rsidR="00791FC0">
        <w:rPr>
          <w:rFonts w:ascii="Times New Roman" w:hAnsi="Times New Roman"/>
          <w:iCs/>
          <w:sz w:val="24"/>
          <w:szCs w:val="24"/>
        </w:rPr>
        <w:t xml:space="preserve"> in </w:t>
      </w:r>
      <w:r w:rsidR="00053CCB">
        <w:rPr>
          <w:rFonts w:ascii="Times New Roman" w:hAnsi="Times New Roman"/>
          <w:iCs/>
          <w:sz w:val="24"/>
          <w:szCs w:val="24"/>
        </w:rPr>
        <w:t xml:space="preserve">open pits </w:t>
      </w:r>
      <w:r w:rsidR="00293FAD">
        <w:rPr>
          <w:rFonts w:ascii="Times New Roman" w:hAnsi="Times New Roman"/>
          <w:iCs/>
          <w:sz w:val="24"/>
          <w:szCs w:val="24"/>
        </w:rPr>
        <w:t>is</w:t>
      </w:r>
      <w:r w:rsidR="00053CCB">
        <w:rPr>
          <w:rFonts w:ascii="Times New Roman" w:hAnsi="Times New Roman"/>
          <w:iCs/>
          <w:sz w:val="24"/>
          <w:szCs w:val="24"/>
        </w:rPr>
        <w:t xml:space="preserve"> </w:t>
      </w:r>
      <w:r w:rsidR="00791FC0">
        <w:rPr>
          <w:rFonts w:ascii="Times New Roman" w:hAnsi="Times New Roman"/>
          <w:iCs/>
          <w:sz w:val="24"/>
          <w:szCs w:val="24"/>
        </w:rPr>
        <w:t>part of the process)</w:t>
      </w:r>
      <w:r w:rsidRPr="00C10D10">
        <w:rPr>
          <w:rFonts w:ascii="Times New Roman" w:hAnsi="Times New Roman"/>
          <w:iCs/>
          <w:sz w:val="24"/>
          <w:szCs w:val="24"/>
        </w:rPr>
        <w:t xml:space="preserve">. For example, </w:t>
      </w:r>
      <w:r w:rsidR="00C416E7">
        <w:rPr>
          <w:rFonts w:ascii="Times New Roman" w:hAnsi="Times New Roman"/>
          <w:iCs/>
          <w:sz w:val="24"/>
          <w:szCs w:val="24"/>
        </w:rPr>
        <w:t>in the dry season, the</w:t>
      </w:r>
      <w:r w:rsidRPr="00C10D10">
        <w:rPr>
          <w:rFonts w:ascii="Times New Roman" w:hAnsi="Times New Roman"/>
          <w:iCs/>
          <w:sz w:val="24"/>
          <w:szCs w:val="24"/>
        </w:rPr>
        <w:t xml:space="preserve"> dilution of the </w:t>
      </w:r>
      <w:r w:rsidR="00874785">
        <w:rPr>
          <w:rFonts w:ascii="Times New Roman" w:hAnsi="Times New Roman"/>
          <w:iCs/>
          <w:sz w:val="24"/>
          <w:szCs w:val="24"/>
        </w:rPr>
        <w:t>releases</w:t>
      </w:r>
      <w:r w:rsidRPr="00C10D10">
        <w:rPr>
          <w:rFonts w:ascii="Times New Roman" w:hAnsi="Times New Roman"/>
          <w:iCs/>
          <w:sz w:val="24"/>
          <w:szCs w:val="24"/>
        </w:rPr>
        <w:t xml:space="preserve"> </w:t>
      </w:r>
      <w:r w:rsidR="00C416E7">
        <w:rPr>
          <w:rFonts w:ascii="Times New Roman" w:hAnsi="Times New Roman"/>
          <w:iCs/>
          <w:sz w:val="24"/>
          <w:szCs w:val="24"/>
        </w:rPr>
        <w:t>may be lower</w:t>
      </w:r>
      <w:r w:rsidR="00791FC0">
        <w:rPr>
          <w:rFonts w:ascii="Times New Roman" w:hAnsi="Times New Roman"/>
          <w:iCs/>
          <w:sz w:val="24"/>
          <w:szCs w:val="24"/>
        </w:rPr>
        <w:t xml:space="preserve"> and the releases of aerosols and gases </w:t>
      </w:r>
      <w:r w:rsidR="00293FAD">
        <w:rPr>
          <w:rFonts w:ascii="Times New Roman" w:hAnsi="Times New Roman"/>
          <w:iCs/>
          <w:sz w:val="24"/>
          <w:szCs w:val="24"/>
        </w:rPr>
        <w:t>such as</w:t>
      </w:r>
      <w:r w:rsidR="00791FC0">
        <w:rPr>
          <w:rFonts w:ascii="Times New Roman" w:hAnsi="Times New Roman"/>
          <w:iCs/>
          <w:sz w:val="24"/>
          <w:szCs w:val="24"/>
        </w:rPr>
        <w:t xml:space="preserve"> radon may be higher</w:t>
      </w:r>
      <w:r w:rsidRPr="00C10D10">
        <w:rPr>
          <w:rFonts w:ascii="Times New Roman" w:hAnsi="Times New Roman"/>
          <w:iCs/>
          <w:sz w:val="24"/>
          <w:szCs w:val="24"/>
        </w:rPr>
        <w:t xml:space="preserve">. Furthermore, sedimentation in periods of low water flow may be followed by remobilization of deposited sediments </w:t>
      </w:r>
      <w:r w:rsidR="00C416E7">
        <w:rPr>
          <w:rFonts w:ascii="Times New Roman" w:hAnsi="Times New Roman"/>
          <w:iCs/>
          <w:sz w:val="24"/>
          <w:szCs w:val="24"/>
        </w:rPr>
        <w:t>in</w:t>
      </w:r>
      <w:r w:rsidR="00C416E7" w:rsidRPr="00C10D10">
        <w:rPr>
          <w:rFonts w:ascii="Times New Roman" w:hAnsi="Times New Roman"/>
          <w:iCs/>
          <w:sz w:val="24"/>
          <w:szCs w:val="24"/>
        </w:rPr>
        <w:t xml:space="preserve"> </w:t>
      </w:r>
      <w:r w:rsidRPr="00C10D10">
        <w:rPr>
          <w:rFonts w:ascii="Times New Roman" w:hAnsi="Times New Roman"/>
          <w:iCs/>
          <w:sz w:val="24"/>
          <w:szCs w:val="24"/>
        </w:rPr>
        <w:t>periods of high rainfall.</w:t>
      </w:r>
      <w:r w:rsidR="005A0BB2">
        <w:rPr>
          <w:rFonts w:ascii="Times New Roman" w:hAnsi="Times New Roman"/>
          <w:iCs/>
          <w:sz w:val="24"/>
          <w:szCs w:val="24"/>
        </w:rPr>
        <w:t xml:space="preserve"> </w:t>
      </w:r>
    </w:p>
    <w:p w:rsidR="000403CC" w:rsidRPr="00C10D10" w:rsidRDefault="000403CC" w:rsidP="0091132F">
      <w:pPr>
        <w:numPr>
          <w:ilvl w:val="1"/>
          <w:numId w:val="12"/>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 xml:space="preserve">The hazard </w:t>
      </w:r>
      <w:r w:rsidR="00C416E7">
        <w:rPr>
          <w:rFonts w:ascii="Times New Roman" w:hAnsi="Times New Roman"/>
          <w:iCs/>
          <w:sz w:val="24"/>
          <w:szCs w:val="24"/>
        </w:rPr>
        <w:t>associated with</w:t>
      </w:r>
      <w:r w:rsidR="00C416E7" w:rsidRPr="00C10D10">
        <w:rPr>
          <w:rFonts w:ascii="Times New Roman" w:hAnsi="Times New Roman"/>
          <w:iCs/>
          <w:sz w:val="24"/>
          <w:szCs w:val="24"/>
        </w:rPr>
        <w:t xml:space="preserve"> </w:t>
      </w:r>
      <w:r w:rsidRPr="00C10D10">
        <w:rPr>
          <w:rFonts w:ascii="Times New Roman" w:hAnsi="Times New Roman"/>
          <w:iCs/>
          <w:sz w:val="24"/>
          <w:szCs w:val="24"/>
        </w:rPr>
        <w:t xml:space="preserve">the non-radioactive components of the discharge may be more significant than </w:t>
      </w:r>
      <w:r w:rsidR="00C416E7">
        <w:rPr>
          <w:rFonts w:ascii="Times New Roman" w:hAnsi="Times New Roman"/>
          <w:iCs/>
          <w:sz w:val="24"/>
          <w:szCs w:val="24"/>
        </w:rPr>
        <w:t>the hazard associated with</w:t>
      </w:r>
      <w:r w:rsidR="00C416E7" w:rsidRPr="00C10D10">
        <w:rPr>
          <w:rFonts w:ascii="Times New Roman" w:hAnsi="Times New Roman"/>
          <w:iCs/>
          <w:sz w:val="24"/>
          <w:szCs w:val="24"/>
        </w:rPr>
        <w:t xml:space="preserve"> </w:t>
      </w:r>
      <w:r w:rsidRPr="00C10D10">
        <w:rPr>
          <w:rFonts w:ascii="Times New Roman" w:hAnsi="Times New Roman"/>
          <w:iCs/>
          <w:sz w:val="24"/>
          <w:szCs w:val="24"/>
        </w:rPr>
        <w:t>the radioactive components</w:t>
      </w:r>
      <w:r w:rsidR="00C416E7">
        <w:rPr>
          <w:rFonts w:ascii="Times New Roman" w:hAnsi="Times New Roman"/>
          <w:iCs/>
          <w:sz w:val="24"/>
          <w:szCs w:val="24"/>
        </w:rPr>
        <w:t xml:space="preserve">; </w:t>
      </w:r>
      <w:r w:rsidRPr="00C10D10">
        <w:rPr>
          <w:rFonts w:ascii="Times New Roman" w:hAnsi="Times New Roman"/>
          <w:iCs/>
          <w:sz w:val="24"/>
          <w:szCs w:val="24"/>
        </w:rPr>
        <w:t xml:space="preserve">in these cases </w:t>
      </w:r>
      <w:r w:rsidR="00C416E7" w:rsidRPr="00C10D10">
        <w:rPr>
          <w:rFonts w:ascii="Times New Roman" w:hAnsi="Times New Roman"/>
          <w:iCs/>
          <w:sz w:val="24"/>
          <w:szCs w:val="24"/>
        </w:rPr>
        <w:t xml:space="preserve">the non-radioactive components of the discharge </w:t>
      </w:r>
      <w:r w:rsidRPr="00C10D10">
        <w:rPr>
          <w:rFonts w:ascii="Times New Roman" w:hAnsi="Times New Roman"/>
          <w:iCs/>
          <w:sz w:val="24"/>
          <w:szCs w:val="24"/>
        </w:rPr>
        <w:t xml:space="preserve">will normally determine the </w:t>
      </w:r>
      <w:r w:rsidR="00791FC0">
        <w:rPr>
          <w:rFonts w:ascii="Times New Roman" w:hAnsi="Times New Roman"/>
          <w:iCs/>
          <w:sz w:val="24"/>
          <w:szCs w:val="24"/>
        </w:rPr>
        <w:t xml:space="preserve">stringency of the </w:t>
      </w:r>
      <w:r w:rsidRPr="00C10D10">
        <w:rPr>
          <w:rFonts w:ascii="Times New Roman" w:hAnsi="Times New Roman"/>
          <w:iCs/>
          <w:sz w:val="24"/>
          <w:szCs w:val="24"/>
        </w:rPr>
        <w:t>controls to be exercised over the discharge</w:t>
      </w:r>
      <w:r w:rsidR="00C416E7">
        <w:rPr>
          <w:rFonts w:ascii="Times New Roman" w:hAnsi="Times New Roman"/>
          <w:iCs/>
          <w:sz w:val="24"/>
          <w:szCs w:val="24"/>
        </w:rPr>
        <w:t>.</w:t>
      </w:r>
    </w:p>
    <w:p w:rsidR="00EC1A64" w:rsidRPr="008F6528" w:rsidRDefault="003C11EB" w:rsidP="008F6528">
      <w:pPr>
        <w:autoSpaceDE w:val="0"/>
        <w:autoSpaceDN w:val="0"/>
        <w:adjustRightInd w:val="0"/>
        <w:spacing w:before="120" w:line="360" w:lineRule="auto"/>
        <w:jc w:val="both"/>
        <w:rPr>
          <w:rFonts w:ascii="Times New Roman" w:hAnsi="Times New Roman"/>
          <w:sz w:val="24"/>
          <w:szCs w:val="24"/>
        </w:rPr>
      </w:pPr>
      <w:r w:rsidRPr="008F6528">
        <w:rPr>
          <w:rFonts w:ascii="Times New Roman" w:hAnsi="Times New Roman"/>
          <w:iCs/>
          <w:sz w:val="24"/>
          <w:szCs w:val="24"/>
        </w:rPr>
        <w:t>The discharge of radionuclides from facilities</w:t>
      </w:r>
      <w:r w:rsidR="00BA2AC8" w:rsidRPr="008F6528">
        <w:rPr>
          <w:rFonts w:ascii="Times New Roman" w:hAnsi="Times New Roman"/>
          <w:iCs/>
          <w:sz w:val="24"/>
          <w:szCs w:val="24"/>
        </w:rPr>
        <w:t xml:space="preserve"> </w:t>
      </w:r>
      <w:r w:rsidR="008E0692">
        <w:rPr>
          <w:rFonts w:ascii="Times New Roman" w:hAnsi="Times New Roman"/>
          <w:iCs/>
          <w:sz w:val="24"/>
          <w:szCs w:val="24"/>
        </w:rPr>
        <w:t>involving</w:t>
      </w:r>
      <w:r w:rsidR="008E0692" w:rsidRPr="008F6528">
        <w:rPr>
          <w:rFonts w:ascii="Times New Roman" w:hAnsi="Times New Roman"/>
          <w:iCs/>
          <w:sz w:val="24"/>
          <w:szCs w:val="24"/>
        </w:rPr>
        <w:t xml:space="preserve"> </w:t>
      </w:r>
      <w:r w:rsidR="00BA2AC8" w:rsidRPr="008F6528">
        <w:rPr>
          <w:rFonts w:ascii="Times New Roman" w:hAnsi="Times New Roman"/>
          <w:iCs/>
          <w:sz w:val="24"/>
          <w:szCs w:val="24"/>
        </w:rPr>
        <w:t xml:space="preserve">large amounts of </w:t>
      </w:r>
      <w:r w:rsidR="00B127E0">
        <w:rPr>
          <w:rFonts w:ascii="Times New Roman" w:hAnsi="Times New Roman"/>
          <w:iCs/>
          <w:sz w:val="24"/>
          <w:szCs w:val="24"/>
        </w:rPr>
        <w:t>naturally occurring radioactive material</w:t>
      </w:r>
      <w:r w:rsidR="00B127E0" w:rsidRPr="008F6528">
        <w:rPr>
          <w:rFonts w:ascii="Times New Roman" w:hAnsi="Times New Roman"/>
          <w:iCs/>
          <w:sz w:val="24"/>
          <w:szCs w:val="24"/>
        </w:rPr>
        <w:t xml:space="preserve"> </w:t>
      </w:r>
      <w:r w:rsidRPr="008F6528">
        <w:rPr>
          <w:rFonts w:ascii="Times New Roman" w:hAnsi="Times New Roman"/>
          <w:iCs/>
          <w:sz w:val="24"/>
          <w:szCs w:val="24"/>
        </w:rPr>
        <w:t xml:space="preserve">is the result of </w:t>
      </w:r>
      <w:r w:rsidR="00492488" w:rsidRPr="008F6528">
        <w:rPr>
          <w:rFonts w:ascii="Times New Roman" w:hAnsi="Times New Roman"/>
          <w:iCs/>
          <w:sz w:val="24"/>
          <w:szCs w:val="24"/>
        </w:rPr>
        <w:t>a complex interaction of geological, climatic and technological factors</w:t>
      </w:r>
      <w:r w:rsidR="00217560" w:rsidRPr="008F6528">
        <w:rPr>
          <w:rFonts w:ascii="Times New Roman" w:hAnsi="Times New Roman"/>
          <w:iCs/>
          <w:sz w:val="24"/>
          <w:szCs w:val="24"/>
        </w:rPr>
        <w:t xml:space="preserve">. </w:t>
      </w:r>
      <w:r w:rsidR="00367C09" w:rsidRPr="008F6528">
        <w:rPr>
          <w:rFonts w:ascii="Times New Roman" w:hAnsi="Times New Roman"/>
          <w:iCs/>
          <w:sz w:val="24"/>
          <w:szCs w:val="24"/>
        </w:rPr>
        <w:t xml:space="preserve">Radiation exposure of members of the public resulting from </w:t>
      </w:r>
      <w:r w:rsidR="00B127E0">
        <w:rPr>
          <w:rFonts w:ascii="Times New Roman" w:hAnsi="Times New Roman"/>
          <w:iCs/>
          <w:sz w:val="24"/>
          <w:szCs w:val="24"/>
        </w:rPr>
        <w:t>such</w:t>
      </w:r>
      <w:r w:rsidR="00B127E0" w:rsidRPr="008F6528">
        <w:rPr>
          <w:rFonts w:ascii="Times New Roman" w:hAnsi="Times New Roman"/>
          <w:iCs/>
          <w:sz w:val="24"/>
          <w:szCs w:val="24"/>
        </w:rPr>
        <w:t xml:space="preserve"> </w:t>
      </w:r>
      <w:r w:rsidR="00367C09" w:rsidRPr="008F6528">
        <w:rPr>
          <w:rFonts w:ascii="Times New Roman" w:hAnsi="Times New Roman"/>
          <w:iCs/>
          <w:sz w:val="24"/>
          <w:szCs w:val="24"/>
        </w:rPr>
        <w:t>discharges involves many exposure pathways, and the level of exposure per unit discharge rate depends on quite a number of site</w:t>
      </w:r>
      <w:r w:rsidR="00B127E0">
        <w:rPr>
          <w:rFonts w:ascii="Times New Roman" w:hAnsi="Times New Roman"/>
          <w:iCs/>
          <w:sz w:val="24"/>
          <w:szCs w:val="24"/>
        </w:rPr>
        <w:t xml:space="preserve"> </w:t>
      </w:r>
      <w:r w:rsidR="00367C09" w:rsidRPr="008F6528">
        <w:rPr>
          <w:rFonts w:ascii="Times New Roman" w:hAnsi="Times New Roman"/>
          <w:iCs/>
          <w:sz w:val="24"/>
          <w:szCs w:val="24"/>
        </w:rPr>
        <w:t>specific conditions. Such site</w:t>
      </w:r>
      <w:r w:rsidR="00B127E0">
        <w:rPr>
          <w:rFonts w:ascii="Times New Roman" w:hAnsi="Times New Roman"/>
          <w:iCs/>
          <w:sz w:val="24"/>
          <w:szCs w:val="24"/>
        </w:rPr>
        <w:t xml:space="preserve"> </w:t>
      </w:r>
      <w:r w:rsidR="00367C09" w:rsidRPr="008F6528">
        <w:rPr>
          <w:rFonts w:ascii="Times New Roman" w:hAnsi="Times New Roman"/>
          <w:iCs/>
          <w:sz w:val="24"/>
          <w:szCs w:val="24"/>
        </w:rPr>
        <w:t>specific conditions can result in very large differences in the dose per unit discharge rate between different sites. Consequently, no simple and general relationship exists between the discharge rate and the effective dose to members of the public.</w:t>
      </w:r>
      <w:r w:rsidR="008F6528" w:rsidRPr="008F6528">
        <w:rPr>
          <w:rFonts w:ascii="Times New Roman" w:hAnsi="Times New Roman"/>
          <w:iCs/>
          <w:sz w:val="24"/>
          <w:szCs w:val="24"/>
        </w:rPr>
        <w:t xml:space="preserve"> However a detailed site</w:t>
      </w:r>
      <w:r w:rsidR="00B127E0">
        <w:rPr>
          <w:rFonts w:ascii="Times New Roman" w:hAnsi="Times New Roman"/>
          <w:iCs/>
          <w:sz w:val="24"/>
          <w:szCs w:val="24"/>
        </w:rPr>
        <w:t xml:space="preserve"> </w:t>
      </w:r>
      <w:r w:rsidR="008F6528" w:rsidRPr="008F6528">
        <w:rPr>
          <w:rFonts w:ascii="Times New Roman" w:hAnsi="Times New Roman"/>
          <w:iCs/>
          <w:sz w:val="24"/>
          <w:szCs w:val="24"/>
        </w:rPr>
        <w:t>specific analysis is not warranted when, on the basis of a generali</w:t>
      </w:r>
      <w:r w:rsidR="00B127E0">
        <w:rPr>
          <w:rFonts w:ascii="Times New Roman" w:hAnsi="Times New Roman"/>
          <w:iCs/>
          <w:sz w:val="24"/>
          <w:szCs w:val="24"/>
        </w:rPr>
        <w:t>z</w:t>
      </w:r>
      <w:r w:rsidR="008F6528" w:rsidRPr="008F6528">
        <w:rPr>
          <w:rFonts w:ascii="Times New Roman" w:hAnsi="Times New Roman"/>
          <w:iCs/>
          <w:sz w:val="24"/>
          <w:szCs w:val="24"/>
        </w:rPr>
        <w:t xml:space="preserve">ed and </w:t>
      </w:r>
      <w:r w:rsidR="00251CCE">
        <w:rPr>
          <w:rFonts w:ascii="Times New Roman" w:hAnsi="Times New Roman"/>
          <w:iCs/>
          <w:sz w:val="24"/>
          <w:szCs w:val="24"/>
        </w:rPr>
        <w:t>cautious (</w:t>
      </w:r>
      <w:r w:rsidR="008F6528" w:rsidRPr="008F6528">
        <w:rPr>
          <w:rFonts w:ascii="Times New Roman" w:hAnsi="Times New Roman"/>
          <w:iCs/>
          <w:sz w:val="24"/>
          <w:szCs w:val="24"/>
        </w:rPr>
        <w:t>conservative</w:t>
      </w:r>
      <w:r w:rsidR="00251CCE">
        <w:rPr>
          <w:rFonts w:ascii="Times New Roman" w:hAnsi="Times New Roman"/>
          <w:iCs/>
          <w:sz w:val="24"/>
          <w:szCs w:val="24"/>
        </w:rPr>
        <w:t>)</w:t>
      </w:r>
      <w:r w:rsidR="008F6528" w:rsidRPr="008F6528">
        <w:rPr>
          <w:rFonts w:ascii="Times New Roman" w:hAnsi="Times New Roman"/>
          <w:iCs/>
          <w:sz w:val="24"/>
          <w:szCs w:val="24"/>
        </w:rPr>
        <w:t xml:space="preserve"> approach, it can be concluded that the discharges are of no radiological significance</w:t>
      </w:r>
      <w:r w:rsidR="008F6528" w:rsidRPr="00536692">
        <w:rPr>
          <w:rStyle w:val="FootnoteReference"/>
          <w:rFonts w:ascii="Times New Roman" w:hAnsi="Times New Roman"/>
          <w:sz w:val="24"/>
          <w:szCs w:val="24"/>
        </w:rPr>
        <w:footnoteReference w:id="24"/>
      </w:r>
      <w:r w:rsidR="008F6528" w:rsidRPr="008F6528">
        <w:rPr>
          <w:rFonts w:ascii="Times New Roman" w:hAnsi="Times New Roman"/>
          <w:iCs/>
          <w:sz w:val="24"/>
          <w:szCs w:val="24"/>
        </w:rPr>
        <w:t xml:space="preserve"> .</w:t>
      </w:r>
    </w:p>
    <w:p w:rsidR="00D80FDB" w:rsidRPr="00DD499F" w:rsidRDefault="00C76BB9" w:rsidP="00054343">
      <w:pPr>
        <w:pStyle w:val="Heading1"/>
        <w:spacing w:before="120" w:after="0" w:line="360" w:lineRule="auto"/>
        <w:ind w:left="0" w:firstLine="0"/>
        <w:rPr>
          <w:kern w:val="0"/>
          <w:lang w:val="en-GB"/>
        </w:rPr>
      </w:pPr>
      <w:bookmarkStart w:id="54" w:name="_Toc429127648"/>
      <w:bookmarkStart w:id="55" w:name="_Toc452966959"/>
      <w:bookmarkEnd w:id="54"/>
      <w:r w:rsidRPr="00EC1A64">
        <w:rPr>
          <w:kern w:val="0"/>
          <w:lang w:val="en-GB"/>
        </w:rPr>
        <w:lastRenderedPageBreak/>
        <w:t xml:space="preserve">CONTROL OF </w:t>
      </w:r>
      <w:r w:rsidR="00D80FDB" w:rsidRPr="00EC1A64">
        <w:rPr>
          <w:kern w:val="0"/>
          <w:lang w:val="en-GB"/>
        </w:rPr>
        <w:t>DISCHARGE</w:t>
      </w:r>
      <w:r w:rsidRPr="00EC1A64">
        <w:rPr>
          <w:kern w:val="0"/>
          <w:lang w:val="en-GB"/>
        </w:rPr>
        <w:t>S</w:t>
      </w:r>
      <w:r w:rsidR="00D80FDB" w:rsidRPr="00EC1A64">
        <w:rPr>
          <w:kern w:val="0"/>
          <w:lang w:val="en-GB"/>
        </w:rPr>
        <w:t xml:space="preserve"> DURING DECOMMISSIONING</w:t>
      </w:r>
      <w:bookmarkEnd w:id="55"/>
    </w:p>
    <w:p w:rsidR="00024A78" w:rsidRPr="00C10D10" w:rsidRDefault="00CD00DE" w:rsidP="0091132F">
      <w:pPr>
        <w:pStyle w:val="ListParagraph"/>
        <w:numPr>
          <w:ilvl w:val="0"/>
          <w:numId w:val="13"/>
        </w:numPr>
        <w:autoSpaceDE w:val="0"/>
        <w:autoSpaceDN w:val="0"/>
        <w:adjustRightInd w:val="0"/>
        <w:spacing w:before="120"/>
        <w:contextualSpacing w:val="0"/>
        <w:jc w:val="both"/>
        <w:rPr>
          <w:szCs w:val="24"/>
        </w:rPr>
      </w:pPr>
      <w:r>
        <w:rPr>
          <w:iCs/>
          <w:szCs w:val="24"/>
        </w:rPr>
        <w:t>D</w:t>
      </w:r>
      <w:r w:rsidR="00EF5796" w:rsidRPr="00C10D10">
        <w:rPr>
          <w:iCs/>
          <w:szCs w:val="24"/>
        </w:rPr>
        <w:t xml:space="preserve">ecommissioning is a </w:t>
      </w:r>
      <w:r w:rsidR="00D80FDB" w:rsidRPr="00C10D10">
        <w:rPr>
          <w:iCs/>
          <w:szCs w:val="24"/>
        </w:rPr>
        <w:t xml:space="preserve">post-operational situation </w:t>
      </w:r>
      <w:r w:rsidR="00B127E0">
        <w:rPr>
          <w:iCs/>
          <w:szCs w:val="24"/>
        </w:rPr>
        <w:t>that</w:t>
      </w:r>
      <w:r w:rsidR="00B127E0" w:rsidRPr="00C10D10">
        <w:rPr>
          <w:iCs/>
          <w:szCs w:val="24"/>
        </w:rPr>
        <w:t xml:space="preserve"> </w:t>
      </w:r>
      <w:r w:rsidR="00EF5796" w:rsidRPr="00C10D10">
        <w:rPr>
          <w:iCs/>
          <w:szCs w:val="24"/>
        </w:rPr>
        <w:t xml:space="preserve">should be considered </w:t>
      </w:r>
      <w:r w:rsidR="007F062D">
        <w:rPr>
          <w:iCs/>
          <w:szCs w:val="24"/>
        </w:rPr>
        <w:t xml:space="preserve">as </w:t>
      </w:r>
      <w:r w:rsidR="00EF5796" w:rsidRPr="00C10D10">
        <w:rPr>
          <w:iCs/>
          <w:szCs w:val="24"/>
        </w:rPr>
        <w:t>a</w:t>
      </w:r>
      <w:r w:rsidR="00D80FDB" w:rsidRPr="00C10D10">
        <w:rPr>
          <w:iCs/>
          <w:szCs w:val="24"/>
        </w:rPr>
        <w:t xml:space="preserve"> different </w:t>
      </w:r>
      <w:r w:rsidR="00B2595F" w:rsidRPr="00C10D10">
        <w:rPr>
          <w:iCs/>
          <w:szCs w:val="24"/>
        </w:rPr>
        <w:t>practice subject to authorization</w:t>
      </w:r>
      <w:r w:rsidR="00240750">
        <w:rPr>
          <w:iCs/>
          <w:szCs w:val="24"/>
        </w:rPr>
        <w:t>,</w:t>
      </w:r>
      <w:r w:rsidR="00D80FDB" w:rsidRPr="00C10D10">
        <w:rPr>
          <w:iCs/>
          <w:szCs w:val="24"/>
        </w:rPr>
        <w:t xml:space="preserve"> requir</w:t>
      </w:r>
      <w:r w:rsidR="00B2595F" w:rsidRPr="00C10D10">
        <w:rPr>
          <w:iCs/>
          <w:szCs w:val="24"/>
        </w:rPr>
        <w:t>ing</w:t>
      </w:r>
      <w:r w:rsidR="00D80FDB" w:rsidRPr="00C10D10">
        <w:rPr>
          <w:iCs/>
          <w:szCs w:val="24"/>
        </w:rPr>
        <w:t xml:space="preserve"> specific regulatory provisions</w:t>
      </w:r>
      <w:r w:rsidR="00B2595F" w:rsidRPr="00C10D10">
        <w:rPr>
          <w:iCs/>
          <w:szCs w:val="24"/>
        </w:rPr>
        <w:t xml:space="preserve"> [</w:t>
      </w:r>
      <w:r w:rsidR="00D83165">
        <w:rPr>
          <w:iCs/>
          <w:szCs w:val="24"/>
        </w:rPr>
        <w:t>40</w:t>
      </w:r>
      <w:r w:rsidR="00B2595F" w:rsidRPr="00C10D10">
        <w:rPr>
          <w:iCs/>
          <w:szCs w:val="24"/>
        </w:rPr>
        <w:t>]</w:t>
      </w:r>
      <w:r w:rsidR="00240750">
        <w:rPr>
          <w:iCs/>
          <w:szCs w:val="24"/>
        </w:rPr>
        <w:t>, including for discharges</w:t>
      </w:r>
      <w:r w:rsidR="00D80FDB" w:rsidRPr="00C10D10">
        <w:rPr>
          <w:iCs/>
          <w:szCs w:val="24"/>
        </w:rPr>
        <w:t xml:space="preserve">. In general, two main options </w:t>
      </w:r>
      <w:r w:rsidR="00251CCE">
        <w:rPr>
          <w:iCs/>
          <w:szCs w:val="24"/>
        </w:rPr>
        <w:t xml:space="preserve">for decommissioning </w:t>
      </w:r>
      <w:r w:rsidR="00D80FDB" w:rsidRPr="00C10D10">
        <w:rPr>
          <w:iCs/>
          <w:szCs w:val="24"/>
        </w:rPr>
        <w:t>should be considered:</w:t>
      </w:r>
    </w:p>
    <w:p w:rsidR="00D80FDB" w:rsidRPr="00C10D10" w:rsidRDefault="005265B4" w:rsidP="0091132F">
      <w:pPr>
        <w:numPr>
          <w:ilvl w:val="1"/>
          <w:numId w:val="14"/>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Permanent s</w:t>
      </w:r>
      <w:r w:rsidR="00D80FDB" w:rsidRPr="00C10D10">
        <w:rPr>
          <w:rFonts w:ascii="Times New Roman" w:hAnsi="Times New Roman"/>
          <w:iCs/>
          <w:sz w:val="24"/>
          <w:szCs w:val="24"/>
        </w:rPr>
        <w:t xml:space="preserve">hutdown </w:t>
      </w:r>
      <w:r w:rsidR="00B127E0">
        <w:rPr>
          <w:rFonts w:ascii="Times New Roman" w:hAnsi="Times New Roman"/>
          <w:iCs/>
          <w:sz w:val="24"/>
          <w:szCs w:val="24"/>
        </w:rPr>
        <w:t xml:space="preserve">of the facility </w:t>
      </w:r>
      <w:r w:rsidR="00D80FDB" w:rsidRPr="00C10D10">
        <w:rPr>
          <w:rFonts w:ascii="Times New Roman" w:hAnsi="Times New Roman"/>
          <w:iCs/>
          <w:sz w:val="24"/>
          <w:szCs w:val="24"/>
        </w:rPr>
        <w:t xml:space="preserve">followed by </w:t>
      </w:r>
      <w:r w:rsidR="00B40DE0">
        <w:rPr>
          <w:rFonts w:ascii="Times New Roman" w:hAnsi="Times New Roman"/>
          <w:iCs/>
          <w:sz w:val="24"/>
          <w:szCs w:val="24"/>
        </w:rPr>
        <w:t xml:space="preserve">its </w:t>
      </w:r>
      <w:r w:rsidR="00D80FDB" w:rsidRPr="00C10D10">
        <w:rPr>
          <w:rFonts w:ascii="Times New Roman" w:hAnsi="Times New Roman"/>
          <w:iCs/>
          <w:sz w:val="24"/>
          <w:szCs w:val="24"/>
        </w:rPr>
        <w:t>immediate dismantling; or</w:t>
      </w:r>
    </w:p>
    <w:p w:rsidR="00D80FDB" w:rsidRPr="00C10D10" w:rsidRDefault="005265B4" w:rsidP="0091132F">
      <w:pPr>
        <w:numPr>
          <w:ilvl w:val="1"/>
          <w:numId w:val="14"/>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Permanent s</w:t>
      </w:r>
      <w:r w:rsidR="00D80FDB" w:rsidRPr="00C10D10">
        <w:rPr>
          <w:rFonts w:ascii="Times New Roman" w:hAnsi="Times New Roman"/>
          <w:iCs/>
          <w:sz w:val="24"/>
          <w:szCs w:val="24"/>
        </w:rPr>
        <w:t>hutdown of the facility with</w:t>
      </w:r>
      <w:r w:rsidR="00887F8A" w:rsidRPr="00C10D10">
        <w:rPr>
          <w:rFonts w:ascii="Times New Roman" w:hAnsi="Times New Roman"/>
          <w:iCs/>
          <w:sz w:val="24"/>
          <w:szCs w:val="24"/>
        </w:rPr>
        <w:t xml:space="preserve"> </w:t>
      </w:r>
      <w:r w:rsidR="00D80FDB" w:rsidRPr="00C10D10">
        <w:rPr>
          <w:rFonts w:ascii="Times New Roman" w:hAnsi="Times New Roman"/>
          <w:iCs/>
          <w:sz w:val="24"/>
          <w:szCs w:val="24"/>
        </w:rPr>
        <w:t xml:space="preserve">dismantling </w:t>
      </w:r>
      <w:r w:rsidR="00B127E0" w:rsidRPr="00C10D10">
        <w:rPr>
          <w:rFonts w:ascii="Times New Roman" w:hAnsi="Times New Roman"/>
          <w:iCs/>
          <w:sz w:val="24"/>
          <w:szCs w:val="24"/>
        </w:rPr>
        <w:t xml:space="preserve">deferred </w:t>
      </w:r>
      <w:r w:rsidR="00D80FDB" w:rsidRPr="00C10D10">
        <w:rPr>
          <w:rFonts w:ascii="Times New Roman" w:hAnsi="Times New Roman"/>
          <w:iCs/>
          <w:sz w:val="24"/>
          <w:szCs w:val="24"/>
        </w:rPr>
        <w:t xml:space="preserve">to a later date. </w:t>
      </w:r>
    </w:p>
    <w:p w:rsidR="00CF13C9" w:rsidRPr="00C10D10" w:rsidRDefault="00CF13C9" w:rsidP="0091132F">
      <w:pPr>
        <w:pStyle w:val="ListParagraph"/>
        <w:numPr>
          <w:ilvl w:val="0"/>
          <w:numId w:val="13"/>
        </w:numPr>
        <w:autoSpaceDE w:val="0"/>
        <w:autoSpaceDN w:val="0"/>
        <w:adjustRightInd w:val="0"/>
        <w:spacing w:before="120"/>
        <w:contextualSpacing w:val="0"/>
        <w:jc w:val="both"/>
        <w:rPr>
          <w:szCs w:val="24"/>
        </w:rPr>
      </w:pPr>
      <w:r w:rsidRPr="00C10D10">
        <w:rPr>
          <w:szCs w:val="24"/>
        </w:rPr>
        <w:t xml:space="preserve">It is typical for effluent discharges to vary </w:t>
      </w:r>
      <w:r w:rsidR="00F24DD4" w:rsidRPr="00C10D10">
        <w:rPr>
          <w:szCs w:val="24"/>
        </w:rPr>
        <w:t>through</w:t>
      </w:r>
      <w:r w:rsidRPr="00C10D10">
        <w:rPr>
          <w:szCs w:val="24"/>
        </w:rPr>
        <w:t xml:space="preserve"> the </w:t>
      </w:r>
      <w:r w:rsidR="00F24DD4" w:rsidRPr="00C10D10">
        <w:rPr>
          <w:szCs w:val="24"/>
        </w:rPr>
        <w:t>different</w:t>
      </w:r>
      <w:r w:rsidRPr="00C10D10">
        <w:rPr>
          <w:szCs w:val="24"/>
        </w:rPr>
        <w:t xml:space="preserve"> phases of decommissioning. For example, as </w:t>
      </w:r>
      <w:r w:rsidR="00CB0533">
        <w:rPr>
          <w:szCs w:val="24"/>
        </w:rPr>
        <w:t>the</w:t>
      </w:r>
      <w:r w:rsidRPr="00C10D10">
        <w:rPr>
          <w:szCs w:val="24"/>
        </w:rPr>
        <w:t xml:space="preserve"> removal of radioactive </w:t>
      </w:r>
      <w:r w:rsidR="00CD1487">
        <w:rPr>
          <w:szCs w:val="24"/>
        </w:rPr>
        <w:t>hazards</w:t>
      </w:r>
      <w:r w:rsidR="00CB0533">
        <w:rPr>
          <w:szCs w:val="24"/>
        </w:rPr>
        <w:t xml:space="preserve"> progresses through decommissioning,</w:t>
      </w:r>
      <w:r w:rsidRPr="00C10D10">
        <w:rPr>
          <w:szCs w:val="24"/>
        </w:rPr>
        <w:t xml:space="preserve"> the radioactive discharges may </w:t>
      </w:r>
      <w:r w:rsidR="00CB0533">
        <w:rPr>
          <w:szCs w:val="24"/>
        </w:rPr>
        <w:t>decrease</w:t>
      </w:r>
      <w:r w:rsidRPr="00C10D10">
        <w:rPr>
          <w:szCs w:val="24"/>
        </w:rPr>
        <w:t>.</w:t>
      </w:r>
    </w:p>
    <w:p w:rsidR="00024A78" w:rsidRPr="00C10D10" w:rsidRDefault="00D80FDB" w:rsidP="0091132F">
      <w:pPr>
        <w:pStyle w:val="ListParagraph"/>
        <w:numPr>
          <w:ilvl w:val="0"/>
          <w:numId w:val="13"/>
        </w:numPr>
        <w:autoSpaceDE w:val="0"/>
        <w:autoSpaceDN w:val="0"/>
        <w:adjustRightInd w:val="0"/>
        <w:spacing w:before="120"/>
        <w:contextualSpacing w:val="0"/>
        <w:jc w:val="both"/>
        <w:rPr>
          <w:szCs w:val="24"/>
        </w:rPr>
      </w:pPr>
      <w:r w:rsidRPr="00C10D10">
        <w:rPr>
          <w:iCs/>
          <w:szCs w:val="24"/>
        </w:rPr>
        <w:t xml:space="preserve">Immediate dismantling of the facility increases the likelihood of mobilizing and potentially releasing radionuclides that may not otherwise have been released. </w:t>
      </w:r>
      <w:r w:rsidR="00CF13C9" w:rsidRPr="00C10D10">
        <w:rPr>
          <w:iCs/>
          <w:szCs w:val="24"/>
        </w:rPr>
        <w:t>Deferred</w:t>
      </w:r>
      <w:r w:rsidRPr="00C10D10">
        <w:rPr>
          <w:iCs/>
          <w:szCs w:val="24"/>
        </w:rPr>
        <w:t xml:space="preserve"> dismantling will allow time for some radioactive decay to occur.</w:t>
      </w:r>
      <w:r w:rsidR="00024A78" w:rsidRPr="00C10D10">
        <w:rPr>
          <w:szCs w:val="24"/>
        </w:rPr>
        <w:t xml:space="preserve"> </w:t>
      </w:r>
    </w:p>
    <w:p w:rsidR="00024A78" w:rsidRPr="00C10D10" w:rsidRDefault="00D80FDB" w:rsidP="0091132F">
      <w:pPr>
        <w:pStyle w:val="ListParagraph"/>
        <w:numPr>
          <w:ilvl w:val="0"/>
          <w:numId w:val="13"/>
        </w:numPr>
        <w:autoSpaceDE w:val="0"/>
        <w:autoSpaceDN w:val="0"/>
        <w:adjustRightInd w:val="0"/>
        <w:spacing w:before="120"/>
        <w:contextualSpacing w:val="0"/>
        <w:jc w:val="both"/>
        <w:rPr>
          <w:szCs w:val="24"/>
        </w:rPr>
      </w:pPr>
      <w:r w:rsidRPr="00C10D10">
        <w:rPr>
          <w:iCs/>
          <w:szCs w:val="24"/>
        </w:rPr>
        <w:t xml:space="preserve">The anticipated discharge levels following </w:t>
      </w:r>
      <w:r w:rsidR="00CF13C9" w:rsidRPr="00C10D10">
        <w:rPr>
          <w:iCs/>
          <w:szCs w:val="24"/>
        </w:rPr>
        <w:t xml:space="preserve">permanent </w:t>
      </w:r>
      <w:r w:rsidRPr="00C10D10">
        <w:rPr>
          <w:iCs/>
          <w:szCs w:val="24"/>
        </w:rPr>
        <w:t>shutdown of a facility are usually much lower than during the operational period</w:t>
      </w:r>
      <w:r w:rsidR="00CB0533">
        <w:rPr>
          <w:iCs/>
          <w:szCs w:val="24"/>
        </w:rPr>
        <w:t>,</w:t>
      </w:r>
      <w:r w:rsidRPr="00C10D10">
        <w:rPr>
          <w:iCs/>
          <w:szCs w:val="24"/>
        </w:rPr>
        <w:t xml:space="preserve"> since any short-lived radionuclides will have decayed. Furthermore, the likelihood of large accidental releases is reduced. However, </w:t>
      </w:r>
      <w:r w:rsidR="00CB0533">
        <w:rPr>
          <w:iCs/>
          <w:szCs w:val="24"/>
        </w:rPr>
        <w:t>for</w:t>
      </w:r>
      <w:r w:rsidR="00CB0533" w:rsidRPr="00C10D10">
        <w:rPr>
          <w:iCs/>
          <w:szCs w:val="24"/>
        </w:rPr>
        <w:t xml:space="preserve"> </w:t>
      </w:r>
      <w:r w:rsidR="00CF13C9" w:rsidRPr="00C10D10">
        <w:rPr>
          <w:iCs/>
          <w:szCs w:val="24"/>
        </w:rPr>
        <w:t xml:space="preserve">some </w:t>
      </w:r>
      <w:r w:rsidRPr="00C10D10">
        <w:rPr>
          <w:iCs/>
          <w:szCs w:val="24"/>
        </w:rPr>
        <w:t>dismantling</w:t>
      </w:r>
      <w:r w:rsidR="00CF13C9" w:rsidRPr="00C10D10">
        <w:rPr>
          <w:iCs/>
          <w:szCs w:val="24"/>
        </w:rPr>
        <w:t xml:space="preserve"> activities</w:t>
      </w:r>
      <w:r w:rsidRPr="00C10D10">
        <w:rPr>
          <w:iCs/>
          <w:szCs w:val="24"/>
        </w:rPr>
        <w:t>, there may be an increased likelihood of low</w:t>
      </w:r>
      <w:r w:rsidR="00CB0533">
        <w:rPr>
          <w:iCs/>
          <w:szCs w:val="24"/>
        </w:rPr>
        <w:t xml:space="preserve"> </w:t>
      </w:r>
      <w:r w:rsidRPr="00C10D10">
        <w:rPr>
          <w:iCs/>
          <w:szCs w:val="24"/>
        </w:rPr>
        <w:t>level unplanned liquid or gaseous releases.</w:t>
      </w:r>
      <w:r w:rsidR="00024A78" w:rsidRPr="00C10D10">
        <w:rPr>
          <w:szCs w:val="24"/>
        </w:rPr>
        <w:t xml:space="preserve"> </w:t>
      </w:r>
    </w:p>
    <w:p w:rsidR="00024A78" w:rsidRPr="00C10D10" w:rsidRDefault="00D80FDB" w:rsidP="0091132F">
      <w:pPr>
        <w:pStyle w:val="ListParagraph"/>
        <w:numPr>
          <w:ilvl w:val="0"/>
          <w:numId w:val="13"/>
        </w:numPr>
        <w:autoSpaceDE w:val="0"/>
        <w:autoSpaceDN w:val="0"/>
        <w:adjustRightInd w:val="0"/>
        <w:spacing w:before="120"/>
        <w:contextualSpacing w:val="0"/>
        <w:jc w:val="both"/>
        <w:rPr>
          <w:szCs w:val="24"/>
        </w:rPr>
      </w:pPr>
      <w:r w:rsidRPr="00C10D10">
        <w:rPr>
          <w:iCs/>
          <w:szCs w:val="24"/>
        </w:rPr>
        <w:t>Whichever of the two main options is chosen, consideration should be given to the following</w:t>
      </w:r>
      <w:r w:rsidR="00CD00DE">
        <w:rPr>
          <w:iCs/>
          <w:szCs w:val="24"/>
        </w:rPr>
        <w:t xml:space="preserve"> aspects</w:t>
      </w:r>
      <w:r w:rsidRPr="00C10D10">
        <w:rPr>
          <w:iCs/>
          <w:szCs w:val="24"/>
        </w:rPr>
        <w:t>:</w:t>
      </w:r>
      <w:r w:rsidR="00024A78" w:rsidRPr="00C10D10">
        <w:rPr>
          <w:szCs w:val="24"/>
        </w:rPr>
        <w:t xml:space="preserve"> </w:t>
      </w:r>
    </w:p>
    <w:p w:rsidR="00D80FDB" w:rsidRPr="00C10D10" w:rsidRDefault="00D80FDB" w:rsidP="0091132F">
      <w:pPr>
        <w:numPr>
          <w:ilvl w:val="1"/>
          <w:numId w:val="15"/>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 xml:space="preserve">The possibility of additional radionuclides being discharged that were not present in </w:t>
      </w:r>
      <w:r w:rsidR="00240750">
        <w:rPr>
          <w:rFonts w:ascii="Times New Roman" w:hAnsi="Times New Roman"/>
          <w:iCs/>
          <w:sz w:val="24"/>
          <w:szCs w:val="24"/>
        </w:rPr>
        <w:t xml:space="preserve">routine </w:t>
      </w:r>
      <w:r w:rsidRPr="00C10D10">
        <w:rPr>
          <w:rFonts w:ascii="Times New Roman" w:hAnsi="Times New Roman"/>
          <w:iCs/>
          <w:sz w:val="24"/>
          <w:szCs w:val="24"/>
        </w:rPr>
        <w:t>discharge</w:t>
      </w:r>
      <w:r w:rsidR="00B8108E">
        <w:rPr>
          <w:rFonts w:ascii="Times New Roman" w:hAnsi="Times New Roman"/>
          <w:iCs/>
          <w:sz w:val="24"/>
          <w:szCs w:val="24"/>
        </w:rPr>
        <w:t>s</w:t>
      </w:r>
      <w:r w:rsidRPr="00C10D10">
        <w:rPr>
          <w:rFonts w:ascii="Times New Roman" w:hAnsi="Times New Roman"/>
          <w:iCs/>
          <w:sz w:val="24"/>
          <w:szCs w:val="24"/>
        </w:rPr>
        <w:t xml:space="preserve"> during </w:t>
      </w:r>
      <w:r w:rsidR="00F1229F" w:rsidRPr="00C10D10">
        <w:rPr>
          <w:rFonts w:ascii="Times New Roman" w:hAnsi="Times New Roman"/>
          <w:iCs/>
          <w:sz w:val="24"/>
          <w:szCs w:val="24"/>
        </w:rPr>
        <w:t xml:space="preserve">normal </w:t>
      </w:r>
      <w:r w:rsidRPr="00C10D10">
        <w:rPr>
          <w:rFonts w:ascii="Times New Roman" w:hAnsi="Times New Roman"/>
          <w:iCs/>
          <w:sz w:val="24"/>
          <w:szCs w:val="24"/>
        </w:rPr>
        <w:t>operation. For example, alpha emitters</w:t>
      </w:r>
      <w:r w:rsidR="00B8108E">
        <w:rPr>
          <w:rFonts w:ascii="Times New Roman" w:hAnsi="Times New Roman"/>
          <w:iCs/>
          <w:sz w:val="24"/>
          <w:szCs w:val="24"/>
        </w:rPr>
        <w:t>,</w:t>
      </w:r>
      <w:r w:rsidRPr="00C10D10">
        <w:rPr>
          <w:rFonts w:ascii="Times New Roman" w:hAnsi="Times New Roman"/>
          <w:iCs/>
          <w:sz w:val="24"/>
          <w:szCs w:val="24"/>
        </w:rPr>
        <w:t xml:space="preserve"> which may not have been present in the discharge during operation</w:t>
      </w:r>
      <w:r w:rsidR="00B8108E">
        <w:rPr>
          <w:rFonts w:ascii="Times New Roman" w:hAnsi="Times New Roman"/>
          <w:iCs/>
          <w:sz w:val="24"/>
          <w:szCs w:val="24"/>
        </w:rPr>
        <w:t>,</w:t>
      </w:r>
      <w:r w:rsidRPr="00C10D10">
        <w:rPr>
          <w:rFonts w:ascii="Times New Roman" w:hAnsi="Times New Roman"/>
          <w:iCs/>
          <w:sz w:val="24"/>
          <w:szCs w:val="24"/>
        </w:rPr>
        <w:t xml:space="preserve"> may be discharged when a nuclear </w:t>
      </w:r>
      <w:r w:rsidR="00D83165">
        <w:rPr>
          <w:rFonts w:ascii="Times New Roman" w:hAnsi="Times New Roman"/>
          <w:iCs/>
          <w:sz w:val="24"/>
          <w:szCs w:val="24"/>
        </w:rPr>
        <w:t>installation [is dismantled</w:t>
      </w:r>
      <w:r w:rsidRPr="00C10D10">
        <w:rPr>
          <w:rFonts w:ascii="Times New Roman" w:hAnsi="Times New Roman"/>
          <w:iCs/>
          <w:sz w:val="24"/>
          <w:szCs w:val="24"/>
        </w:rPr>
        <w:t xml:space="preserve">; </w:t>
      </w:r>
    </w:p>
    <w:p w:rsidR="00D80FDB" w:rsidRPr="00C10D10" w:rsidRDefault="00D80FDB" w:rsidP="0091132F">
      <w:pPr>
        <w:numPr>
          <w:ilvl w:val="1"/>
          <w:numId w:val="15"/>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The need for a survey of these additional radionuclides in the environment to determine pre-existing levels;</w:t>
      </w:r>
    </w:p>
    <w:p w:rsidR="00D80FDB" w:rsidRPr="00C10D10" w:rsidRDefault="00D80FDB" w:rsidP="0091132F">
      <w:pPr>
        <w:numPr>
          <w:ilvl w:val="1"/>
          <w:numId w:val="15"/>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 xml:space="preserve">The possibility that any contamination on </w:t>
      </w:r>
      <w:r w:rsidR="00B8108E">
        <w:rPr>
          <w:rFonts w:ascii="Times New Roman" w:hAnsi="Times New Roman"/>
          <w:iCs/>
          <w:sz w:val="24"/>
          <w:szCs w:val="24"/>
        </w:rPr>
        <w:t xml:space="preserve">the </w:t>
      </w:r>
      <w:r w:rsidRPr="00C10D10">
        <w:rPr>
          <w:rFonts w:ascii="Times New Roman" w:hAnsi="Times New Roman"/>
          <w:iCs/>
          <w:sz w:val="24"/>
          <w:szCs w:val="24"/>
        </w:rPr>
        <w:t xml:space="preserve">site that resulted from incidents during operation may affect the discharges during </w:t>
      </w:r>
      <w:r w:rsidR="00A216CA">
        <w:rPr>
          <w:rFonts w:ascii="Times New Roman" w:hAnsi="Times New Roman"/>
          <w:iCs/>
          <w:sz w:val="24"/>
          <w:szCs w:val="24"/>
        </w:rPr>
        <w:t>decommissioning</w:t>
      </w:r>
      <w:r w:rsidRPr="00C10D10">
        <w:rPr>
          <w:rFonts w:ascii="Times New Roman" w:hAnsi="Times New Roman"/>
          <w:iCs/>
          <w:sz w:val="24"/>
          <w:szCs w:val="24"/>
        </w:rPr>
        <w:t>;</w:t>
      </w:r>
    </w:p>
    <w:p w:rsidR="00D80FDB" w:rsidRPr="00C10D10" w:rsidRDefault="00D80FDB" w:rsidP="0091132F">
      <w:pPr>
        <w:numPr>
          <w:ilvl w:val="1"/>
          <w:numId w:val="15"/>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 xml:space="preserve">The need to revise the radiological environmental impact assessment, </w:t>
      </w:r>
      <w:r w:rsidR="00CD00DE">
        <w:rPr>
          <w:rFonts w:ascii="Times New Roman" w:hAnsi="Times New Roman"/>
          <w:iCs/>
          <w:sz w:val="24"/>
          <w:szCs w:val="24"/>
        </w:rPr>
        <w:t xml:space="preserve">prior to </w:t>
      </w:r>
      <w:r w:rsidRPr="00C10D10">
        <w:rPr>
          <w:rFonts w:ascii="Times New Roman" w:hAnsi="Times New Roman"/>
          <w:iCs/>
          <w:sz w:val="24"/>
          <w:szCs w:val="24"/>
        </w:rPr>
        <w:t>dismantling</w:t>
      </w:r>
      <w:r w:rsidR="00CD00DE">
        <w:rPr>
          <w:rFonts w:ascii="Times New Roman" w:hAnsi="Times New Roman"/>
          <w:iCs/>
          <w:sz w:val="24"/>
          <w:szCs w:val="24"/>
        </w:rPr>
        <w:t xml:space="preserve"> of the facility</w:t>
      </w:r>
      <w:r w:rsidRPr="00C10D10">
        <w:rPr>
          <w:rFonts w:ascii="Times New Roman" w:hAnsi="Times New Roman"/>
          <w:iCs/>
          <w:sz w:val="24"/>
          <w:szCs w:val="24"/>
        </w:rPr>
        <w:t xml:space="preserve">, in particular, to determine if new exposure pathways </w:t>
      </w:r>
      <w:r w:rsidR="00CD00DE">
        <w:rPr>
          <w:rFonts w:ascii="Times New Roman" w:hAnsi="Times New Roman"/>
          <w:iCs/>
          <w:sz w:val="24"/>
          <w:szCs w:val="24"/>
        </w:rPr>
        <w:t>need to be included</w:t>
      </w:r>
      <w:r w:rsidRPr="00C10D10">
        <w:rPr>
          <w:rFonts w:ascii="Times New Roman" w:hAnsi="Times New Roman"/>
          <w:iCs/>
          <w:sz w:val="24"/>
          <w:szCs w:val="24"/>
        </w:rPr>
        <w:t>;</w:t>
      </w:r>
    </w:p>
    <w:p w:rsidR="00D80FDB" w:rsidRPr="00C10D10" w:rsidRDefault="00D80FDB" w:rsidP="0091132F">
      <w:pPr>
        <w:numPr>
          <w:ilvl w:val="1"/>
          <w:numId w:val="15"/>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lastRenderedPageBreak/>
        <w:t xml:space="preserve">The need to revise the </w:t>
      </w:r>
      <w:r w:rsidR="00F73CB8">
        <w:rPr>
          <w:rFonts w:ascii="Times New Roman" w:hAnsi="Times New Roman"/>
          <w:iCs/>
          <w:sz w:val="24"/>
          <w:szCs w:val="24"/>
        </w:rPr>
        <w:t>authorization for discharges</w:t>
      </w:r>
      <w:r w:rsidRPr="00C10D10">
        <w:rPr>
          <w:rFonts w:ascii="Times New Roman" w:hAnsi="Times New Roman"/>
          <w:iCs/>
          <w:sz w:val="24"/>
          <w:szCs w:val="24"/>
        </w:rPr>
        <w:t xml:space="preserve">, including any conditions relating to the source </w:t>
      </w:r>
      <w:r w:rsidR="00B8108E" w:rsidRPr="00C10D10">
        <w:rPr>
          <w:rFonts w:ascii="Times New Roman" w:hAnsi="Times New Roman"/>
          <w:iCs/>
          <w:sz w:val="24"/>
          <w:szCs w:val="24"/>
        </w:rPr>
        <w:t xml:space="preserve">monitoring </w:t>
      </w:r>
      <w:r w:rsidRPr="00C10D10">
        <w:rPr>
          <w:rFonts w:ascii="Times New Roman" w:hAnsi="Times New Roman"/>
          <w:iCs/>
          <w:sz w:val="24"/>
          <w:szCs w:val="24"/>
        </w:rPr>
        <w:t xml:space="preserve">and environmental monitoring programmes to take account of any differences identified. The monitoring programmes should be </w:t>
      </w:r>
      <w:r w:rsidR="00B8108E">
        <w:rPr>
          <w:rFonts w:ascii="Times New Roman" w:hAnsi="Times New Roman"/>
          <w:iCs/>
          <w:sz w:val="24"/>
          <w:szCs w:val="24"/>
        </w:rPr>
        <w:t xml:space="preserve">sufficiently </w:t>
      </w:r>
      <w:r w:rsidRPr="00C10D10">
        <w:rPr>
          <w:rFonts w:ascii="Times New Roman" w:hAnsi="Times New Roman"/>
          <w:iCs/>
          <w:sz w:val="24"/>
          <w:szCs w:val="24"/>
        </w:rPr>
        <w:t>robust to detect abnormal or unauthorized discharges;</w:t>
      </w:r>
    </w:p>
    <w:p w:rsidR="00D80FDB" w:rsidRPr="00C10D10" w:rsidRDefault="00D80FDB" w:rsidP="0091132F">
      <w:pPr>
        <w:numPr>
          <w:ilvl w:val="1"/>
          <w:numId w:val="15"/>
        </w:numPr>
        <w:autoSpaceDE w:val="0"/>
        <w:autoSpaceDN w:val="0"/>
        <w:adjustRightInd w:val="0"/>
        <w:spacing w:before="120" w:line="360" w:lineRule="auto"/>
        <w:ind w:left="567" w:hanging="567"/>
        <w:jc w:val="both"/>
        <w:rPr>
          <w:rFonts w:ascii="Times New Roman" w:hAnsi="Times New Roman"/>
          <w:iCs/>
          <w:sz w:val="24"/>
          <w:szCs w:val="24"/>
        </w:rPr>
      </w:pPr>
      <w:r w:rsidRPr="00C10D10">
        <w:rPr>
          <w:rFonts w:ascii="Times New Roman" w:hAnsi="Times New Roman"/>
          <w:iCs/>
          <w:sz w:val="24"/>
          <w:szCs w:val="24"/>
        </w:rPr>
        <w:t>The need for more frequent inspections by the regulatory body, particularly while radioactive liquids remain in the facility.</w:t>
      </w:r>
    </w:p>
    <w:p w:rsidR="00024A78" w:rsidRPr="00C10D10" w:rsidRDefault="00D80FDB" w:rsidP="0091132F">
      <w:pPr>
        <w:pStyle w:val="ListParagraph"/>
        <w:numPr>
          <w:ilvl w:val="0"/>
          <w:numId w:val="13"/>
        </w:numPr>
        <w:autoSpaceDE w:val="0"/>
        <w:autoSpaceDN w:val="0"/>
        <w:adjustRightInd w:val="0"/>
        <w:spacing w:before="120"/>
        <w:contextualSpacing w:val="0"/>
        <w:jc w:val="both"/>
        <w:rPr>
          <w:szCs w:val="24"/>
        </w:rPr>
      </w:pPr>
      <w:r w:rsidRPr="00C10D10">
        <w:rPr>
          <w:iCs/>
          <w:szCs w:val="24"/>
        </w:rPr>
        <w:t xml:space="preserve">Dismantling of nuclear </w:t>
      </w:r>
      <w:r w:rsidR="00D83165">
        <w:rPr>
          <w:iCs/>
          <w:szCs w:val="24"/>
        </w:rPr>
        <w:t xml:space="preserve">installations </w:t>
      </w:r>
      <w:r w:rsidRPr="00C10D10">
        <w:rPr>
          <w:iCs/>
          <w:szCs w:val="24"/>
        </w:rPr>
        <w:t>usually takes place progressively over several years</w:t>
      </w:r>
      <w:r w:rsidR="0005243C" w:rsidRPr="00C10D10">
        <w:rPr>
          <w:iCs/>
          <w:szCs w:val="24"/>
        </w:rPr>
        <w:t xml:space="preserve"> and is usually divided into different </w:t>
      </w:r>
      <w:r w:rsidR="00B8108E">
        <w:rPr>
          <w:iCs/>
          <w:szCs w:val="24"/>
        </w:rPr>
        <w:t>st</w:t>
      </w:r>
      <w:r w:rsidR="005143E8">
        <w:rPr>
          <w:iCs/>
          <w:szCs w:val="24"/>
        </w:rPr>
        <w:t>ages</w:t>
      </w:r>
      <w:r w:rsidRPr="00C10D10">
        <w:rPr>
          <w:iCs/>
          <w:szCs w:val="24"/>
        </w:rPr>
        <w:t>.</w:t>
      </w:r>
      <w:r w:rsidR="0005243C" w:rsidRPr="00C10D10">
        <w:rPr>
          <w:iCs/>
          <w:szCs w:val="24"/>
        </w:rPr>
        <w:t xml:space="preserve"> Discharges of effluents containing radionuclides typically vary through these </w:t>
      </w:r>
      <w:r w:rsidR="00293FAD">
        <w:rPr>
          <w:iCs/>
          <w:szCs w:val="24"/>
        </w:rPr>
        <w:t xml:space="preserve">steps </w:t>
      </w:r>
      <w:r w:rsidR="0005243C" w:rsidRPr="00C10D10">
        <w:rPr>
          <w:iCs/>
          <w:szCs w:val="24"/>
        </w:rPr>
        <w:t>and the regulatory control should be applied on a case by case basis.</w:t>
      </w:r>
      <w:r w:rsidRPr="00C10D10">
        <w:rPr>
          <w:iCs/>
          <w:szCs w:val="24"/>
        </w:rPr>
        <w:t xml:space="preserve"> Protection and safety should be optimized at each step</w:t>
      </w:r>
      <w:r w:rsidR="005143E8">
        <w:rPr>
          <w:iCs/>
          <w:szCs w:val="24"/>
        </w:rPr>
        <w:t xml:space="preserve"> in the decommissioning process</w:t>
      </w:r>
      <w:r w:rsidRPr="00C10D10">
        <w:rPr>
          <w:iCs/>
          <w:szCs w:val="24"/>
        </w:rPr>
        <w:t>, with account being taken of the experience gained in the previous step</w:t>
      </w:r>
      <w:r w:rsidR="0005243C" w:rsidRPr="00C10D10">
        <w:rPr>
          <w:iCs/>
          <w:szCs w:val="24"/>
        </w:rPr>
        <w:t>s</w:t>
      </w:r>
      <w:r w:rsidRPr="00C10D10">
        <w:rPr>
          <w:iCs/>
          <w:szCs w:val="24"/>
        </w:rPr>
        <w:t>. Because unexpected difficult</w:t>
      </w:r>
      <w:r w:rsidR="00B8108E">
        <w:rPr>
          <w:iCs/>
          <w:szCs w:val="24"/>
        </w:rPr>
        <w:t>ies</w:t>
      </w:r>
      <w:r w:rsidRPr="00C10D10">
        <w:rPr>
          <w:iCs/>
          <w:szCs w:val="24"/>
        </w:rPr>
        <w:t xml:space="preserve"> </w:t>
      </w:r>
      <w:r w:rsidR="005143E8">
        <w:rPr>
          <w:iCs/>
          <w:szCs w:val="24"/>
        </w:rPr>
        <w:t xml:space="preserve">and changing conditions </w:t>
      </w:r>
      <w:r w:rsidRPr="00C10D10">
        <w:rPr>
          <w:iCs/>
          <w:szCs w:val="24"/>
        </w:rPr>
        <w:t xml:space="preserve">may arise during each step, </w:t>
      </w:r>
      <w:r w:rsidR="00B8108E">
        <w:rPr>
          <w:iCs/>
          <w:szCs w:val="24"/>
        </w:rPr>
        <w:t xml:space="preserve">the </w:t>
      </w:r>
      <w:r w:rsidRPr="00C10D10">
        <w:rPr>
          <w:iCs/>
          <w:szCs w:val="24"/>
        </w:rPr>
        <w:t xml:space="preserve">regulatory control of discharges should </w:t>
      </w:r>
      <w:r w:rsidR="00651837">
        <w:rPr>
          <w:iCs/>
          <w:szCs w:val="24"/>
        </w:rPr>
        <w:t xml:space="preserve">reflect </w:t>
      </w:r>
      <w:r w:rsidR="00EF529F" w:rsidRPr="00C10D10">
        <w:rPr>
          <w:iCs/>
          <w:szCs w:val="24"/>
        </w:rPr>
        <w:t xml:space="preserve">the conditions in </w:t>
      </w:r>
      <w:r w:rsidRPr="00C10D10">
        <w:rPr>
          <w:iCs/>
          <w:szCs w:val="24"/>
        </w:rPr>
        <w:t>each step.</w:t>
      </w:r>
    </w:p>
    <w:p w:rsidR="00D80FDB" w:rsidRPr="00C10D10" w:rsidRDefault="002F6637" w:rsidP="00BC171D">
      <w:pPr>
        <w:pStyle w:val="Heading1"/>
        <w:spacing w:before="120" w:after="0" w:line="360" w:lineRule="auto"/>
        <w:ind w:left="0" w:firstLine="0"/>
        <w:rPr>
          <w:kern w:val="0"/>
          <w:lang w:val="en-GB"/>
        </w:rPr>
      </w:pPr>
      <w:bookmarkStart w:id="56" w:name="_Toc452966960"/>
      <w:r w:rsidRPr="00C10D10">
        <w:rPr>
          <w:kern w:val="0"/>
          <w:lang w:val="en-GB"/>
        </w:rPr>
        <w:t>PREVIOUSLY UNREGULATED PRACTICES</w:t>
      </w:r>
      <w:bookmarkEnd w:id="56"/>
    </w:p>
    <w:p w:rsidR="00024A78" w:rsidRPr="00C10D10" w:rsidRDefault="00D80FDB" w:rsidP="0091132F">
      <w:pPr>
        <w:pStyle w:val="ListParagraph"/>
        <w:numPr>
          <w:ilvl w:val="0"/>
          <w:numId w:val="16"/>
        </w:numPr>
        <w:autoSpaceDE w:val="0"/>
        <w:autoSpaceDN w:val="0"/>
        <w:adjustRightInd w:val="0"/>
        <w:spacing w:before="120"/>
        <w:contextualSpacing w:val="0"/>
        <w:jc w:val="both"/>
        <w:rPr>
          <w:szCs w:val="24"/>
        </w:rPr>
      </w:pPr>
      <w:r w:rsidRPr="00C10D10">
        <w:rPr>
          <w:iCs/>
          <w:szCs w:val="24"/>
        </w:rPr>
        <w:t xml:space="preserve">The regulatory body may identify existing practices or sources that already </w:t>
      </w:r>
      <w:r w:rsidR="00150AA6">
        <w:rPr>
          <w:iCs/>
          <w:szCs w:val="24"/>
        </w:rPr>
        <w:t>discharge</w:t>
      </w:r>
      <w:r w:rsidRPr="00C10D10">
        <w:rPr>
          <w:iCs/>
          <w:szCs w:val="24"/>
        </w:rPr>
        <w:t xml:space="preserve"> radionuclides to the environment but not under an authorization</w:t>
      </w:r>
      <w:r w:rsidR="00B175A8" w:rsidRPr="00C10D10">
        <w:rPr>
          <w:iCs/>
          <w:szCs w:val="24"/>
        </w:rPr>
        <w:t xml:space="preserve"> as described in this Safety Guide or </w:t>
      </w:r>
      <w:r w:rsidR="008F6528">
        <w:rPr>
          <w:iCs/>
          <w:szCs w:val="24"/>
        </w:rPr>
        <w:t xml:space="preserve">under </w:t>
      </w:r>
      <w:r w:rsidR="00B175A8" w:rsidRPr="00C10D10">
        <w:rPr>
          <w:iCs/>
          <w:szCs w:val="24"/>
        </w:rPr>
        <w:t>less stringent regulations with respect to the control of public exposure</w:t>
      </w:r>
      <w:r w:rsidRPr="00C10D10">
        <w:rPr>
          <w:iCs/>
          <w:szCs w:val="24"/>
        </w:rPr>
        <w:t xml:space="preserve">. This may be the case </w:t>
      </w:r>
      <w:r w:rsidR="00D72E55">
        <w:rPr>
          <w:iCs/>
          <w:szCs w:val="24"/>
        </w:rPr>
        <w:t>for</w:t>
      </w:r>
      <w:r w:rsidR="00D72E55" w:rsidRPr="00C10D10">
        <w:rPr>
          <w:iCs/>
          <w:szCs w:val="24"/>
        </w:rPr>
        <w:t xml:space="preserve"> </w:t>
      </w:r>
      <w:r w:rsidR="00B2595F" w:rsidRPr="00C10D10">
        <w:rPr>
          <w:iCs/>
          <w:szCs w:val="24"/>
        </w:rPr>
        <w:t xml:space="preserve">some </w:t>
      </w:r>
      <w:r w:rsidRPr="00C10D10">
        <w:rPr>
          <w:iCs/>
          <w:szCs w:val="24"/>
        </w:rPr>
        <w:t>facilities</w:t>
      </w:r>
      <w:r w:rsidR="00F1229F" w:rsidRPr="00C10D10">
        <w:rPr>
          <w:iCs/>
          <w:szCs w:val="24"/>
        </w:rPr>
        <w:t xml:space="preserve"> </w:t>
      </w:r>
      <w:r w:rsidR="008F6528">
        <w:rPr>
          <w:iCs/>
          <w:szCs w:val="24"/>
        </w:rPr>
        <w:t xml:space="preserve">and activities </w:t>
      </w:r>
      <w:r w:rsidRPr="00C10D10">
        <w:rPr>
          <w:iCs/>
          <w:szCs w:val="24"/>
        </w:rPr>
        <w:t xml:space="preserve">that are operating prior to the development and full application of </w:t>
      </w:r>
      <w:r w:rsidR="00D72E55">
        <w:rPr>
          <w:iCs/>
          <w:szCs w:val="24"/>
        </w:rPr>
        <w:t xml:space="preserve">the national </w:t>
      </w:r>
      <w:r w:rsidRPr="00C10D10">
        <w:rPr>
          <w:iCs/>
          <w:szCs w:val="24"/>
        </w:rPr>
        <w:t xml:space="preserve">regulatory </w:t>
      </w:r>
      <w:r w:rsidR="008775DE">
        <w:rPr>
          <w:iCs/>
          <w:szCs w:val="24"/>
        </w:rPr>
        <w:t>infrastructure</w:t>
      </w:r>
      <w:r w:rsidR="005143E8">
        <w:rPr>
          <w:iCs/>
          <w:szCs w:val="24"/>
        </w:rPr>
        <w:t xml:space="preserve"> </w:t>
      </w:r>
      <w:r w:rsidR="00293FAD">
        <w:rPr>
          <w:iCs/>
          <w:szCs w:val="24"/>
        </w:rPr>
        <w:t xml:space="preserve">that meets the requirements </w:t>
      </w:r>
      <w:r w:rsidR="004578DF">
        <w:rPr>
          <w:iCs/>
          <w:szCs w:val="24"/>
        </w:rPr>
        <w:t>of IAEA</w:t>
      </w:r>
      <w:r w:rsidR="005143E8">
        <w:rPr>
          <w:iCs/>
          <w:szCs w:val="24"/>
        </w:rPr>
        <w:t xml:space="preserve"> </w:t>
      </w:r>
      <w:r w:rsidR="00293FAD">
        <w:rPr>
          <w:iCs/>
          <w:szCs w:val="24"/>
        </w:rPr>
        <w:t>s</w:t>
      </w:r>
      <w:r w:rsidR="005143E8">
        <w:rPr>
          <w:iCs/>
          <w:szCs w:val="24"/>
        </w:rPr>
        <w:t xml:space="preserve">afety </w:t>
      </w:r>
      <w:r w:rsidR="00293FAD">
        <w:rPr>
          <w:iCs/>
          <w:szCs w:val="24"/>
        </w:rPr>
        <w:t>s</w:t>
      </w:r>
      <w:r w:rsidR="005143E8">
        <w:rPr>
          <w:iCs/>
          <w:szCs w:val="24"/>
        </w:rPr>
        <w:t>tandards</w:t>
      </w:r>
      <w:r w:rsidR="00293FAD">
        <w:rPr>
          <w:iCs/>
          <w:szCs w:val="24"/>
        </w:rPr>
        <w:t xml:space="preserve"> [</w:t>
      </w:r>
      <w:r w:rsidR="004578DF">
        <w:rPr>
          <w:iCs/>
          <w:szCs w:val="24"/>
        </w:rPr>
        <w:t>18</w:t>
      </w:r>
      <w:r w:rsidR="00293FAD">
        <w:rPr>
          <w:iCs/>
          <w:szCs w:val="24"/>
        </w:rPr>
        <w:t>]</w:t>
      </w:r>
      <w:r w:rsidRPr="00C10D10">
        <w:rPr>
          <w:iCs/>
          <w:szCs w:val="24"/>
        </w:rPr>
        <w:t>.</w:t>
      </w:r>
    </w:p>
    <w:p w:rsidR="00024A78" w:rsidRPr="00C10D10" w:rsidRDefault="00D80FDB" w:rsidP="0091132F">
      <w:pPr>
        <w:pStyle w:val="ListParagraph"/>
        <w:numPr>
          <w:ilvl w:val="0"/>
          <w:numId w:val="16"/>
        </w:numPr>
        <w:autoSpaceDE w:val="0"/>
        <w:autoSpaceDN w:val="0"/>
        <w:adjustRightInd w:val="0"/>
        <w:spacing w:before="120"/>
        <w:contextualSpacing w:val="0"/>
        <w:jc w:val="both"/>
        <w:rPr>
          <w:szCs w:val="24"/>
        </w:rPr>
      </w:pPr>
      <w:r w:rsidRPr="00C10D10">
        <w:rPr>
          <w:iCs/>
          <w:szCs w:val="24"/>
        </w:rPr>
        <w:t xml:space="preserve">The regulatory body should, first, establish whether the </w:t>
      </w:r>
      <w:r w:rsidR="000855BF">
        <w:rPr>
          <w:iCs/>
          <w:szCs w:val="24"/>
        </w:rPr>
        <w:t xml:space="preserve">exposure due to the </w:t>
      </w:r>
      <w:r w:rsidRPr="00C10D10">
        <w:rPr>
          <w:iCs/>
          <w:szCs w:val="24"/>
        </w:rPr>
        <w:t xml:space="preserve">practice or source </w:t>
      </w:r>
      <w:r w:rsidR="00BE061B">
        <w:rPr>
          <w:iCs/>
          <w:szCs w:val="24"/>
        </w:rPr>
        <w:t xml:space="preserve">may </w:t>
      </w:r>
      <w:r w:rsidRPr="00C10D10">
        <w:rPr>
          <w:iCs/>
          <w:szCs w:val="24"/>
        </w:rPr>
        <w:t xml:space="preserve">fall within the scope of regulatory control (i.e. </w:t>
      </w:r>
      <w:r w:rsidR="00EC0321">
        <w:rPr>
          <w:iCs/>
          <w:szCs w:val="24"/>
        </w:rPr>
        <w:t>whether or</w:t>
      </w:r>
      <w:r w:rsidRPr="00C10D10">
        <w:rPr>
          <w:iCs/>
          <w:szCs w:val="24"/>
        </w:rPr>
        <w:t xml:space="preserve"> not</w:t>
      </w:r>
      <w:r w:rsidR="00EC0321">
        <w:rPr>
          <w:iCs/>
          <w:szCs w:val="24"/>
        </w:rPr>
        <w:t xml:space="preserve"> it is</w:t>
      </w:r>
      <w:r w:rsidRPr="00C10D10">
        <w:rPr>
          <w:iCs/>
          <w:szCs w:val="24"/>
        </w:rPr>
        <w:t xml:space="preserve"> excluded</w:t>
      </w:r>
      <w:r w:rsidR="00080C1B" w:rsidRPr="00C10D10">
        <w:rPr>
          <w:iCs/>
          <w:szCs w:val="24"/>
        </w:rPr>
        <w:t xml:space="preserve"> from the application of safety standards</w:t>
      </w:r>
      <w:r w:rsidRPr="00C10D10">
        <w:rPr>
          <w:iCs/>
          <w:szCs w:val="24"/>
        </w:rPr>
        <w:t xml:space="preserve">). If </w:t>
      </w:r>
      <w:r w:rsidR="000855BF">
        <w:rPr>
          <w:iCs/>
          <w:szCs w:val="24"/>
        </w:rPr>
        <w:t>the exposure is not excluded</w:t>
      </w:r>
      <w:r w:rsidRPr="00C10D10">
        <w:rPr>
          <w:iCs/>
          <w:szCs w:val="24"/>
        </w:rPr>
        <w:t xml:space="preserve">, the regulatory body should determine whether the provisions for exemption </w:t>
      </w:r>
      <w:r w:rsidR="000855BF">
        <w:rPr>
          <w:iCs/>
          <w:szCs w:val="24"/>
        </w:rPr>
        <w:t xml:space="preserve">of the practice </w:t>
      </w:r>
      <w:r w:rsidRPr="00C10D10">
        <w:rPr>
          <w:iCs/>
          <w:szCs w:val="24"/>
        </w:rPr>
        <w:t>can be applied.</w:t>
      </w:r>
      <w:r w:rsidR="00024A78" w:rsidRPr="00C10D10">
        <w:rPr>
          <w:szCs w:val="24"/>
        </w:rPr>
        <w:t xml:space="preserve"> </w:t>
      </w:r>
    </w:p>
    <w:p w:rsidR="00F1229F" w:rsidRPr="00C10D10" w:rsidRDefault="00D80FDB" w:rsidP="0091132F">
      <w:pPr>
        <w:pStyle w:val="ListParagraph"/>
        <w:numPr>
          <w:ilvl w:val="0"/>
          <w:numId w:val="16"/>
        </w:numPr>
        <w:autoSpaceDE w:val="0"/>
        <w:autoSpaceDN w:val="0"/>
        <w:adjustRightInd w:val="0"/>
        <w:spacing w:before="120"/>
        <w:contextualSpacing w:val="0"/>
        <w:jc w:val="both"/>
        <w:rPr>
          <w:szCs w:val="24"/>
        </w:rPr>
      </w:pPr>
      <w:r w:rsidRPr="00C10D10">
        <w:rPr>
          <w:iCs/>
          <w:szCs w:val="24"/>
        </w:rPr>
        <w:t xml:space="preserve">If authorization </w:t>
      </w:r>
      <w:r w:rsidR="00D72E55">
        <w:rPr>
          <w:iCs/>
          <w:szCs w:val="24"/>
        </w:rPr>
        <w:t>for</w:t>
      </w:r>
      <w:r w:rsidRPr="00C10D10">
        <w:rPr>
          <w:iCs/>
          <w:szCs w:val="24"/>
        </w:rPr>
        <w:t xml:space="preserve"> discharge</w:t>
      </w:r>
      <w:r w:rsidR="00D72E55">
        <w:rPr>
          <w:iCs/>
          <w:szCs w:val="24"/>
        </w:rPr>
        <w:t>s</w:t>
      </w:r>
      <w:r w:rsidRPr="00C10D10">
        <w:rPr>
          <w:iCs/>
          <w:szCs w:val="24"/>
        </w:rPr>
        <w:t xml:space="preserve"> is </w:t>
      </w:r>
      <w:r w:rsidR="00D72E55">
        <w:rPr>
          <w:iCs/>
          <w:szCs w:val="24"/>
        </w:rPr>
        <w:t>necessary</w:t>
      </w:r>
      <w:r w:rsidRPr="00C10D10">
        <w:rPr>
          <w:iCs/>
          <w:szCs w:val="24"/>
        </w:rPr>
        <w:t xml:space="preserve">, </w:t>
      </w:r>
      <w:r w:rsidR="00D72E55">
        <w:rPr>
          <w:iCs/>
          <w:szCs w:val="24"/>
        </w:rPr>
        <w:t>as for</w:t>
      </w:r>
      <w:r w:rsidR="00080C1B" w:rsidRPr="00C10D10">
        <w:rPr>
          <w:iCs/>
          <w:szCs w:val="24"/>
        </w:rPr>
        <w:t xml:space="preserve"> a new practice, </w:t>
      </w:r>
      <w:r w:rsidRPr="00C10D10">
        <w:rPr>
          <w:iCs/>
          <w:szCs w:val="24"/>
        </w:rPr>
        <w:t xml:space="preserve">discharges should be adequately characterized, exposure pathways </w:t>
      </w:r>
      <w:r w:rsidR="00D72E55">
        <w:rPr>
          <w:iCs/>
          <w:szCs w:val="24"/>
        </w:rPr>
        <w:t xml:space="preserve">should be </w:t>
      </w:r>
      <w:r w:rsidRPr="00C10D10">
        <w:rPr>
          <w:iCs/>
          <w:szCs w:val="24"/>
        </w:rPr>
        <w:t xml:space="preserve">identified and </w:t>
      </w:r>
      <w:r w:rsidR="00D72E55">
        <w:rPr>
          <w:iCs/>
          <w:szCs w:val="24"/>
        </w:rPr>
        <w:t xml:space="preserve">a </w:t>
      </w:r>
      <w:r w:rsidR="004578DF">
        <w:rPr>
          <w:iCs/>
          <w:szCs w:val="24"/>
        </w:rPr>
        <w:t xml:space="preserve">prospective </w:t>
      </w:r>
      <w:r w:rsidRPr="00C10D10">
        <w:rPr>
          <w:iCs/>
          <w:szCs w:val="24"/>
        </w:rPr>
        <w:t xml:space="preserve">radiological environmental impact assessment </w:t>
      </w:r>
      <w:r w:rsidR="00D72E55">
        <w:rPr>
          <w:iCs/>
          <w:szCs w:val="24"/>
        </w:rPr>
        <w:t xml:space="preserve">should be </w:t>
      </w:r>
      <w:r w:rsidRPr="00C10D10">
        <w:rPr>
          <w:iCs/>
          <w:szCs w:val="24"/>
        </w:rPr>
        <w:t>carried out</w:t>
      </w:r>
      <w:r w:rsidR="00F1229F" w:rsidRPr="00C10D10">
        <w:rPr>
          <w:iCs/>
          <w:szCs w:val="24"/>
        </w:rPr>
        <w:t xml:space="preserve"> [</w:t>
      </w:r>
      <w:r w:rsidR="00EC0321">
        <w:rPr>
          <w:iCs/>
          <w:szCs w:val="24"/>
        </w:rPr>
        <w:t>7</w:t>
      </w:r>
      <w:r w:rsidR="00F1229F" w:rsidRPr="00C10D10">
        <w:rPr>
          <w:iCs/>
          <w:szCs w:val="24"/>
        </w:rPr>
        <w:t>]</w:t>
      </w:r>
      <w:r w:rsidR="00F055F5">
        <w:rPr>
          <w:iCs/>
          <w:szCs w:val="24"/>
        </w:rPr>
        <w:t>,</w:t>
      </w:r>
      <w:r w:rsidR="00F1229F" w:rsidRPr="00C10D10">
        <w:rPr>
          <w:iCs/>
          <w:szCs w:val="24"/>
        </w:rPr>
        <w:t xml:space="preserve"> and a</w:t>
      </w:r>
      <w:r w:rsidR="00A524C6">
        <w:rPr>
          <w:iCs/>
          <w:szCs w:val="24"/>
        </w:rPr>
        <w:t xml:space="preserve"> </w:t>
      </w:r>
      <w:r w:rsidR="00F1229F" w:rsidRPr="00C10D10">
        <w:rPr>
          <w:iCs/>
          <w:szCs w:val="24"/>
        </w:rPr>
        <w:t xml:space="preserve">process </w:t>
      </w:r>
      <w:r w:rsidR="00A524C6">
        <w:rPr>
          <w:iCs/>
          <w:szCs w:val="24"/>
        </w:rPr>
        <w:t>for</w:t>
      </w:r>
      <w:r w:rsidR="00A524C6" w:rsidRPr="00C10D10">
        <w:rPr>
          <w:iCs/>
          <w:szCs w:val="24"/>
        </w:rPr>
        <w:t xml:space="preserve"> </w:t>
      </w:r>
      <w:r w:rsidR="00F1229F" w:rsidRPr="00C10D10">
        <w:rPr>
          <w:iCs/>
          <w:szCs w:val="24"/>
        </w:rPr>
        <w:t>defin</w:t>
      </w:r>
      <w:r w:rsidR="00A524C6">
        <w:rPr>
          <w:iCs/>
          <w:szCs w:val="24"/>
        </w:rPr>
        <w:t>ing</w:t>
      </w:r>
      <w:r w:rsidR="00F1229F" w:rsidRPr="00C10D10">
        <w:rPr>
          <w:iCs/>
          <w:szCs w:val="24"/>
        </w:rPr>
        <w:t xml:space="preserve"> discharge limits </w:t>
      </w:r>
      <w:r w:rsidR="00EC0321">
        <w:rPr>
          <w:iCs/>
          <w:szCs w:val="24"/>
        </w:rPr>
        <w:t>as part of</w:t>
      </w:r>
      <w:r w:rsidR="00A524C6">
        <w:rPr>
          <w:iCs/>
          <w:szCs w:val="24"/>
        </w:rPr>
        <w:t xml:space="preserve"> the authorization for discharges </w:t>
      </w:r>
      <w:r w:rsidR="00F1229F" w:rsidRPr="00C10D10">
        <w:rPr>
          <w:iCs/>
          <w:szCs w:val="24"/>
        </w:rPr>
        <w:t>should be conducted</w:t>
      </w:r>
      <w:r w:rsidRPr="00C10D10">
        <w:rPr>
          <w:iCs/>
          <w:szCs w:val="24"/>
        </w:rPr>
        <w:t>.</w:t>
      </w:r>
      <w:r w:rsidR="00C505DE">
        <w:rPr>
          <w:iCs/>
          <w:szCs w:val="24"/>
        </w:rPr>
        <w:t xml:space="preserve"> </w:t>
      </w:r>
    </w:p>
    <w:p w:rsidR="00024A78" w:rsidRPr="00A524C6" w:rsidRDefault="00D80FDB" w:rsidP="00A524C6">
      <w:pPr>
        <w:pStyle w:val="ListParagraph"/>
        <w:numPr>
          <w:ilvl w:val="0"/>
          <w:numId w:val="16"/>
        </w:numPr>
        <w:autoSpaceDE w:val="0"/>
        <w:autoSpaceDN w:val="0"/>
        <w:adjustRightInd w:val="0"/>
        <w:spacing w:before="120"/>
        <w:contextualSpacing w:val="0"/>
        <w:jc w:val="both"/>
        <w:rPr>
          <w:szCs w:val="24"/>
        </w:rPr>
      </w:pPr>
      <w:r w:rsidRPr="00C10D10">
        <w:rPr>
          <w:iCs/>
          <w:szCs w:val="24"/>
        </w:rPr>
        <w:t>The applicability of dose constraints to this</w:t>
      </w:r>
      <w:r w:rsidR="00080C1B" w:rsidRPr="00C10D10">
        <w:rPr>
          <w:iCs/>
          <w:szCs w:val="24"/>
        </w:rPr>
        <w:t xml:space="preserve"> previously unregulated</w:t>
      </w:r>
      <w:r w:rsidRPr="00C10D10">
        <w:rPr>
          <w:iCs/>
          <w:szCs w:val="24"/>
        </w:rPr>
        <w:t xml:space="preserve"> source should be established</w:t>
      </w:r>
      <w:r w:rsidR="00374556" w:rsidRPr="00C10D10">
        <w:rPr>
          <w:iCs/>
          <w:szCs w:val="24"/>
        </w:rPr>
        <w:t>.</w:t>
      </w:r>
      <w:r w:rsidRPr="00C10D10">
        <w:rPr>
          <w:iCs/>
          <w:szCs w:val="24"/>
        </w:rPr>
        <w:t xml:space="preserve"> </w:t>
      </w:r>
      <w:r w:rsidR="00374556" w:rsidRPr="00C10D10">
        <w:rPr>
          <w:iCs/>
          <w:szCs w:val="24"/>
        </w:rPr>
        <w:t>D</w:t>
      </w:r>
      <w:r w:rsidRPr="00C10D10">
        <w:rPr>
          <w:iCs/>
          <w:szCs w:val="24"/>
        </w:rPr>
        <w:t>ose constraints for new practices</w:t>
      </w:r>
      <w:r w:rsidR="00C505DE">
        <w:rPr>
          <w:iCs/>
          <w:szCs w:val="24"/>
        </w:rPr>
        <w:t xml:space="preserve"> </w:t>
      </w:r>
      <w:r w:rsidRPr="00C10D10">
        <w:rPr>
          <w:iCs/>
          <w:szCs w:val="24"/>
        </w:rPr>
        <w:t xml:space="preserve">should not be used </w:t>
      </w:r>
      <w:r w:rsidR="00BE061B">
        <w:rPr>
          <w:iCs/>
          <w:szCs w:val="24"/>
        </w:rPr>
        <w:t xml:space="preserve">without </w:t>
      </w:r>
      <w:r w:rsidR="00A524C6">
        <w:rPr>
          <w:iCs/>
          <w:szCs w:val="24"/>
        </w:rPr>
        <w:t xml:space="preserve">proper </w:t>
      </w:r>
      <w:r w:rsidR="00BE061B">
        <w:rPr>
          <w:iCs/>
          <w:szCs w:val="24"/>
        </w:rPr>
        <w:t xml:space="preserve">consideration </w:t>
      </w:r>
      <w:r w:rsidR="00150AA6">
        <w:rPr>
          <w:iCs/>
          <w:szCs w:val="24"/>
        </w:rPr>
        <w:t xml:space="preserve">for </w:t>
      </w:r>
      <w:r w:rsidR="00BE061B">
        <w:rPr>
          <w:iCs/>
          <w:szCs w:val="24"/>
        </w:rPr>
        <w:t xml:space="preserve">previously </w:t>
      </w:r>
      <w:r w:rsidR="00150AA6">
        <w:rPr>
          <w:iCs/>
          <w:szCs w:val="24"/>
        </w:rPr>
        <w:t xml:space="preserve">unregulated practices </w:t>
      </w:r>
      <w:r w:rsidRPr="00C10D10">
        <w:rPr>
          <w:iCs/>
          <w:szCs w:val="24"/>
        </w:rPr>
        <w:t>because</w:t>
      </w:r>
      <w:r w:rsidR="00F055F5">
        <w:rPr>
          <w:iCs/>
          <w:szCs w:val="24"/>
        </w:rPr>
        <w:t>,</w:t>
      </w:r>
      <w:r w:rsidRPr="00C10D10">
        <w:rPr>
          <w:iCs/>
          <w:szCs w:val="24"/>
        </w:rPr>
        <w:t xml:space="preserve"> </w:t>
      </w:r>
      <w:r w:rsidR="00150AA6">
        <w:rPr>
          <w:iCs/>
          <w:szCs w:val="24"/>
        </w:rPr>
        <w:t>in a strict sense</w:t>
      </w:r>
      <w:r w:rsidR="00F055F5">
        <w:rPr>
          <w:iCs/>
          <w:szCs w:val="24"/>
        </w:rPr>
        <w:t>,</w:t>
      </w:r>
      <w:r w:rsidR="00150AA6">
        <w:rPr>
          <w:iCs/>
          <w:szCs w:val="24"/>
        </w:rPr>
        <w:t xml:space="preserve"> </w:t>
      </w:r>
      <w:r w:rsidR="00A524C6">
        <w:rPr>
          <w:iCs/>
          <w:szCs w:val="24"/>
        </w:rPr>
        <w:t xml:space="preserve">dose constraints </w:t>
      </w:r>
      <w:r w:rsidR="00A524C6">
        <w:rPr>
          <w:iCs/>
          <w:szCs w:val="24"/>
        </w:rPr>
        <w:lastRenderedPageBreak/>
        <w:t>apply</w:t>
      </w:r>
      <w:r w:rsidR="00A524C6" w:rsidRPr="00C10D10">
        <w:rPr>
          <w:iCs/>
          <w:szCs w:val="24"/>
        </w:rPr>
        <w:t xml:space="preserve"> </w:t>
      </w:r>
      <w:r w:rsidRPr="00C10D10">
        <w:rPr>
          <w:iCs/>
          <w:szCs w:val="24"/>
        </w:rPr>
        <w:t xml:space="preserve">only </w:t>
      </w:r>
      <w:r w:rsidRPr="00A524C6">
        <w:rPr>
          <w:iCs/>
          <w:szCs w:val="24"/>
        </w:rPr>
        <w:t>prospectively</w:t>
      </w:r>
      <w:r w:rsidR="00374556" w:rsidRPr="00A524C6">
        <w:rPr>
          <w:iCs/>
          <w:szCs w:val="24"/>
        </w:rPr>
        <w:t>.</w:t>
      </w:r>
      <w:r w:rsidRPr="00A524C6">
        <w:rPr>
          <w:iCs/>
          <w:szCs w:val="24"/>
        </w:rPr>
        <w:t xml:space="preserve"> </w:t>
      </w:r>
      <w:r w:rsidR="00374556" w:rsidRPr="00A524C6">
        <w:rPr>
          <w:iCs/>
          <w:szCs w:val="24"/>
        </w:rPr>
        <w:t>However,</w:t>
      </w:r>
      <w:r w:rsidRPr="00A524C6">
        <w:rPr>
          <w:iCs/>
          <w:szCs w:val="24"/>
        </w:rPr>
        <w:t xml:space="preserve"> the regulatory </w:t>
      </w:r>
      <w:r w:rsidR="00374556" w:rsidRPr="00A524C6">
        <w:rPr>
          <w:iCs/>
          <w:szCs w:val="24"/>
        </w:rPr>
        <w:t>body</w:t>
      </w:r>
      <w:r w:rsidRPr="00A524C6">
        <w:rPr>
          <w:iCs/>
          <w:szCs w:val="24"/>
        </w:rPr>
        <w:t xml:space="preserve"> may choose </w:t>
      </w:r>
      <w:r w:rsidR="00A524C6">
        <w:rPr>
          <w:iCs/>
          <w:szCs w:val="24"/>
        </w:rPr>
        <w:t xml:space="preserve">also </w:t>
      </w:r>
      <w:r w:rsidRPr="00A524C6">
        <w:rPr>
          <w:iCs/>
          <w:szCs w:val="24"/>
        </w:rPr>
        <w:t xml:space="preserve">to establish dose constraints for future operation of </w:t>
      </w:r>
      <w:r w:rsidR="00BE061B" w:rsidRPr="00A524C6">
        <w:rPr>
          <w:iCs/>
          <w:szCs w:val="24"/>
        </w:rPr>
        <w:t xml:space="preserve">an </w:t>
      </w:r>
      <w:r w:rsidRPr="00A524C6">
        <w:rPr>
          <w:iCs/>
          <w:szCs w:val="24"/>
        </w:rPr>
        <w:t>existing practice</w:t>
      </w:r>
      <w:r w:rsidR="00024A78" w:rsidRPr="00A524C6">
        <w:rPr>
          <w:iCs/>
          <w:szCs w:val="24"/>
        </w:rPr>
        <w:t>.</w:t>
      </w:r>
      <w:r w:rsidR="00024A78" w:rsidRPr="00A524C6">
        <w:rPr>
          <w:szCs w:val="24"/>
        </w:rPr>
        <w:t xml:space="preserve"> </w:t>
      </w:r>
    </w:p>
    <w:p w:rsidR="00024A78" w:rsidRPr="00C10D10" w:rsidRDefault="00150AA6" w:rsidP="0091132F">
      <w:pPr>
        <w:pStyle w:val="ListParagraph"/>
        <w:numPr>
          <w:ilvl w:val="0"/>
          <w:numId w:val="16"/>
        </w:numPr>
        <w:autoSpaceDE w:val="0"/>
        <w:autoSpaceDN w:val="0"/>
        <w:adjustRightInd w:val="0"/>
        <w:spacing w:before="120"/>
        <w:contextualSpacing w:val="0"/>
        <w:jc w:val="both"/>
        <w:rPr>
          <w:szCs w:val="24"/>
        </w:rPr>
      </w:pPr>
      <w:r>
        <w:rPr>
          <w:iCs/>
          <w:szCs w:val="24"/>
        </w:rPr>
        <w:t>In any case, t</w:t>
      </w:r>
      <w:r w:rsidR="00D80FDB" w:rsidRPr="00C10D10">
        <w:rPr>
          <w:iCs/>
          <w:szCs w:val="24"/>
        </w:rPr>
        <w:t xml:space="preserve">he </w:t>
      </w:r>
      <w:r w:rsidR="005A3563" w:rsidRPr="00C10D10">
        <w:rPr>
          <w:iCs/>
          <w:szCs w:val="24"/>
        </w:rPr>
        <w:t>operating organization</w:t>
      </w:r>
      <w:r w:rsidR="00D80FDB" w:rsidRPr="00C10D10">
        <w:rPr>
          <w:iCs/>
          <w:szCs w:val="24"/>
        </w:rPr>
        <w:t xml:space="preserve"> should be required to demonstrate that the dose</w:t>
      </w:r>
      <w:r>
        <w:rPr>
          <w:iCs/>
          <w:szCs w:val="24"/>
        </w:rPr>
        <w:t xml:space="preserve"> in a year</w:t>
      </w:r>
      <w:r w:rsidR="00D80FDB" w:rsidRPr="00C10D10">
        <w:rPr>
          <w:iCs/>
          <w:szCs w:val="24"/>
        </w:rPr>
        <w:t xml:space="preserve"> to the representative person </w:t>
      </w:r>
      <w:r>
        <w:rPr>
          <w:iCs/>
          <w:szCs w:val="24"/>
        </w:rPr>
        <w:t xml:space="preserve">from all sources </w:t>
      </w:r>
      <w:r w:rsidR="00D80FDB" w:rsidRPr="00C10D10">
        <w:rPr>
          <w:iCs/>
          <w:szCs w:val="24"/>
        </w:rPr>
        <w:t xml:space="preserve">is below the effective dose limit of 1 </w:t>
      </w:r>
      <w:proofErr w:type="spellStart"/>
      <w:r w:rsidR="00D80FDB" w:rsidRPr="00C10D10">
        <w:rPr>
          <w:iCs/>
          <w:szCs w:val="24"/>
        </w:rPr>
        <w:t>mSv</w:t>
      </w:r>
      <w:proofErr w:type="spellEnd"/>
      <w:r w:rsidR="00D80FDB" w:rsidRPr="00C10D10">
        <w:rPr>
          <w:iCs/>
          <w:szCs w:val="24"/>
        </w:rPr>
        <w:t xml:space="preserve">. Furthermore, consideration should be given to whether protection and safety can be further optimized. </w:t>
      </w:r>
    </w:p>
    <w:p w:rsidR="00024A78" w:rsidRPr="00C10D10" w:rsidRDefault="00D80FDB" w:rsidP="0091132F">
      <w:pPr>
        <w:pStyle w:val="ListParagraph"/>
        <w:numPr>
          <w:ilvl w:val="0"/>
          <w:numId w:val="16"/>
        </w:numPr>
        <w:autoSpaceDE w:val="0"/>
        <w:autoSpaceDN w:val="0"/>
        <w:adjustRightInd w:val="0"/>
        <w:spacing w:before="120"/>
        <w:contextualSpacing w:val="0"/>
        <w:jc w:val="both"/>
        <w:rPr>
          <w:szCs w:val="24"/>
        </w:rPr>
      </w:pPr>
      <w:r w:rsidRPr="00C10D10">
        <w:rPr>
          <w:iCs/>
          <w:szCs w:val="24"/>
        </w:rPr>
        <w:t xml:space="preserve">Exceptionally, if the assessed annual dose is found to be greater than 1 </w:t>
      </w:r>
      <w:proofErr w:type="spellStart"/>
      <w:r w:rsidRPr="00C10D10">
        <w:rPr>
          <w:iCs/>
          <w:szCs w:val="24"/>
        </w:rPr>
        <w:t>mSv</w:t>
      </w:r>
      <w:proofErr w:type="spellEnd"/>
      <w:r w:rsidRPr="00C10D10">
        <w:rPr>
          <w:iCs/>
          <w:szCs w:val="24"/>
        </w:rPr>
        <w:t xml:space="preserve">, the regulatory body should consider setting authorized </w:t>
      </w:r>
      <w:r w:rsidR="00C777AB">
        <w:rPr>
          <w:iCs/>
          <w:szCs w:val="24"/>
        </w:rPr>
        <w:t xml:space="preserve">discharge </w:t>
      </w:r>
      <w:r w:rsidRPr="00C10D10">
        <w:rPr>
          <w:iCs/>
          <w:szCs w:val="24"/>
        </w:rPr>
        <w:t xml:space="preserve">limits </w:t>
      </w:r>
      <w:r w:rsidR="00C777AB">
        <w:rPr>
          <w:iCs/>
          <w:szCs w:val="24"/>
        </w:rPr>
        <w:t>and operation</w:t>
      </w:r>
      <w:r w:rsidR="00293FAD">
        <w:rPr>
          <w:iCs/>
          <w:szCs w:val="24"/>
        </w:rPr>
        <w:t>al</w:t>
      </w:r>
      <w:r w:rsidR="00C777AB">
        <w:rPr>
          <w:iCs/>
          <w:szCs w:val="24"/>
        </w:rPr>
        <w:t xml:space="preserve"> conditions </w:t>
      </w:r>
      <w:r w:rsidRPr="00C10D10">
        <w:rPr>
          <w:iCs/>
          <w:szCs w:val="24"/>
        </w:rPr>
        <w:t>to ensure that the average annual dose over a five</w:t>
      </w:r>
      <w:r w:rsidR="00A524C6">
        <w:rPr>
          <w:iCs/>
          <w:szCs w:val="24"/>
        </w:rPr>
        <w:t xml:space="preserve"> </w:t>
      </w:r>
      <w:r w:rsidRPr="00C10D10">
        <w:rPr>
          <w:iCs/>
          <w:szCs w:val="24"/>
        </w:rPr>
        <w:t xml:space="preserve">year period is not more than 1 </w:t>
      </w:r>
      <w:proofErr w:type="spellStart"/>
      <w:r w:rsidRPr="00C10D10">
        <w:rPr>
          <w:iCs/>
          <w:szCs w:val="24"/>
        </w:rPr>
        <w:t>mSv</w:t>
      </w:r>
      <w:proofErr w:type="spellEnd"/>
      <w:r w:rsidRPr="00C10D10">
        <w:rPr>
          <w:iCs/>
          <w:szCs w:val="24"/>
        </w:rPr>
        <w:t xml:space="preserve"> and that the maximum annual dose is lower than 5 </w:t>
      </w:r>
      <w:proofErr w:type="spellStart"/>
      <w:r w:rsidRPr="00C10D10">
        <w:rPr>
          <w:iCs/>
          <w:szCs w:val="24"/>
        </w:rPr>
        <w:t>mSv</w:t>
      </w:r>
      <w:proofErr w:type="spellEnd"/>
      <w:r w:rsidRPr="00C10D10">
        <w:rPr>
          <w:iCs/>
          <w:szCs w:val="24"/>
        </w:rPr>
        <w:t xml:space="preserve"> in any </w:t>
      </w:r>
      <w:r w:rsidR="00C1575A">
        <w:rPr>
          <w:iCs/>
          <w:szCs w:val="24"/>
        </w:rPr>
        <w:t xml:space="preserve">single </w:t>
      </w:r>
      <w:r w:rsidRPr="00C10D10">
        <w:rPr>
          <w:iCs/>
          <w:szCs w:val="24"/>
        </w:rPr>
        <w:t xml:space="preserve">year. During this period </w:t>
      </w:r>
      <w:r w:rsidR="00A524C6">
        <w:rPr>
          <w:iCs/>
          <w:szCs w:val="24"/>
        </w:rPr>
        <w:t xml:space="preserve">in which </w:t>
      </w:r>
      <w:r w:rsidRPr="00C10D10">
        <w:rPr>
          <w:iCs/>
          <w:szCs w:val="24"/>
        </w:rPr>
        <w:t>averaging</w:t>
      </w:r>
      <w:r w:rsidR="00A524C6">
        <w:rPr>
          <w:iCs/>
          <w:szCs w:val="24"/>
        </w:rPr>
        <w:t xml:space="preserve"> </w:t>
      </w:r>
      <w:r w:rsidR="00DE4687">
        <w:rPr>
          <w:iCs/>
          <w:szCs w:val="24"/>
        </w:rPr>
        <w:t xml:space="preserve">of </w:t>
      </w:r>
      <w:r w:rsidR="00A524C6">
        <w:rPr>
          <w:iCs/>
          <w:szCs w:val="24"/>
        </w:rPr>
        <w:t xml:space="preserve">doses </w:t>
      </w:r>
      <w:r w:rsidR="00DE4687">
        <w:rPr>
          <w:iCs/>
          <w:szCs w:val="24"/>
        </w:rPr>
        <w:t>is</w:t>
      </w:r>
      <w:r w:rsidR="00A524C6">
        <w:rPr>
          <w:iCs/>
          <w:szCs w:val="24"/>
        </w:rPr>
        <w:t xml:space="preserve"> applied</w:t>
      </w:r>
      <w:r w:rsidR="00F70819" w:rsidRPr="00C10D10">
        <w:rPr>
          <w:iCs/>
          <w:szCs w:val="24"/>
        </w:rPr>
        <w:t>,</w:t>
      </w:r>
      <w:r w:rsidRPr="00C10D10">
        <w:rPr>
          <w:iCs/>
          <w:szCs w:val="24"/>
        </w:rPr>
        <w:t xml:space="preserve"> investigations should be carried out to determine how the discharge</w:t>
      </w:r>
      <w:r w:rsidR="00A524C6">
        <w:rPr>
          <w:iCs/>
          <w:szCs w:val="24"/>
        </w:rPr>
        <w:t>s</w:t>
      </w:r>
      <w:r w:rsidRPr="00C10D10">
        <w:rPr>
          <w:iCs/>
          <w:szCs w:val="24"/>
        </w:rPr>
        <w:t xml:space="preserve"> can be reduced so that</w:t>
      </w:r>
      <w:r w:rsidR="00A524C6">
        <w:rPr>
          <w:iCs/>
          <w:szCs w:val="24"/>
        </w:rPr>
        <w:t>,</w:t>
      </w:r>
      <w:r w:rsidRPr="00C10D10">
        <w:rPr>
          <w:iCs/>
          <w:szCs w:val="24"/>
        </w:rPr>
        <w:t xml:space="preserve"> within a few years, the dose to the representative person </w:t>
      </w:r>
      <w:r w:rsidR="00A524C6">
        <w:rPr>
          <w:iCs/>
          <w:szCs w:val="24"/>
        </w:rPr>
        <w:t xml:space="preserve">is </w:t>
      </w:r>
      <w:r w:rsidRPr="00C10D10">
        <w:rPr>
          <w:iCs/>
          <w:szCs w:val="24"/>
        </w:rPr>
        <w:t xml:space="preserve">below the annual limit of 1 </w:t>
      </w:r>
      <w:proofErr w:type="spellStart"/>
      <w:r w:rsidRPr="00C10D10">
        <w:rPr>
          <w:iCs/>
          <w:szCs w:val="24"/>
        </w:rPr>
        <w:t>mSv</w:t>
      </w:r>
      <w:proofErr w:type="spellEnd"/>
      <w:r w:rsidRPr="00C10D10">
        <w:rPr>
          <w:iCs/>
          <w:szCs w:val="24"/>
        </w:rPr>
        <w:t xml:space="preserve">. The authorization should </w:t>
      </w:r>
      <w:r w:rsidR="00866BD0">
        <w:rPr>
          <w:iCs/>
          <w:szCs w:val="24"/>
        </w:rPr>
        <w:t>subsequently</w:t>
      </w:r>
      <w:r w:rsidRPr="00C10D10">
        <w:rPr>
          <w:iCs/>
          <w:szCs w:val="24"/>
        </w:rPr>
        <w:t xml:space="preserve"> be reviewed </w:t>
      </w:r>
      <w:r w:rsidR="00BE061B">
        <w:rPr>
          <w:iCs/>
          <w:szCs w:val="24"/>
        </w:rPr>
        <w:t>after</w:t>
      </w:r>
      <w:r w:rsidRPr="00C10D10">
        <w:rPr>
          <w:iCs/>
          <w:szCs w:val="24"/>
        </w:rPr>
        <w:t xml:space="preserve"> this period</w:t>
      </w:r>
      <w:r w:rsidR="00C505DE">
        <w:rPr>
          <w:iCs/>
          <w:szCs w:val="24"/>
        </w:rPr>
        <w:t xml:space="preserve"> </w:t>
      </w:r>
      <w:r w:rsidRPr="00C10D10">
        <w:rPr>
          <w:iCs/>
          <w:szCs w:val="24"/>
        </w:rPr>
        <w:t xml:space="preserve">and </w:t>
      </w:r>
      <w:r w:rsidR="00A524C6">
        <w:rPr>
          <w:iCs/>
          <w:szCs w:val="24"/>
        </w:rPr>
        <w:t xml:space="preserve">the </w:t>
      </w:r>
      <w:r w:rsidR="00C777AB">
        <w:rPr>
          <w:iCs/>
          <w:szCs w:val="24"/>
        </w:rPr>
        <w:t xml:space="preserve">regulatory body should consider </w:t>
      </w:r>
      <w:r w:rsidR="00293FAD">
        <w:rPr>
          <w:iCs/>
          <w:szCs w:val="24"/>
        </w:rPr>
        <w:t>withdrawing</w:t>
      </w:r>
      <w:r w:rsidR="00A524C6">
        <w:rPr>
          <w:iCs/>
          <w:szCs w:val="24"/>
        </w:rPr>
        <w:t xml:space="preserve"> </w:t>
      </w:r>
      <w:r w:rsidR="00293FAD">
        <w:rPr>
          <w:iCs/>
          <w:szCs w:val="24"/>
        </w:rPr>
        <w:t xml:space="preserve">the authorization for discharges </w:t>
      </w:r>
      <w:proofErr w:type="gramStart"/>
      <w:r w:rsidR="00A524C6">
        <w:rPr>
          <w:iCs/>
          <w:szCs w:val="24"/>
        </w:rPr>
        <w:t xml:space="preserve">or </w:t>
      </w:r>
      <w:r w:rsidRPr="00C10D10">
        <w:rPr>
          <w:iCs/>
          <w:szCs w:val="24"/>
        </w:rPr>
        <w:t xml:space="preserve"> revis</w:t>
      </w:r>
      <w:r w:rsidR="00293FAD">
        <w:rPr>
          <w:iCs/>
          <w:szCs w:val="24"/>
        </w:rPr>
        <w:t>ing</w:t>
      </w:r>
      <w:proofErr w:type="gramEnd"/>
      <w:r w:rsidRPr="00C10D10">
        <w:rPr>
          <w:iCs/>
          <w:szCs w:val="24"/>
        </w:rPr>
        <w:t xml:space="preserve"> </w:t>
      </w:r>
      <w:r w:rsidR="00C777AB">
        <w:rPr>
          <w:iCs/>
          <w:szCs w:val="24"/>
        </w:rPr>
        <w:t>the limits and conditions</w:t>
      </w:r>
      <w:r w:rsidRPr="00C10D10">
        <w:rPr>
          <w:iCs/>
          <w:szCs w:val="24"/>
        </w:rPr>
        <w:t>.</w:t>
      </w:r>
      <w:r w:rsidR="00024A78" w:rsidRPr="00C10D10">
        <w:rPr>
          <w:szCs w:val="24"/>
        </w:rPr>
        <w:t xml:space="preserve"> </w:t>
      </w:r>
    </w:p>
    <w:p w:rsidR="00024A78" w:rsidRPr="00C10D10" w:rsidRDefault="00D80FDB" w:rsidP="0091132F">
      <w:pPr>
        <w:pStyle w:val="ListParagraph"/>
        <w:numPr>
          <w:ilvl w:val="0"/>
          <w:numId w:val="16"/>
        </w:numPr>
        <w:autoSpaceDE w:val="0"/>
        <w:autoSpaceDN w:val="0"/>
        <w:adjustRightInd w:val="0"/>
        <w:spacing w:before="120"/>
        <w:contextualSpacing w:val="0"/>
        <w:jc w:val="both"/>
        <w:rPr>
          <w:szCs w:val="24"/>
        </w:rPr>
      </w:pPr>
      <w:r w:rsidRPr="00C10D10">
        <w:rPr>
          <w:iCs/>
          <w:szCs w:val="24"/>
        </w:rPr>
        <w:t xml:space="preserve">The limits on effective dose to the representative person should be applied </w:t>
      </w:r>
      <w:r w:rsidR="00A524C6" w:rsidRPr="00C10D10">
        <w:rPr>
          <w:iCs/>
          <w:szCs w:val="24"/>
        </w:rPr>
        <w:t xml:space="preserve">only </w:t>
      </w:r>
      <w:r w:rsidRPr="00C10D10">
        <w:rPr>
          <w:iCs/>
          <w:szCs w:val="24"/>
        </w:rPr>
        <w:t xml:space="preserve">to future discharges from the facility. They should not take into account the total dose resulting from past </w:t>
      </w:r>
      <w:r w:rsidR="00C777AB">
        <w:rPr>
          <w:iCs/>
          <w:szCs w:val="24"/>
        </w:rPr>
        <w:t xml:space="preserve">unregulated </w:t>
      </w:r>
      <w:r w:rsidRPr="00C10D10">
        <w:rPr>
          <w:iCs/>
          <w:szCs w:val="24"/>
        </w:rPr>
        <w:t xml:space="preserve">operations of the facility. If appropriate, the contributions to the effective dose from past operations should be addressed within </w:t>
      </w:r>
      <w:r w:rsidR="00A524C6">
        <w:rPr>
          <w:iCs/>
          <w:szCs w:val="24"/>
        </w:rPr>
        <w:t xml:space="preserve">a </w:t>
      </w:r>
      <w:r w:rsidR="00024A78" w:rsidRPr="00C10D10">
        <w:rPr>
          <w:iCs/>
          <w:szCs w:val="24"/>
        </w:rPr>
        <w:t>framework</w:t>
      </w:r>
      <w:r w:rsidR="00DE4687">
        <w:rPr>
          <w:iCs/>
          <w:szCs w:val="24"/>
        </w:rPr>
        <w:t xml:space="preserve"> of remedial actions </w:t>
      </w:r>
      <w:r w:rsidR="00C777AB">
        <w:rPr>
          <w:iCs/>
          <w:szCs w:val="24"/>
        </w:rPr>
        <w:t>for an existing situation</w:t>
      </w:r>
      <w:r w:rsidR="00024A78" w:rsidRPr="00C10D10">
        <w:rPr>
          <w:iCs/>
          <w:szCs w:val="24"/>
        </w:rPr>
        <w:t xml:space="preserve"> </w:t>
      </w:r>
      <w:r w:rsidR="00417BFF">
        <w:rPr>
          <w:iCs/>
          <w:szCs w:val="24"/>
        </w:rPr>
        <w:t>[3]</w:t>
      </w:r>
      <w:r w:rsidR="00024A78" w:rsidRPr="00C10D10">
        <w:rPr>
          <w:iCs/>
          <w:szCs w:val="24"/>
        </w:rPr>
        <w:t>.</w:t>
      </w:r>
      <w:r w:rsidR="00024A78" w:rsidRPr="00C10D10">
        <w:rPr>
          <w:szCs w:val="24"/>
        </w:rPr>
        <w:t xml:space="preserve"> </w:t>
      </w:r>
    </w:p>
    <w:p w:rsidR="00D80FDB" w:rsidRPr="00C10D10" w:rsidRDefault="00D80FDB" w:rsidP="001664AF">
      <w:pPr>
        <w:autoSpaceDE w:val="0"/>
        <w:autoSpaceDN w:val="0"/>
        <w:adjustRightInd w:val="0"/>
        <w:spacing w:before="120" w:line="360" w:lineRule="auto"/>
        <w:jc w:val="both"/>
        <w:rPr>
          <w:rFonts w:ascii="Times New Roman" w:hAnsi="Times New Roman"/>
          <w:iCs/>
          <w:sz w:val="24"/>
          <w:szCs w:val="24"/>
        </w:rPr>
      </w:pPr>
    </w:p>
    <w:p w:rsidR="00973AC0" w:rsidRPr="00C10D10" w:rsidRDefault="00097C9B" w:rsidP="00BC171D">
      <w:pPr>
        <w:pStyle w:val="Heading1"/>
        <w:numPr>
          <w:ilvl w:val="0"/>
          <w:numId w:val="0"/>
        </w:numPr>
        <w:spacing w:before="120" w:after="0" w:line="360" w:lineRule="auto"/>
        <w:rPr>
          <w:kern w:val="0"/>
          <w:sz w:val="24"/>
          <w:lang w:val="en-GB"/>
        </w:rPr>
      </w:pPr>
      <w:r w:rsidRPr="00C10D10">
        <w:rPr>
          <w:kern w:val="0"/>
          <w:lang w:val="en-GB"/>
        </w:rPr>
        <w:br w:type="page"/>
      </w:r>
      <w:bookmarkStart w:id="57" w:name="_Toc396128283"/>
      <w:bookmarkStart w:id="58" w:name="_Toc396128899"/>
      <w:bookmarkStart w:id="59" w:name="_Toc452966961"/>
      <w:r w:rsidR="00973AC0" w:rsidRPr="00C10D10">
        <w:rPr>
          <w:kern w:val="0"/>
          <w:sz w:val="24"/>
          <w:lang w:val="en-GB"/>
        </w:rPr>
        <w:lastRenderedPageBreak/>
        <w:t>REFERENCES</w:t>
      </w:r>
      <w:bookmarkEnd w:id="57"/>
      <w:bookmarkEnd w:id="58"/>
      <w:bookmarkEnd w:id="59"/>
    </w:p>
    <w:p w:rsidR="00973AC0" w:rsidRDefault="00513100" w:rsidP="001664AF">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[1]</w:t>
      </w:r>
      <w:r w:rsidRPr="00C10D10">
        <w:rPr>
          <w:rFonts w:ascii="Times New Roman" w:hAnsi="Times New Roman"/>
          <w:sz w:val="24"/>
          <w:szCs w:val="24"/>
        </w:rPr>
        <w:tab/>
        <w:t>EUROPEAN ATOMIC ENERGY COMMUNITY, FOOD AND AGRICULTURE ORGANIZATION OF THE UNITED NATIONS, INTERNATIONAL ATOMIC ENERGY AGENCY, INTERNATIONAL LABOUR ORGANIZATION, INTERNATIONAL MARITIME ORGANIZATION, OECD NUCLEAR ENERGY AGENCY, PAN AMERICAN HEALTH ORGANIZATION</w:t>
      </w:r>
      <w:r w:rsidR="000147F0" w:rsidRPr="00C10D10">
        <w:rPr>
          <w:rFonts w:ascii="Times New Roman" w:hAnsi="Times New Roman"/>
          <w:sz w:val="24"/>
          <w:szCs w:val="24"/>
        </w:rPr>
        <w:t>, UNITED NATIONS ENVIRONMENT PROGRAMME, WORLD HEALTH ORGANIZATION,</w:t>
      </w:r>
      <w:r w:rsidRPr="00C10D10">
        <w:rPr>
          <w:rFonts w:ascii="Times New Roman" w:hAnsi="Times New Roman"/>
          <w:sz w:val="24"/>
          <w:szCs w:val="24"/>
        </w:rPr>
        <w:t xml:space="preserve"> </w:t>
      </w:r>
      <w:r w:rsidR="00973AC0" w:rsidRPr="00C10D10">
        <w:rPr>
          <w:rFonts w:ascii="Times New Roman" w:hAnsi="Times New Roman"/>
          <w:sz w:val="24"/>
          <w:szCs w:val="24"/>
        </w:rPr>
        <w:t xml:space="preserve">Fundamental Safety Principles, IAEA Safety Standards Series No. </w:t>
      </w:r>
      <w:proofErr w:type="gramStart"/>
      <w:r w:rsidR="00973AC0" w:rsidRPr="00C10D10">
        <w:rPr>
          <w:rFonts w:ascii="Times New Roman" w:hAnsi="Times New Roman"/>
          <w:sz w:val="24"/>
          <w:szCs w:val="24"/>
        </w:rPr>
        <w:t>SF-1</w:t>
      </w:r>
      <w:r w:rsidR="00B6523A">
        <w:rPr>
          <w:rFonts w:ascii="Times New Roman" w:hAnsi="Times New Roman"/>
          <w:sz w:val="24"/>
          <w:szCs w:val="24"/>
        </w:rPr>
        <w:t>,</w:t>
      </w:r>
      <w:r w:rsidR="00973AC0" w:rsidRPr="00C10D10">
        <w:rPr>
          <w:rFonts w:ascii="Times New Roman" w:hAnsi="Times New Roman"/>
          <w:sz w:val="24"/>
          <w:szCs w:val="24"/>
        </w:rPr>
        <w:t xml:space="preserve"> IAEA, Vienna </w:t>
      </w:r>
      <w:r w:rsidR="00B6523A">
        <w:rPr>
          <w:rFonts w:ascii="Times New Roman" w:hAnsi="Times New Roman"/>
          <w:sz w:val="24"/>
          <w:szCs w:val="24"/>
        </w:rPr>
        <w:t>(</w:t>
      </w:r>
      <w:r w:rsidR="00973AC0" w:rsidRPr="00C10D10">
        <w:rPr>
          <w:rFonts w:ascii="Times New Roman" w:hAnsi="Times New Roman"/>
          <w:sz w:val="24"/>
          <w:szCs w:val="24"/>
        </w:rPr>
        <w:t>2006</w:t>
      </w:r>
      <w:r w:rsidR="00B6523A">
        <w:rPr>
          <w:rFonts w:ascii="Times New Roman" w:hAnsi="Times New Roman"/>
          <w:sz w:val="24"/>
          <w:szCs w:val="24"/>
        </w:rPr>
        <w:t>)</w:t>
      </w:r>
      <w:r w:rsidR="00973AC0" w:rsidRPr="00C10D10">
        <w:rPr>
          <w:rFonts w:ascii="Times New Roman" w:hAnsi="Times New Roman"/>
          <w:sz w:val="24"/>
          <w:szCs w:val="24"/>
        </w:rPr>
        <w:t>.</w:t>
      </w:r>
      <w:proofErr w:type="gramEnd"/>
    </w:p>
    <w:p w:rsidR="00417BFF" w:rsidRPr="00C10D10" w:rsidRDefault="00417BFF" w:rsidP="00417BFF">
      <w:pPr>
        <w:tabs>
          <w:tab w:val="left" w:pos="567"/>
        </w:tabs>
        <w:spacing w:before="120" w:line="360" w:lineRule="auto"/>
        <w:ind w:left="567" w:hanging="567"/>
        <w:jc w:val="both"/>
        <w:rPr>
          <w:rFonts w:ascii="Times New Roman" w:hAnsi="Times New Roman"/>
          <w:sz w:val="24"/>
          <w:szCs w:val="24"/>
        </w:rPr>
      </w:pPr>
      <w:r>
        <w:rPr>
          <w:rFonts w:ascii="Times New Roman" w:hAnsi="Times New Roman"/>
          <w:sz w:val="24"/>
          <w:szCs w:val="24"/>
        </w:rPr>
        <w:t>[2</w:t>
      </w:r>
      <w:r w:rsidRPr="00C10D10">
        <w:rPr>
          <w:rFonts w:ascii="Times New Roman" w:hAnsi="Times New Roman"/>
          <w:sz w:val="24"/>
          <w:szCs w:val="24"/>
        </w:rPr>
        <w:t>]</w:t>
      </w:r>
      <w:r w:rsidRPr="00C10D10">
        <w:rPr>
          <w:rFonts w:ascii="Times New Roman" w:hAnsi="Times New Roman"/>
          <w:sz w:val="24"/>
          <w:szCs w:val="24"/>
        </w:rPr>
        <w:tab/>
        <w:t>INTERNATIONAL ATOMIC ENERGY AGENCY, IAEA Safety Glossary: Terminology Used in Nuclear Safety and Radiation Protection (2007 Edition)</w:t>
      </w:r>
      <w:r>
        <w:rPr>
          <w:rFonts w:ascii="Times New Roman" w:hAnsi="Times New Roman"/>
          <w:sz w:val="24"/>
          <w:szCs w:val="24"/>
        </w:rPr>
        <w:t>,</w:t>
      </w:r>
      <w:r w:rsidRPr="00C10D10">
        <w:rPr>
          <w:rFonts w:ascii="Times New Roman" w:hAnsi="Times New Roman"/>
          <w:sz w:val="24"/>
          <w:szCs w:val="24"/>
        </w:rPr>
        <w:t xml:space="preserve"> IAEA, Vienna (2007).</w:t>
      </w:r>
    </w:p>
    <w:p w:rsidR="008C6F91" w:rsidRPr="00C10D10" w:rsidRDefault="00973AC0" w:rsidP="001664AF">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w:t>
      </w:r>
      <w:r w:rsidR="00417BFF">
        <w:rPr>
          <w:rFonts w:ascii="Times New Roman" w:hAnsi="Times New Roman"/>
          <w:sz w:val="24"/>
          <w:szCs w:val="24"/>
        </w:rPr>
        <w:t>3</w:t>
      </w:r>
      <w:r w:rsidR="00F850E7" w:rsidRPr="00C10D10">
        <w:rPr>
          <w:rFonts w:ascii="Times New Roman" w:hAnsi="Times New Roman"/>
          <w:sz w:val="24"/>
          <w:szCs w:val="24"/>
        </w:rPr>
        <w:t>]</w:t>
      </w:r>
      <w:r w:rsidR="00F850E7" w:rsidRPr="00C10D10">
        <w:rPr>
          <w:rFonts w:ascii="Times New Roman" w:hAnsi="Times New Roman"/>
          <w:sz w:val="24"/>
          <w:szCs w:val="24"/>
        </w:rPr>
        <w:tab/>
      </w:r>
      <w:r w:rsidR="00D95350" w:rsidRPr="00C10D10">
        <w:rPr>
          <w:rFonts w:ascii="Times New Roman" w:hAnsi="Times New Roman"/>
          <w:sz w:val="24"/>
          <w:szCs w:val="24"/>
        </w:rPr>
        <w:t>EUROPEAN COMMISSION, FOOD AND AGRICULTURE ORGANIZATION OF THE UNITED NATIONS, INTERNATIONAL ATOMIC ENERGY AGENCY, INTERNATIONAL LABOUR ORGANIZATION, OECD NUCLEAR ENERGY AGENCY, PAN AMERICAN HEALTH ORGANIZATION, UNITED NATIONS ENVIRONMENT PROGRAMME, WORLD HEALTH ORGANIZATION, Radiation Protection and Safety of Radiation Sources: International Basic Safety Standards, IAEA Safety Standards Series No. GSR Part 3, IAEA, Vienna (2014).</w:t>
      </w:r>
    </w:p>
    <w:p w:rsidR="00C31C86" w:rsidRPr="00C10D10" w:rsidRDefault="00973AC0" w:rsidP="001664AF">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w:t>
      </w:r>
      <w:r w:rsidR="005E07AA">
        <w:rPr>
          <w:rFonts w:ascii="Times New Roman" w:hAnsi="Times New Roman"/>
          <w:sz w:val="24"/>
          <w:szCs w:val="24"/>
        </w:rPr>
        <w:t>4</w:t>
      </w:r>
      <w:r w:rsidR="00F850E7" w:rsidRPr="00C10D10">
        <w:rPr>
          <w:rFonts w:ascii="Times New Roman" w:hAnsi="Times New Roman"/>
          <w:sz w:val="24"/>
          <w:szCs w:val="24"/>
        </w:rPr>
        <w:t>]</w:t>
      </w:r>
      <w:r w:rsidR="00F850E7" w:rsidRPr="00C10D10">
        <w:rPr>
          <w:rFonts w:ascii="Times New Roman" w:hAnsi="Times New Roman"/>
          <w:sz w:val="24"/>
          <w:szCs w:val="24"/>
        </w:rPr>
        <w:tab/>
      </w:r>
      <w:r w:rsidRPr="00C10D10">
        <w:rPr>
          <w:rFonts w:ascii="Times New Roman" w:hAnsi="Times New Roman"/>
          <w:sz w:val="24"/>
          <w:szCs w:val="24"/>
        </w:rPr>
        <w:t>INTERNATIONAL ATOMIC ENERGY AGENCY</w:t>
      </w:r>
      <w:r w:rsidR="000147F0" w:rsidRPr="00C10D10">
        <w:rPr>
          <w:rFonts w:ascii="Times New Roman" w:hAnsi="Times New Roman"/>
          <w:sz w:val="24"/>
          <w:szCs w:val="24"/>
        </w:rPr>
        <w:t>,</w:t>
      </w:r>
      <w:r w:rsidRPr="00C10D10">
        <w:rPr>
          <w:rFonts w:ascii="Times New Roman" w:hAnsi="Times New Roman"/>
          <w:sz w:val="24"/>
          <w:szCs w:val="24"/>
        </w:rPr>
        <w:t xml:space="preserve"> Licensing Process for Nuclear Installations, IAEA Safety Standards Series No. </w:t>
      </w:r>
      <w:proofErr w:type="gramStart"/>
      <w:r w:rsidRPr="00C10D10">
        <w:rPr>
          <w:rFonts w:ascii="Times New Roman" w:hAnsi="Times New Roman"/>
          <w:sz w:val="24"/>
          <w:szCs w:val="24"/>
        </w:rPr>
        <w:t>SSG-12</w:t>
      </w:r>
      <w:r w:rsidR="000147F0" w:rsidRPr="00C10D10">
        <w:rPr>
          <w:rFonts w:ascii="Times New Roman" w:hAnsi="Times New Roman"/>
          <w:sz w:val="24"/>
          <w:szCs w:val="24"/>
        </w:rPr>
        <w:t>,</w:t>
      </w:r>
      <w:r w:rsidRPr="00C10D10">
        <w:rPr>
          <w:rFonts w:ascii="Times New Roman" w:hAnsi="Times New Roman"/>
          <w:sz w:val="24"/>
          <w:szCs w:val="24"/>
        </w:rPr>
        <w:t xml:space="preserve"> IAEA, Vienna </w:t>
      </w:r>
      <w:r w:rsidR="000147F0" w:rsidRPr="00C10D10">
        <w:rPr>
          <w:rFonts w:ascii="Times New Roman" w:hAnsi="Times New Roman"/>
          <w:sz w:val="24"/>
          <w:szCs w:val="24"/>
        </w:rPr>
        <w:t>(</w:t>
      </w:r>
      <w:r w:rsidRPr="00C10D10">
        <w:rPr>
          <w:rFonts w:ascii="Times New Roman" w:hAnsi="Times New Roman"/>
          <w:sz w:val="24"/>
          <w:szCs w:val="24"/>
        </w:rPr>
        <w:t>2010</w:t>
      </w:r>
      <w:r w:rsidR="000147F0" w:rsidRPr="00C10D10">
        <w:rPr>
          <w:rFonts w:ascii="Times New Roman" w:hAnsi="Times New Roman"/>
          <w:sz w:val="24"/>
          <w:szCs w:val="24"/>
        </w:rPr>
        <w:t>)</w:t>
      </w:r>
      <w:r w:rsidRPr="00C10D10">
        <w:rPr>
          <w:rFonts w:ascii="Times New Roman" w:hAnsi="Times New Roman"/>
          <w:sz w:val="24"/>
          <w:szCs w:val="24"/>
        </w:rPr>
        <w:t>.</w:t>
      </w:r>
      <w:proofErr w:type="gramEnd"/>
    </w:p>
    <w:p w:rsidR="00973AC0" w:rsidRPr="00C10D10" w:rsidRDefault="00973AC0" w:rsidP="001664AF">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w:t>
      </w:r>
      <w:r w:rsidR="005E07AA">
        <w:rPr>
          <w:rFonts w:ascii="Times New Roman" w:hAnsi="Times New Roman"/>
          <w:sz w:val="24"/>
          <w:szCs w:val="24"/>
        </w:rPr>
        <w:t>5</w:t>
      </w:r>
      <w:r w:rsidR="00F850E7" w:rsidRPr="00C10D10">
        <w:rPr>
          <w:rFonts w:ascii="Times New Roman" w:hAnsi="Times New Roman"/>
          <w:sz w:val="24"/>
          <w:szCs w:val="24"/>
        </w:rPr>
        <w:t>]</w:t>
      </w:r>
      <w:r w:rsidR="00F850E7" w:rsidRPr="00C10D10">
        <w:rPr>
          <w:rFonts w:ascii="Times New Roman" w:hAnsi="Times New Roman"/>
          <w:sz w:val="24"/>
          <w:szCs w:val="24"/>
        </w:rPr>
        <w:tab/>
      </w:r>
      <w:r w:rsidRPr="00C10D10">
        <w:rPr>
          <w:rFonts w:ascii="Times New Roman" w:hAnsi="Times New Roman"/>
          <w:sz w:val="24"/>
          <w:szCs w:val="24"/>
        </w:rPr>
        <w:t>INTERNATIONAL ATOMIC ENERGY AGENCY</w:t>
      </w:r>
      <w:r w:rsidR="00BB75E5">
        <w:rPr>
          <w:rFonts w:ascii="Times New Roman" w:hAnsi="Times New Roman"/>
          <w:sz w:val="24"/>
          <w:szCs w:val="24"/>
        </w:rPr>
        <w:t>,</w:t>
      </w:r>
      <w:r w:rsidRPr="00C10D10">
        <w:rPr>
          <w:rFonts w:ascii="Times New Roman" w:hAnsi="Times New Roman"/>
          <w:sz w:val="24"/>
          <w:szCs w:val="24"/>
        </w:rPr>
        <w:t xml:space="preserve"> Operational Limits and Conditions and Operating Procedures for Nuclear Power Plants, IAEA Safety Standards Series No. </w:t>
      </w:r>
      <w:proofErr w:type="gramStart"/>
      <w:r w:rsidRPr="00C10D10">
        <w:rPr>
          <w:rFonts w:ascii="Times New Roman" w:hAnsi="Times New Roman"/>
          <w:sz w:val="24"/>
          <w:szCs w:val="24"/>
        </w:rPr>
        <w:t>NS-G-2.2</w:t>
      </w:r>
      <w:r w:rsidR="000147F0" w:rsidRPr="00C10D10">
        <w:rPr>
          <w:rFonts w:ascii="Times New Roman" w:hAnsi="Times New Roman"/>
          <w:sz w:val="24"/>
          <w:szCs w:val="24"/>
        </w:rPr>
        <w:t>,</w:t>
      </w:r>
      <w:r w:rsidRPr="00C10D10">
        <w:rPr>
          <w:rFonts w:ascii="Times New Roman" w:hAnsi="Times New Roman"/>
          <w:sz w:val="24"/>
          <w:szCs w:val="24"/>
        </w:rPr>
        <w:t xml:space="preserve"> IAEA, Vienna </w:t>
      </w:r>
      <w:r w:rsidR="000147F0" w:rsidRPr="00C10D10">
        <w:rPr>
          <w:rFonts w:ascii="Times New Roman" w:hAnsi="Times New Roman"/>
          <w:sz w:val="24"/>
          <w:szCs w:val="24"/>
        </w:rPr>
        <w:t>(</w:t>
      </w:r>
      <w:r w:rsidRPr="00C10D10">
        <w:rPr>
          <w:rFonts w:ascii="Times New Roman" w:hAnsi="Times New Roman"/>
          <w:sz w:val="24"/>
          <w:szCs w:val="24"/>
        </w:rPr>
        <w:t>2000</w:t>
      </w:r>
      <w:r w:rsidR="000147F0" w:rsidRPr="00C10D10">
        <w:rPr>
          <w:rFonts w:ascii="Times New Roman" w:hAnsi="Times New Roman"/>
          <w:sz w:val="24"/>
          <w:szCs w:val="24"/>
        </w:rPr>
        <w:t>)</w:t>
      </w:r>
      <w:r w:rsidRPr="00C10D10">
        <w:rPr>
          <w:rFonts w:ascii="Times New Roman" w:hAnsi="Times New Roman"/>
          <w:sz w:val="24"/>
          <w:szCs w:val="24"/>
        </w:rPr>
        <w:t>.</w:t>
      </w:r>
      <w:proofErr w:type="gramEnd"/>
    </w:p>
    <w:p w:rsidR="00973AC0" w:rsidRPr="00C10D10" w:rsidRDefault="00973AC0" w:rsidP="001664AF">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w:t>
      </w:r>
      <w:r w:rsidR="005E07AA">
        <w:rPr>
          <w:rFonts w:ascii="Times New Roman" w:hAnsi="Times New Roman"/>
          <w:sz w:val="24"/>
          <w:szCs w:val="24"/>
        </w:rPr>
        <w:t>6</w:t>
      </w:r>
      <w:r w:rsidR="00F850E7" w:rsidRPr="00C10D10">
        <w:rPr>
          <w:rFonts w:ascii="Times New Roman" w:hAnsi="Times New Roman"/>
          <w:sz w:val="24"/>
          <w:szCs w:val="24"/>
        </w:rPr>
        <w:t>]</w:t>
      </w:r>
      <w:r w:rsidR="00F850E7" w:rsidRPr="00C10D10">
        <w:rPr>
          <w:rFonts w:ascii="Times New Roman" w:hAnsi="Times New Roman"/>
          <w:sz w:val="24"/>
          <w:szCs w:val="24"/>
        </w:rPr>
        <w:tab/>
      </w:r>
      <w:r w:rsidRPr="00C10D10">
        <w:rPr>
          <w:rFonts w:ascii="Times New Roman" w:hAnsi="Times New Roman"/>
          <w:sz w:val="24"/>
          <w:szCs w:val="24"/>
        </w:rPr>
        <w:t>INTERNATIONAL ATOMIC ENERGY AGENCY</w:t>
      </w:r>
      <w:r w:rsidR="000147F0" w:rsidRPr="00C10D10">
        <w:rPr>
          <w:rFonts w:ascii="Times New Roman" w:hAnsi="Times New Roman"/>
          <w:sz w:val="24"/>
          <w:szCs w:val="24"/>
        </w:rPr>
        <w:t>,</w:t>
      </w:r>
      <w:r w:rsidRPr="00C10D10">
        <w:rPr>
          <w:rFonts w:ascii="Times New Roman" w:hAnsi="Times New Roman"/>
          <w:sz w:val="24"/>
          <w:szCs w:val="24"/>
        </w:rPr>
        <w:t xml:space="preserve"> Radiation Protection of the Public</w:t>
      </w:r>
      <w:r w:rsidR="00EF529F" w:rsidRPr="00C10D10">
        <w:rPr>
          <w:rFonts w:ascii="Times New Roman" w:hAnsi="Times New Roman"/>
          <w:sz w:val="24"/>
          <w:szCs w:val="24"/>
        </w:rPr>
        <w:t xml:space="preserve"> and Protection of the Environment</w:t>
      </w:r>
      <w:r w:rsidRPr="00C10D10">
        <w:rPr>
          <w:rFonts w:ascii="Times New Roman" w:hAnsi="Times New Roman"/>
          <w:sz w:val="24"/>
          <w:szCs w:val="24"/>
        </w:rPr>
        <w:t>, IAEA Safety Standards Series</w:t>
      </w:r>
      <w:r w:rsidR="001B4550" w:rsidRPr="00C10D10">
        <w:rPr>
          <w:rFonts w:ascii="Times New Roman" w:hAnsi="Times New Roman"/>
          <w:sz w:val="24"/>
          <w:szCs w:val="24"/>
        </w:rPr>
        <w:t xml:space="preserve">, </w:t>
      </w:r>
      <w:r w:rsidR="00C505DE">
        <w:rPr>
          <w:rFonts w:ascii="Times New Roman" w:hAnsi="Times New Roman"/>
          <w:sz w:val="24"/>
          <w:szCs w:val="24"/>
        </w:rPr>
        <w:t xml:space="preserve"> </w:t>
      </w:r>
      <w:r w:rsidRPr="00C10D10">
        <w:rPr>
          <w:rFonts w:ascii="Times New Roman" w:hAnsi="Times New Roman"/>
          <w:sz w:val="24"/>
          <w:szCs w:val="24"/>
        </w:rPr>
        <w:t>IAEA, Vienna</w:t>
      </w:r>
      <w:r w:rsidR="007D62FD">
        <w:rPr>
          <w:rFonts w:ascii="Times New Roman" w:hAnsi="Times New Roman"/>
          <w:sz w:val="24"/>
          <w:szCs w:val="24"/>
        </w:rPr>
        <w:t xml:space="preserve"> (in preparation)</w:t>
      </w:r>
      <w:r w:rsidRPr="00C10D10">
        <w:rPr>
          <w:rFonts w:ascii="Times New Roman" w:hAnsi="Times New Roman"/>
          <w:sz w:val="24"/>
          <w:szCs w:val="24"/>
        </w:rPr>
        <w:t>.</w:t>
      </w:r>
      <w:r w:rsidR="007D62FD">
        <w:rPr>
          <w:rFonts w:ascii="Times New Roman" w:hAnsi="Times New Roman"/>
          <w:sz w:val="24"/>
          <w:szCs w:val="24"/>
        </w:rPr>
        <w:t>[DS432]</w:t>
      </w:r>
    </w:p>
    <w:p w:rsidR="00973AC0" w:rsidRPr="00C10D10" w:rsidRDefault="00973AC0" w:rsidP="001664AF">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w:t>
      </w:r>
      <w:r w:rsidR="005E07AA">
        <w:rPr>
          <w:rFonts w:ascii="Times New Roman" w:hAnsi="Times New Roman"/>
          <w:sz w:val="24"/>
          <w:szCs w:val="24"/>
        </w:rPr>
        <w:t>7</w:t>
      </w:r>
      <w:r w:rsidR="00F850E7" w:rsidRPr="00C10D10">
        <w:rPr>
          <w:rFonts w:ascii="Times New Roman" w:hAnsi="Times New Roman"/>
          <w:sz w:val="24"/>
          <w:szCs w:val="24"/>
        </w:rPr>
        <w:t>]</w:t>
      </w:r>
      <w:r w:rsidR="00F850E7" w:rsidRPr="00C10D10">
        <w:rPr>
          <w:rFonts w:ascii="Times New Roman" w:hAnsi="Times New Roman"/>
          <w:sz w:val="24"/>
          <w:szCs w:val="24"/>
        </w:rPr>
        <w:tab/>
      </w:r>
      <w:r w:rsidRPr="00C10D10">
        <w:rPr>
          <w:rFonts w:ascii="Times New Roman" w:hAnsi="Times New Roman"/>
          <w:sz w:val="24"/>
          <w:szCs w:val="24"/>
        </w:rPr>
        <w:t>INTERNATIONAL ATOMIC ENERGY AGENCY</w:t>
      </w:r>
      <w:r w:rsidR="00C43988">
        <w:rPr>
          <w:rFonts w:ascii="Times New Roman" w:hAnsi="Times New Roman"/>
          <w:sz w:val="24"/>
          <w:szCs w:val="24"/>
        </w:rPr>
        <w:t>,</w:t>
      </w:r>
      <w:r w:rsidRPr="00C10D10">
        <w:rPr>
          <w:rFonts w:ascii="Times New Roman" w:hAnsi="Times New Roman"/>
          <w:sz w:val="24"/>
          <w:szCs w:val="24"/>
        </w:rPr>
        <w:t xml:space="preserve"> </w:t>
      </w:r>
      <w:r w:rsidR="00EF529F" w:rsidRPr="00C10D10">
        <w:rPr>
          <w:rFonts w:ascii="Times New Roman" w:hAnsi="Times New Roman"/>
          <w:sz w:val="24"/>
          <w:szCs w:val="24"/>
        </w:rPr>
        <w:t xml:space="preserve">Prospective </w:t>
      </w:r>
      <w:r w:rsidRPr="00C10D10">
        <w:rPr>
          <w:rFonts w:ascii="Times New Roman" w:hAnsi="Times New Roman"/>
          <w:sz w:val="24"/>
          <w:szCs w:val="24"/>
        </w:rPr>
        <w:t>Radiological Environmental Impact Assessment</w:t>
      </w:r>
      <w:r w:rsidR="00EF529F" w:rsidRPr="00C10D10">
        <w:rPr>
          <w:rFonts w:ascii="Times New Roman" w:hAnsi="Times New Roman"/>
          <w:sz w:val="24"/>
          <w:szCs w:val="24"/>
        </w:rPr>
        <w:t xml:space="preserve"> </w:t>
      </w:r>
      <w:r w:rsidR="009F2D25">
        <w:rPr>
          <w:rFonts w:ascii="Times New Roman" w:hAnsi="Times New Roman"/>
          <w:sz w:val="24"/>
          <w:szCs w:val="24"/>
        </w:rPr>
        <w:t>for Facilities and Activities</w:t>
      </w:r>
      <w:r w:rsidRPr="00C10D10">
        <w:rPr>
          <w:rFonts w:ascii="Times New Roman" w:hAnsi="Times New Roman"/>
          <w:sz w:val="24"/>
          <w:szCs w:val="24"/>
        </w:rPr>
        <w:t>, IAEA Safety Standards Series</w:t>
      </w:r>
      <w:r w:rsidR="000147F0" w:rsidRPr="00C10D10">
        <w:rPr>
          <w:rFonts w:ascii="Times New Roman" w:hAnsi="Times New Roman"/>
          <w:sz w:val="24"/>
          <w:szCs w:val="24"/>
        </w:rPr>
        <w:t>,</w:t>
      </w:r>
      <w:r w:rsidRPr="00C10D10">
        <w:rPr>
          <w:rFonts w:ascii="Times New Roman" w:hAnsi="Times New Roman"/>
          <w:sz w:val="24"/>
          <w:szCs w:val="24"/>
        </w:rPr>
        <w:t xml:space="preserve"> IAEA, Vienna</w:t>
      </w:r>
      <w:r w:rsidR="007D62FD">
        <w:rPr>
          <w:rFonts w:ascii="Times New Roman" w:hAnsi="Times New Roman"/>
          <w:sz w:val="24"/>
          <w:szCs w:val="24"/>
        </w:rPr>
        <w:t xml:space="preserve"> (in preparation)</w:t>
      </w:r>
      <w:r w:rsidRPr="00C10D10">
        <w:rPr>
          <w:rFonts w:ascii="Times New Roman" w:hAnsi="Times New Roman"/>
          <w:sz w:val="24"/>
          <w:szCs w:val="24"/>
        </w:rPr>
        <w:t>.</w:t>
      </w:r>
      <w:r w:rsidR="007D62FD">
        <w:rPr>
          <w:rFonts w:ascii="Times New Roman" w:hAnsi="Times New Roman"/>
          <w:sz w:val="24"/>
          <w:szCs w:val="24"/>
        </w:rPr>
        <w:t>[DS427]</w:t>
      </w:r>
      <w:r w:rsidR="00F1229F" w:rsidRPr="00C10D10">
        <w:rPr>
          <w:rFonts w:ascii="Times New Roman" w:hAnsi="Times New Roman"/>
          <w:sz w:val="24"/>
          <w:szCs w:val="24"/>
        </w:rPr>
        <w:t xml:space="preserve"> </w:t>
      </w:r>
    </w:p>
    <w:p w:rsidR="00973AC0" w:rsidRPr="00C10D10" w:rsidRDefault="00973AC0" w:rsidP="001664AF">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lastRenderedPageBreak/>
        <w:t>[</w:t>
      </w:r>
      <w:r w:rsidR="005E07AA">
        <w:rPr>
          <w:rFonts w:ascii="Times New Roman" w:hAnsi="Times New Roman"/>
          <w:sz w:val="24"/>
          <w:szCs w:val="24"/>
        </w:rPr>
        <w:t>8</w:t>
      </w:r>
      <w:r w:rsidR="00F850E7" w:rsidRPr="00C10D10">
        <w:rPr>
          <w:rFonts w:ascii="Times New Roman" w:hAnsi="Times New Roman"/>
          <w:sz w:val="24"/>
          <w:szCs w:val="24"/>
        </w:rPr>
        <w:t>]</w:t>
      </w:r>
      <w:r w:rsidR="00F850E7" w:rsidRPr="00C10D10">
        <w:rPr>
          <w:rFonts w:ascii="Times New Roman" w:hAnsi="Times New Roman"/>
          <w:sz w:val="24"/>
          <w:szCs w:val="24"/>
        </w:rPr>
        <w:tab/>
      </w:r>
      <w:r w:rsidRPr="00C10D10">
        <w:rPr>
          <w:rFonts w:ascii="Times New Roman" w:hAnsi="Times New Roman"/>
          <w:sz w:val="24"/>
          <w:szCs w:val="24"/>
        </w:rPr>
        <w:t>INTERNATIONAL ATOMIC ENERGY AGENCY</w:t>
      </w:r>
      <w:r w:rsidR="000147F0" w:rsidRPr="00C10D10">
        <w:rPr>
          <w:rFonts w:ascii="Times New Roman" w:hAnsi="Times New Roman"/>
          <w:sz w:val="24"/>
          <w:szCs w:val="24"/>
        </w:rPr>
        <w:t>,</w:t>
      </w:r>
      <w:r w:rsidRPr="00C10D10">
        <w:rPr>
          <w:rFonts w:ascii="Times New Roman" w:hAnsi="Times New Roman"/>
          <w:sz w:val="24"/>
          <w:szCs w:val="24"/>
        </w:rPr>
        <w:t xml:space="preserve"> Radiation Protection Aspects in the Design of Nuclear Power Plants, </w:t>
      </w:r>
      <w:r w:rsidR="000147F0" w:rsidRPr="00C10D10">
        <w:rPr>
          <w:rFonts w:ascii="Times New Roman" w:hAnsi="Times New Roman"/>
          <w:sz w:val="24"/>
          <w:szCs w:val="24"/>
        </w:rPr>
        <w:t xml:space="preserve">IAEA </w:t>
      </w:r>
      <w:r w:rsidRPr="00C10D10">
        <w:rPr>
          <w:rFonts w:ascii="Times New Roman" w:hAnsi="Times New Roman"/>
          <w:sz w:val="24"/>
          <w:szCs w:val="24"/>
        </w:rPr>
        <w:t xml:space="preserve">Safety Standards Series No. </w:t>
      </w:r>
      <w:proofErr w:type="gramStart"/>
      <w:r w:rsidRPr="00C10D10">
        <w:rPr>
          <w:rFonts w:ascii="Times New Roman" w:hAnsi="Times New Roman"/>
          <w:sz w:val="24"/>
          <w:szCs w:val="24"/>
        </w:rPr>
        <w:t xml:space="preserve">NS-G-1.13. IAEA, Vienna </w:t>
      </w:r>
      <w:r w:rsidR="000147F0" w:rsidRPr="00C10D10">
        <w:rPr>
          <w:rFonts w:ascii="Times New Roman" w:hAnsi="Times New Roman"/>
          <w:sz w:val="24"/>
          <w:szCs w:val="24"/>
        </w:rPr>
        <w:t>(</w:t>
      </w:r>
      <w:r w:rsidRPr="00C10D10">
        <w:rPr>
          <w:rFonts w:ascii="Times New Roman" w:hAnsi="Times New Roman"/>
          <w:sz w:val="24"/>
          <w:szCs w:val="24"/>
        </w:rPr>
        <w:t>2005</w:t>
      </w:r>
      <w:r w:rsidR="000147F0" w:rsidRPr="00C10D10">
        <w:rPr>
          <w:rFonts w:ascii="Times New Roman" w:hAnsi="Times New Roman"/>
          <w:sz w:val="24"/>
          <w:szCs w:val="24"/>
        </w:rPr>
        <w:t>)</w:t>
      </w:r>
      <w:r w:rsidRPr="00C10D10">
        <w:rPr>
          <w:rFonts w:ascii="Times New Roman" w:hAnsi="Times New Roman"/>
          <w:sz w:val="24"/>
          <w:szCs w:val="24"/>
        </w:rPr>
        <w:t>.</w:t>
      </w:r>
      <w:proofErr w:type="gramEnd"/>
    </w:p>
    <w:p w:rsidR="00973AC0" w:rsidRPr="00C10D10" w:rsidRDefault="00973AC0" w:rsidP="001664AF">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w:t>
      </w:r>
      <w:r w:rsidR="005E07AA">
        <w:rPr>
          <w:rFonts w:ascii="Times New Roman" w:hAnsi="Times New Roman"/>
          <w:sz w:val="24"/>
          <w:szCs w:val="24"/>
        </w:rPr>
        <w:t>9</w:t>
      </w:r>
      <w:r w:rsidR="00F850E7" w:rsidRPr="00C10D10">
        <w:rPr>
          <w:rFonts w:ascii="Times New Roman" w:hAnsi="Times New Roman"/>
          <w:sz w:val="24"/>
          <w:szCs w:val="24"/>
        </w:rPr>
        <w:t>]</w:t>
      </w:r>
      <w:r w:rsidR="00F850E7" w:rsidRPr="00C10D10">
        <w:rPr>
          <w:rFonts w:ascii="Times New Roman" w:hAnsi="Times New Roman"/>
          <w:sz w:val="24"/>
          <w:szCs w:val="24"/>
        </w:rPr>
        <w:tab/>
      </w:r>
      <w:r w:rsidRPr="00C10D10">
        <w:rPr>
          <w:rFonts w:ascii="Times New Roman" w:hAnsi="Times New Roman"/>
          <w:sz w:val="24"/>
          <w:szCs w:val="24"/>
        </w:rPr>
        <w:t>INTERNATIONAL ATOMIC ENERGY AGENCY</w:t>
      </w:r>
      <w:r w:rsidR="000147F0" w:rsidRPr="00C10D10">
        <w:rPr>
          <w:rFonts w:ascii="Times New Roman" w:hAnsi="Times New Roman"/>
          <w:sz w:val="24"/>
          <w:szCs w:val="24"/>
        </w:rPr>
        <w:t>,</w:t>
      </w:r>
      <w:r w:rsidRPr="00C10D10">
        <w:rPr>
          <w:rFonts w:ascii="Times New Roman" w:hAnsi="Times New Roman"/>
          <w:sz w:val="24"/>
          <w:szCs w:val="24"/>
        </w:rPr>
        <w:t xml:space="preserve"> Environmental and Source Monitoring for Purposes of Radiation Protection, IAEA Safety Standards Series No. </w:t>
      </w:r>
      <w:proofErr w:type="gramStart"/>
      <w:r w:rsidRPr="00C10D10">
        <w:rPr>
          <w:rFonts w:ascii="Times New Roman" w:hAnsi="Times New Roman"/>
          <w:sz w:val="24"/>
          <w:szCs w:val="24"/>
        </w:rPr>
        <w:t>RS-G-1.8</w:t>
      </w:r>
      <w:r w:rsidR="000147F0" w:rsidRPr="00C10D10">
        <w:rPr>
          <w:rFonts w:ascii="Times New Roman" w:hAnsi="Times New Roman"/>
          <w:sz w:val="24"/>
          <w:szCs w:val="24"/>
        </w:rPr>
        <w:t>,</w:t>
      </w:r>
      <w:r w:rsidRPr="00C10D10">
        <w:rPr>
          <w:rFonts w:ascii="Times New Roman" w:hAnsi="Times New Roman"/>
          <w:sz w:val="24"/>
          <w:szCs w:val="24"/>
        </w:rPr>
        <w:t xml:space="preserve"> IAEA, Vienna </w:t>
      </w:r>
      <w:r w:rsidR="000147F0" w:rsidRPr="00C10D10">
        <w:rPr>
          <w:rFonts w:ascii="Times New Roman" w:hAnsi="Times New Roman"/>
          <w:sz w:val="24"/>
          <w:szCs w:val="24"/>
        </w:rPr>
        <w:t>(</w:t>
      </w:r>
      <w:r w:rsidRPr="00C10D10">
        <w:rPr>
          <w:rFonts w:ascii="Times New Roman" w:hAnsi="Times New Roman"/>
          <w:sz w:val="24"/>
          <w:szCs w:val="24"/>
        </w:rPr>
        <w:t>2005</w:t>
      </w:r>
      <w:r w:rsidR="000147F0" w:rsidRPr="00C10D10">
        <w:rPr>
          <w:rFonts w:ascii="Times New Roman" w:hAnsi="Times New Roman"/>
          <w:sz w:val="24"/>
          <w:szCs w:val="24"/>
        </w:rPr>
        <w:t>)</w:t>
      </w:r>
      <w:r w:rsidRPr="00C10D10">
        <w:rPr>
          <w:rFonts w:ascii="Times New Roman" w:hAnsi="Times New Roman"/>
          <w:sz w:val="24"/>
          <w:szCs w:val="24"/>
        </w:rPr>
        <w:t>.</w:t>
      </w:r>
      <w:proofErr w:type="gramEnd"/>
    </w:p>
    <w:p w:rsidR="00584CA9" w:rsidRPr="00C10D10" w:rsidRDefault="00584CA9" w:rsidP="00584CA9">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[1</w:t>
      </w:r>
      <w:r w:rsidR="005E07AA">
        <w:rPr>
          <w:rFonts w:ascii="Times New Roman" w:hAnsi="Times New Roman"/>
          <w:sz w:val="24"/>
          <w:szCs w:val="24"/>
        </w:rPr>
        <w:t>0</w:t>
      </w:r>
      <w:r w:rsidRPr="00C10D10">
        <w:rPr>
          <w:rFonts w:ascii="Times New Roman" w:hAnsi="Times New Roman"/>
          <w:sz w:val="24"/>
          <w:szCs w:val="24"/>
        </w:rPr>
        <w:t>]</w:t>
      </w:r>
      <w:r w:rsidRPr="00C10D10">
        <w:rPr>
          <w:rFonts w:ascii="Times New Roman" w:hAnsi="Times New Roman"/>
          <w:sz w:val="24"/>
          <w:szCs w:val="24"/>
        </w:rPr>
        <w:tab/>
        <w:t xml:space="preserve">INTERNATIONAL ATOMIC ENERGY AGENCY Radiation Protection and Radioactive Waste Management in the Operation of Nuclear Power Plants, IAEA Safety Standards Series No. </w:t>
      </w:r>
      <w:proofErr w:type="gramStart"/>
      <w:r w:rsidRPr="00C10D10">
        <w:rPr>
          <w:rFonts w:ascii="Times New Roman" w:hAnsi="Times New Roman"/>
          <w:sz w:val="24"/>
          <w:szCs w:val="24"/>
        </w:rPr>
        <w:t>NS-G-2.7, IAEA, Vienna (2002).</w:t>
      </w:r>
      <w:proofErr w:type="gramEnd"/>
    </w:p>
    <w:p w:rsidR="002631CD" w:rsidRDefault="002631CD" w:rsidP="002631CD">
      <w:pPr>
        <w:tabs>
          <w:tab w:val="left" w:pos="567"/>
        </w:tabs>
        <w:spacing w:before="240" w:line="360" w:lineRule="auto"/>
        <w:ind w:left="567" w:hanging="567"/>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D82A53">
        <w:rPr>
          <w:rFonts w:ascii="Times New Roman" w:hAnsi="Times New Roman"/>
          <w:sz w:val="24"/>
          <w:szCs w:val="24"/>
        </w:rPr>
        <w:t xml:space="preserve">INTERNATIONAL ATOMIC ENERGY AGENCY, </w:t>
      </w:r>
      <w:r w:rsidRPr="00BC4A76">
        <w:rPr>
          <w:rFonts w:ascii="Times New Roman" w:hAnsi="Times New Roman"/>
          <w:sz w:val="24"/>
          <w:szCs w:val="24"/>
        </w:rPr>
        <w:t>Near Surface Disposal Facilities for Radioactive Waste</w:t>
      </w:r>
      <w:r>
        <w:rPr>
          <w:rFonts w:ascii="Times New Roman" w:hAnsi="Times New Roman"/>
          <w:sz w:val="24"/>
          <w:szCs w:val="24"/>
        </w:rPr>
        <w:t>,</w:t>
      </w:r>
      <w:r w:rsidRPr="00BC4A76">
        <w:rPr>
          <w:rFonts w:ascii="Times New Roman" w:hAnsi="Times New Roman"/>
          <w:sz w:val="24"/>
          <w:szCs w:val="24"/>
        </w:rPr>
        <w:t xml:space="preserve"> IAEA Safe</w:t>
      </w:r>
      <w:r>
        <w:rPr>
          <w:rFonts w:ascii="Times New Roman" w:hAnsi="Times New Roman"/>
          <w:sz w:val="24"/>
          <w:szCs w:val="24"/>
        </w:rPr>
        <w:t xml:space="preserve">ty Standards Series No. </w:t>
      </w:r>
      <w:proofErr w:type="gramStart"/>
      <w:r>
        <w:rPr>
          <w:rFonts w:ascii="Times New Roman" w:hAnsi="Times New Roman"/>
          <w:sz w:val="24"/>
          <w:szCs w:val="24"/>
        </w:rPr>
        <w:t>SSG-29, IAEA, Vienna (2014).</w:t>
      </w:r>
      <w:proofErr w:type="gramEnd"/>
    </w:p>
    <w:p w:rsidR="002631CD" w:rsidRDefault="002631CD" w:rsidP="002631CD">
      <w:pPr>
        <w:tabs>
          <w:tab w:val="left" w:pos="567"/>
        </w:tabs>
        <w:spacing w:before="240" w:line="360" w:lineRule="auto"/>
        <w:ind w:left="567" w:hanging="567"/>
        <w:jc w:val="both"/>
        <w:rPr>
          <w:rFonts w:ascii="Times New Roman" w:hAnsi="Times New Roman"/>
          <w:sz w:val="24"/>
          <w:szCs w:val="24"/>
        </w:rPr>
      </w:pPr>
      <w:r w:rsidRPr="00BC4A76">
        <w:rPr>
          <w:rFonts w:ascii="Times New Roman" w:hAnsi="Times New Roman"/>
          <w:sz w:val="24"/>
          <w:szCs w:val="24"/>
        </w:rPr>
        <w:t>[</w:t>
      </w:r>
      <w:r>
        <w:rPr>
          <w:rFonts w:ascii="Times New Roman" w:hAnsi="Times New Roman"/>
          <w:sz w:val="24"/>
          <w:szCs w:val="24"/>
        </w:rPr>
        <w:t>12</w:t>
      </w:r>
      <w:r w:rsidRPr="00BC4A76">
        <w:rPr>
          <w:rFonts w:ascii="Times New Roman" w:hAnsi="Times New Roman"/>
          <w:sz w:val="24"/>
          <w:szCs w:val="24"/>
        </w:rPr>
        <w:t>]</w:t>
      </w:r>
      <w:r>
        <w:rPr>
          <w:rFonts w:ascii="Times New Roman" w:hAnsi="Times New Roman"/>
          <w:sz w:val="24"/>
          <w:szCs w:val="24"/>
        </w:rPr>
        <w:tab/>
      </w:r>
      <w:r w:rsidRPr="00D82A53">
        <w:rPr>
          <w:rFonts w:ascii="Times New Roman" w:hAnsi="Times New Roman"/>
          <w:sz w:val="24"/>
          <w:szCs w:val="24"/>
        </w:rPr>
        <w:t>INTERNATIONAL ATOMIC ENERGY AGENCY, Geological Disposal Facilities for Radioactive Waste</w:t>
      </w:r>
      <w:r>
        <w:rPr>
          <w:rFonts w:ascii="Times New Roman" w:hAnsi="Times New Roman"/>
          <w:sz w:val="24"/>
          <w:szCs w:val="24"/>
        </w:rPr>
        <w:t>,</w:t>
      </w:r>
      <w:r w:rsidRPr="00D82A53">
        <w:rPr>
          <w:rFonts w:ascii="Times New Roman" w:hAnsi="Times New Roman"/>
          <w:sz w:val="24"/>
          <w:szCs w:val="24"/>
        </w:rPr>
        <w:t xml:space="preserve"> IAEA Safety Standards Series No. </w:t>
      </w:r>
      <w:proofErr w:type="gramStart"/>
      <w:r w:rsidRPr="00D82A53">
        <w:rPr>
          <w:rFonts w:ascii="Times New Roman" w:hAnsi="Times New Roman"/>
          <w:sz w:val="24"/>
          <w:szCs w:val="24"/>
        </w:rPr>
        <w:t>SSG-14</w:t>
      </w:r>
      <w:r>
        <w:rPr>
          <w:rFonts w:ascii="Times New Roman" w:hAnsi="Times New Roman"/>
          <w:sz w:val="24"/>
          <w:szCs w:val="24"/>
        </w:rPr>
        <w:t>, IAEA, Vienna (2011).</w:t>
      </w:r>
      <w:proofErr w:type="gramEnd"/>
    </w:p>
    <w:p w:rsidR="002631CD" w:rsidRDefault="002631CD" w:rsidP="002631CD">
      <w:pPr>
        <w:tabs>
          <w:tab w:val="left" w:pos="567"/>
        </w:tabs>
        <w:spacing w:before="240" w:line="360" w:lineRule="auto"/>
        <w:ind w:left="567" w:hanging="567"/>
        <w:jc w:val="both"/>
        <w:rPr>
          <w:rFonts w:ascii="Times New Roman" w:hAnsi="Times New Roman"/>
          <w:sz w:val="24"/>
          <w:szCs w:val="24"/>
        </w:rPr>
      </w:pPr>
      <w:r w:rsidRPr="00BC4A76">
        <w:rPr>
          <w:rFonts w:ascii="Times New Roman" w:hAnsi="Times New Roman"/>
          <w:sz w:val="24"/>
          <w:szCs w:val="24"/>
        </w:rPr>
        <w:t>[</w:t>
      </w:r>
      <w:r>
        <w:rPr>
          <w:rFonts w:ascii="Times New Roman" w:hAnsi="Times New Roman"/>
          <w:sz w:val="24"/>
          <w:szCs w:val="24"/>
        </w:rPr>
        <w:t>13</w:t>
      </w:r>
      <w:r w:rsidRPr="00BC4A76">
        <w:rPr>
          <w:rFonts w:ascii="Times New Roman" w:hAnsi="Times New Roman"/>
          <w:sz w:val="24"/>
          <w:szCs w:val="24"/>
        </w:rPr>
        <w:t>]</w:t>
      </w:r>
      <w:r>
        <w:rPr>
          <w:rFonts w:ascii="Times New Roman" w:hAnsi="Times New Roman"/>
          <w:sz w:val="24"/>
          <w:szCs w:val="24"/>
        </w:rPr>
        <w:tab/>
      </w:r>
      <w:r w:rsidRPr="00D82A53">
        <w:rPr>
          <w:rFonts w:ascii="Times New Roman" w:hAnsi="Times New Roman"/>
          <w:sz w:val="24"/>
          <w:szCs w:val="24"/>
        </w:rPr>
        <w:t>INTERNATIONAL ATOMIC ENERGY AGENCY, Borehole Disposal Facilities for Radioactive Waste</w:t>
      </w:r>
      <w:r>
        <w:rPr>
          <w:rFonts w:ascii="Times New Roman" w:hAnsi="Times New Roman"/>
          <w:sz w:val="24"/>
          <w:szCs w:val="24"/>
        </w:rPr>
        <w:t xml:space="preserve">, </w:t>
      </w:r>
      <w:r w:rsidRPr="00D82A53">
        <w:rPr>
          <w:rFonts w:ascii="Times New Roman" w:hAnsi="Times New Roman"/>
          <w:sz w:val="24"/>
          <w:szCs w:val="24"/>
        </w:rPr>
        <w:t xml:space="preserve">IAEA Safety Standards Series No. </w:t>
      </w:r>
      <w:proofErr w:type="gramStart"/>
      <w:r w:rsidRPr="00D82A53">
        <w:rPr>
          <w:rFonts w:ascii="Times New Roman" w:hAnsi="Times New Roman"/>
          <w:sz w:val="24"/>
          <w:szCs w:val="24"/>
        </w:rPr>
        <w:t>SSG-1</w:t>
      </w:r>
      <w:r>
        <w:rPr>
          <w:rFonts w:ascii="Times New Roman" w:hAnsi="Times New Roman"/>
          <w:sz w:val="24"/>
          <w:szCs w:val="24"/>
        </w:rPr>
        <w:t>, IAEA, Vienna (2009).</w:t>
      </w:r>
      <w:proofErr w:type="gramEnd"/>
    </w:p>
    <w:p w:rsidR="002631CD" w:rsidRDefault="002631CD" w:rsidP="002631CD">
      <w:pPr>
        <w:tabs>
          <w:tab w:val="left" w:pos="567"/>
        </w:tabs>
        <w:spacing w:before="120" w:line="360" w:lineRule="auto"/>
        <w:ind w:left="567" w:hanging="567"/>
        <w:jc w:val="both"/>
        <w:rPr>
          <w:rFonts w:ascii="Times New Roman" w:hAnsi="Times New Roman"/>
          <w:sz w:val="24"/>
          <w:szCs w:val="24"/>
        </w:rPr>
      </w:pPr>
      <w:r w:rsidRPr="00BC4A76">
        <w:rPr>
          <w:rFonts w:ascii="Times New Roman" w:hAnsi="Times New Roman"/>
          <w:sz w:val="24"/>
          <w:szCs w:val="24"/>
        </w:rPr>
        <w:t>[</w:t>
      </w:r>
      <w:r>
        <w:rPr>
          <w:rFonts w:ascii="Times New Roman" w:hAnsi="Times New Roman"/>
          <w:sz w:val="24"/>
          <w:szCs w:val="24"/>
        </w:rPr>
        <w:t>14</w:t>
      </w:r>
      <w:r w:rsidRPr="00BC4A76">
        <w:rPr>
          <w:rFonts w:ascii="Times New Roman" w:hAnsi="Times New Roman"/>
          <w:sz w:val="24"/>
          <w:szCs w:val="24"/>
        </w:rPr>
        <w:t>]</w:t>
      </w:r>
      <w:r>
        <w:rPr>
          <w:rFonts w:ascii="Times New Roman" w:hAnsi="Times New Roman"/>
          <w:sz w:val="24"/>
          <w:szCs w:val="24"/>
        </w:rPr>
        <w:tab/>
      </w:r>
      <w:r w:rsidRPr="00F370AE">
        <w:rPr>
          <w:rFonts w:ascii="Times New Roman" w:hAnsi="Times New Roman"/>
          <w:sz w:val="24"/>
          <w:szCs w:val="24"/>
        </w:rPr>
        <w:t>FOOD AND AGRICULTURE ORGANIZATION OF THE UNITED NATIONS,</w:t>
      </w:r>
      <w:r>
        <w:rPr>
          <w:rFonts w:ascii="Times New Roman" w:hAnsi="Times New Roman"/>
          <w:sz w:val="24"/>
          <w:szCs w:val="24"/>
        </w:rPr>
        <w:t xml:space="preserve"> </w:t>
      </w:r>
      <w:r w:rsidRPr="00D82A53">
        <w:rPr>
          <w:rFonts w:ascii="Times New Roman" w:hAnsi="Times New Roman"/>
          <w:sz w:val="24"/>
          <w:szCs w:val="24"/>
        </w:rPr>
        <w:t>INTERNATIONAL ATOMIC ENERGY AGENCY</w:t>
      </w:r>
      <w:r>
        <w:rPr>
          <w:rFonts w:ascii="Times New Roman" w:hAnsi="Times New Roman"/>
          <w:sz w:val="24"/>
          <w:szCs w:val="24"/>
        </w:rPr>
        <w:t>,</w:t>
      </w:r>
      <w:r w:rsidRPr="00D82A53">
        <w:rPr>
          <w:rFonts w:ascii="Times New Roman" w:hAnsi="Times New Roman"/>
          <w:sz w:val="24"/>
          <w:szCs w:val="24"/>
        </w:rPr>
        <w:t xml:space="preserve"> </w:t>
      </w:r>
      <w:r w:rsidRPr="00F370AE">
        <w:rPr>
          <w:rFonts w:ascii="Times New Roman" w:hAnsi="Times New Roman"/>
          <w:sz w:val="24"/>
          <w:szCs w:val="24"/>
        </w:rPr>
        <w:t xml:space="preserve">INTERNATIONAL LABOUR ORGANIZATION, PAN AMERICAN HEALTH ORGANIZATION, UNITED NATIONS OFFICE FOR THE COORDINATION OF HUMANITARIAN AFFAIRS, WORLD HEALTH ORGANIZATION, </w:t>
      </w:r>
      <w:r w:rsidRPr="00D82A53">
        <w:rPr>
          <w:rFonts w:ascii="Times New Roman" w:hAnsi="Times New Roman"/>
          <w:sz w:val="24"/>
          <w:szCs w:val="24"/>
        </w:rPr>
        <w:t>Arrangements for Preparedness for a Nuclear or Radiological Emergency</w:t>
      </w:r>
      <w:r>
        <w:rPr>
          <w:rFonts w:ascii="Times New Roman" w:hAnsi="Times New Roman"/>
          <w:sz w:val="24"/>
          <w:szCs w:val="24"/>
        </w:rPr>
        <w:t xml:space="preserve">, </w:t>
      </w:r>
      <w:r w:rsidRPr="00B04672">
        <w:rPr>
          <w:rFonts w:ascii="Times New Roman" w:hAnsi="Times New Roman"/>
          <w:sz w:val="24"/>
          <w:szCs w:val="24"/>
        </w:rPr>
        <w:t xml:space="preserve">IAEA Safety Standards </w:t>
      </w:r>
      <w:r w:rsidRPr="00D82A53">
        <w:rPr>
          <w:rFonts w:ascii="Times New Roman" w:hAnsi="Times New Roman"/>
          <w:sz w:val="24"/>
          <w:szCs w:val="24"/>
        </w:rPr>
        <w:t xml:space="preserve">Series No. </w:t>
      </w:r>
      <w:proofErr w:type="gramStart"/>
      <w:r w:rsidRPr="00D82A53">
        <w:rPr>
          <w:rFonts w:ascii="Times New Roman" w:hAnsi="Times New Roman"/>
          <w:sz w:val="24"/>
          <w:szCs w:val="24"/>
        </w:rPr>
        <w:t>GS-G-2.</w:t>
      </w:r>
      <w:r>
        <w:rPr>
          <w:rFonts w:ascii="Times New Roman" w:hAnsi="Times New Roman"/>
          <w:sz w:val="24"/>
          <w:szCs w:val="24"/>
        </w:rPr>
        <w:t>1, IAEA, Vienna (2007).</w:t>
      </w:r>
      <w:proofErr w:type="gramEnd"/>
      <w:r w:rsidRPr="00C10D10">
        <w:rPr>
          <w:rFonts w:ascii="Times New Roman" w:hAnsi="Times New Roman"/>
          <w:sz w:val="24"/>
          <w:szCs w:val="24"/>
        </w:rPr>
        <w:t xml:space="preserve"> </w:t>
      </w:r>
    </w:p>
    <w:p w:rsidR="00973AC0" w:rsidRPr="00C10D10" w:rsidRDefault="00973AC0" w:rsidP="002631CD">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[1</w:t>
      </w:r>
      <w:r w:rsidR="002631CD">
        <w:rPr>
          <w:rFonts w:ascii="Times New Roman" w:hAnsi="Times New Roman"/>
          <w:sz w:val="24"/>
          <w:szCs w:val="24"/>
        </w:rPr>
        <w:t>5</w:t>
      </w:r>
      <w:r w:rsidR="00F850E7" w:rsidRPr="00C10D10">
        <w:rPr>
          <w:rFonts w:ascii="Times New Roman" w:hAnsi="Times New Roman"/>
          <w:sz w:val="24"/>
          <w:szCs w:val="24"/>
        </w:rPr>
        <w:t>]</w:t>
      </w:r>
      <w:r w:rsidR="00F850E7" w:rsidRPr="00C10D10">
        <w:rPr>
          <w:rFonts w:ascii="Times New Roman" w:hAnsi="Times New Roman"/>
          <w:sz w:val="24"/>
          <w:szCs w:val="24"/>
        </w:rPr>
        <w:tab/>
      </w:r>
      <w:r w:rsidRPr="00C10D10">
        <w:rPr>
          <w:rFonts w:ascii="Times New Roman" w:hAnsi="Times New Roman"/>
          <w:sz w:val="24"/>
          <w:szCs w:val="24"/>
        </w:rPr>
        <w:t>INTERNATIONAL ATOMIC ENERGY AGENCY</w:t>
      </w:r>
      <w:r w:rsidR="000147F0" w:rsidRPr="00C10D10">
        <w:rPr>
          <w:rFonts w:ascii="Times New Roman" w:hAnsi="Times New Roman"/>
          <w:sz w:val="24"/>
          <w:szCs w:val="24"/>
        </w:rPr>
        <w:t>,</w:t>
      </w:r>
      <w:r w:rsidRPr="00C10D10">
        <w:rPr>
          <w:rFonts w:ascii="Times New Roman" w:hAnsi="Times New Roman"/>
          <w:sz w:val="24"/>
          <w:szCs w:val="24"/>
        </w:rPr>
        <w:t xml:space="preserve"> Generic Models for Use in Assessing the Impact of Discharges of Radioactive Substances to the Environment, Safety Reports Series No. 19</w:t>
      </w:r>
      <w:r w:rsidR="000147F0" w:rsidRPr="00C10D10">
        <w:rPr>
          <w:rFonts w:ascii="Times New Roman" w:hAnsi="Times New Roman"/>
          <w:sz w:val="24"/>
          <w:szCs w:val="24"/>
        </w:rPr>
        <w:t>,</w:t>
      </w:r>
      <w:r w:rsidRPr="00C10D10">
        <w:rPr>
          <w:rFonts w:ascii="Times New Roman" w:hAnsi="Times New Roman"/>
          <w:sz w:val="24"/>
          <w:szCs w:val="24"/>
        </w:rPr>
        <w:t xml:space="preserve"> IAEA, Vienna </w:t>
      </w:r>
      <w:r w:rsidR="000147F0" w:rsidRPr="00C10D10">
        <w:rPr>
          <w:rFonts w:ascii="Times New Roman" w:hAnsi="Times New Roman"/>
          <w:sz w:val="24"/>
          <w:szCs w:val="24"/>
        </w:rPr>
        <w:t>(</w:t>
      </w:r>
      <w:r w:rsidRPr="00C10D10">
        <w:rPr>
          <w:rFonts w:ascii="Times New Roman" w:hAnsi="Times New Roman"/>
          <w:sz w:val="24"/>
          <w:szCs w:val="24"/>
        </w:rPr>
        <w:t>2001</w:t>
      </w:r>
      <w:r w:rsidR="000147F0" w:rsidRPr="00C10D10">
        <w:rPr>
          <w:rFonts w:ascii="Times New Roman" w:hAnsi="Times New Roman"/>
          <w:sz w:val="24"/>
          <w:szCs w:val="24"/>
        </w:rPr>
        <w:t>)</w:t>
      </w:r>
      <w:r w:rsidRPr="00C10D10">
        <w:rPr>
          <w:rFonts w:ascii="Times New Roman" w:hAnsi="Times New Roman"/>
          <w:sz w:val="24"/>
          <w:szCs w:val="24"/>
        </w:rPr>
        <w:t>.</w:t>
      </w:r>
    </w:p>
    <w:p w:rsidR="005C49FC" w:rsidRDefault="005C49FC" w:rsidP="005C49FC">
      <w:pPr>
        <w:tabs>
          <w:tab w:val="left" w:pos="567"/>
        </w:tabs>
        <w:spacing w:before="240" w:line="360" w:lineRule="auto"/>
        <w:ind w:left="567" w:hanging="567"/>
        <w:jc w:val="both"/>
        <w:rPr>
          <w:rFonts w:ascii="Times New Roman" w:hAnsi="Times New Roman"/>
          <w:sz w:val="24"/>
          <w:szCs w:val="24"/>
        </w:rPr>
      </w:pPr>
      <w:r>
        <w:rPr>
          <w:rFonts w:ascii="Times New Roman" w:hAnsi="Times New Roman"/>
          <w:sz w:val="24"/>
          <w:szCs w:val="24"/>
        </w:rPr>
        <w:t>[16</w:t>
      </w:r>
      <w:r w:rsidRPr="00576E7E">
        <w:rPr>
          <w:rFonts w:ascii="Times New Roman" w:hAnsi="Times New Roman"/>
          <w:sz w:val="24"/>
          <w:szCs w:val="24"/>
        </w:rPr>
        <w:t>]</w:t>
      </w:r>
      <w:r>
        <w:rPr>
          <w:rFonts w:ascii="Times New Roman" w:hAnsi="Times New Roman"/>
          <w:sz w:val="24"/>
          <w:szCs w:val="24"/>
        </w:rPr>
        <w:tab/>
      </w:r>
      <w:r w:rsidRPr="005B13AF">
        <w:rPr>
          <w:rFonts w:ascii="Times New Roman" w:hAnsi="Times New Roman"/>
          <w:sz w:val="24"/>
          <w:szCs w:val="24"/>
        </w:rPr>
        <w:t>INTERNATIONAL ATOMIC ENERGY AGENCY,</w:t>
      </w:r>
      <w:r>
        <w:rPr>
          <w:rFonts w:ascii="Times New Roman" w:hAnsi="Times New Roman"/>
          <w:sz w:val="24"/>
          <w:szCs w:val="24"/>
        </w:rPr>
        <w:t xml:space="preserve"> </w:t>
      </w:r>
      <w:r w:rsidRPr="005B13AF">
        <w:rPr>
          <w:rFonts w:ascii="Times New Roman" w:hAnsi="Times New Roman"/>
          <w:sz w:val="24"/>
          <w:szCs w:val="24"/>
        </w:rPr>
        <w:t>Occupational Radiation Protection</w:t>
      </w:r>
      <w:r>
        <w:rPr>
          <w:rFonts w:ascii="Times New Roman" w:hAnsi="Times New Roman"/>
          <w:sz w:val="24"/>
          <w:szCs w:val="24"/>
        </w:rPr>
        <w:t xml:space="preserve">, </w:t>
      </w:r>
      <w:r w:rsidRPr="005B13AF">
        <w:rPr>
          <w:rFonts w:ascii="Times New Roman" w:hAnsi="Times New Roman"/>
          <w:sz w:val="24"/>
          <w:szCs w:val="24"/>
        </w:rPr>
        <w:t>IAEA Safety Standards Series, IAEA, Vienna</w:t>
      </w:r>
      <w:r>
        <w:rPr>
          <w:rFonts w:ascii="Times New Roman" w:hAnsi="Times New Roman"/>
          <w:sz w:val="24"/>
          <w:szCs w:val="24"/>
        </w:rPr>
        <w:t xml:space="preserve"> (in preparation)</w:t>
      </w:r>
      <w:proofErr w:type="gramStart"/>
      <w:r w:rsidRPr="005B13AF">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DS453]</w:t>
      </w:r>
    </w:p>
    <w:p w:rsidR="00584CA9" w:rsidRPr="00C10D10" w:rsidRDefault="00584CA9" w:rsidP="005C49FC">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lastRenderedPageBreak/>
        <w:t>[1</w:t>
      </w:r>
      <w:r w:rsidR="005C49FC">
        <w:rPr>
          <w:rFonts w:ascii="Times New Roman" w:hAnsi="Times New Roman"/>
          <w:sz w:val="24"/>
          <w:szCs w:val="24"/>
        </w:rPr>
        <w:t>7</w:t>
      </w:r>
      <w:r w:rsidRPr="00C10D10">
        <w:rPr>
          <w:rFonts w:ascii="Times New Roman" w:hAnsi="Times New Roman"/>
          <w:sz w:val="24"/>
          <w:szCs w:val="24"/>
        </w:rPr>
        <w:t>]</w:t>
      </w:r>
      <w:r w:rsidRPr="00C10D10">
        <w:rPr>
          <w:rFonts w:ascii="Times New Roman" w:hAnsi="Times New Roman"/>
          <w:sz w:val="24"/>
          <w:szCs w:val="24"/>
        </w:rPr>
        <w:tab/>
        <w:t xml:space="preserve">INTERNATIONAL COMMISSION ON RADIOLOGICAL PROTECTION, </w:t>
      </w:r>
      <w:proofErr w:type="gramStart"/>
      <w:r w:rsidRPr="00C10D10">
        <w:rPr>
          <w:rFonts w:ascii="Times New Roman" w:hAnsi="Times New Roman"/>
          <w:sz w:val="24"/>
          <w:szCs w:val="24"/>
        </w:rPr>
        <w:t>The</w:t>
      </w:r>
      <w:proofErr w:type="gramEnd"/>
      <w:r w:rsidRPr="00C10D10">
        <w:rPr>
          <w:rFonts w:ascii="Times New Roman" w:hAnsi="Times New Roman"/>
          <w:sz w:val="24"/>
          <w:szCs w:val="24"/>
        </w:rPr>
        <w:t xml:space="preserve"> 2007 Recommendations of the International Commission on Radiological Protection’, ICRP Publication 103, Elsevier, Oxford and New York (2007). </w:t>
      </w:r>
    </w:p>
    <w:p w:rsidR="00973AC0" w:rsidRPr="00AC43D1" w:rsidRDefault="00973AC0" w:rsidP="001664AF">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w:t>
      </w:r>
      <w:r w:rsidR="008C6F91" w:rsidRPr="00C10D10">
        <w:rPr>
          <w:rFonts w:ascii="Times New Roman" w:hAnsi="Times New Roman"/>
          <w:sz w:val="24"/>
          <w:szCs w:val="24"/>
        </w:rPr>
        <w:t>1</w:t>
      </w:r>
      <w:r w:rsidR="006A4A5E">
        <w:rPr>
          <w:rFonts w:ascii="Times New Roman" w:hAnsi="Times New Roman"/>
          <w:sz w:val="24"/>
          <w:szCs w:val="24"/>
        </w:rPr>
        <w:t>8</w:t>
      </w:r>
      <w:r w:rsidR="00F850E7" w:rsidRPr="00C10D10">
        <w:rPr>
          <w:rFonts w:ascii="Times New Roman" w:hAnsi="Times New Roman"/>
          <w:sz w:val="24"/>
          <w:szCs w:val="24"/>
        </w:rPr>
        <w:t>]</w:t>
      </w:r>
      <w:r w:rsidR="00F850E7" w:rsidRPr="00C10D10">
        <w:rPr>
          <w:rFonts w:ascii="Times New Roman" w:hAnsi="Times New Roman"/>
          <w:sz w:val="24"/>
          <w:szCs w:val="24"/>
        </w:rPr>
        <w:tab/>
      </w:r>
      <w:r w:rsidRPr="00C10D10">
        <w:rPr>
          <w:rFonts w:ascii="Times New Roman" w:hAnsi="Times New Roman"/>
          <w:sz w:val="24"/>
          <w:szCs w:val="24"/>
        </w:rPr>
        <w:t>INTERNATIONAL ATOMIC ENERGY AGENCY</w:t>
      </w:r>
      <w:r w:rsidR="00C43988">
        <w:rPr>
          <w:rFonts w:ascii="Times New Roman" w:hAnsi="Times New Roman"/>
          <w:sz w:val="24"/>
          <w:szCs w:val="24"/>
        </w:rPr>
        <w:t>,</w:t>
      </w:r>
      <w:r w:rsidRPr="00C10D10">
        <w:rPr>
          <w:rFonts w:ascii="Times New Roman" w:hAnsi="Times New Roman"/>
          <w:sz w:val="24"/>
          <w:szCs w:val="24"/>
        </w:rPr>
        <w:t xml:space="preserve"> Governmental, Legal and Regulatory Framework for Safety, </w:t>
      </w:r>
      <w:r w:rsidR="00EF529F" w:rsidRPr="00C10D10">
        <w:rPr>
          <w:rFonts w:ascii="Times New Roman" w:hAnsi="Times New Roman"/>
          <w:sz w:val="24"/>
          <w:szCs w:val="24"/>
        </w:rPr>
        <w:t xml:space="preserve">IAEA </w:t>
      </w:r>
      <w:r w:rsidRPr="00C10D10">
        <w:rPr>
          <w:rFonts w:ascii="Times New Roman" w:hAnsi="Times New Roman"/>
          <w:sz w:val="24"/>
          <w:szCs w:val="24"/>
        </w:rPr>
        <w:t xml:space="preserve">Safety </w:t>
      </w:r>
      <w:r w:rsidRPr="00B30513">
        <w:rPr>
          <w:rFonts w:ascii="Times New Roman" w:hAnsi="Times New Roman"/>
          <w:sz w:val="24"/>
          <w:szCs w:val="24"/>
        </w:rPr>
        <w:t xml:space="preserve">Standards Series No. </w:t>
      </w:r>
      <w:proofErr w:type="gramStart"/>
      <w:r w:rsidR="00B30513" w:rsidRPr="00342F01">
        <w:rPr>
          <w:rFonts w:ascii="Times New Roman" w:hAnsi="Times New Roman"/>
          <w:sz w:val="24"/>
          <w:szCs w:val="24"/>
        </w:rPr>
        <w:t xml:space="preserve">GSR Part </w:t>
      </w:r>
      <w:r w:rsidR="00B30513" w:rsidRPr="00AC43D1">
        <w:rPr>
          <w:rFonts w:ascii="Times New Roman" w:hAnsi="Times New Roman"/>
          <w:sz w:val="24"/>
          <w:szCs w:val="24"/>
        </w:rPr>
        <w:t xml:space="preserve">1 </w:t>
      </w:r>
      <w:r w:rsidR="007D62FD">
        <w:rPr>
          <w:rFonts w:ascii="Times New Roman" w:hAnsi="Times New Roman"/>
          <w:sz w:val="24"/>
          <w:szCs w:val="24"/>
        </w:rPr>
        <w:t>(</w:t>
      </w:r>
      <w:r w:rsidR="00B30513" w:rsidRPr="00B6523A">
        <w:rPr>
          <w:rFonts w:ascii="Times New Roman" w:hAnsi="Times New Roman"/>
          <w:sz w:val="24"/>
          <w:szCs w:val="24"/>
        </w:rPr>
        <w:t>Rev. 1</w:t>
      </w:r>
      <w:r w:rsidR="007D62FD">
        <w:rPr>
          <w:rFonts w:ascii="Times New Roman" w:hAnsi="Times New Roman"/>
          <w:sz w:val="24"/>
          <w:szCs w:val="24"/>
          <w:u w:val="single"/>
        </w:rPr>
        <w:t>),</w:t>
      </w:r>
      <w:r w:rsidR="00B30513" w:rsidRPr="00AC43D1">
        <w:rPr>
          <w:rFonts w:ascii="Times New Roman" w:hAnsi="Times New Roman"/>
          <w:sz w:val="24"/>
          <w:szCs w:val="24"/>
        </w:rPr>
        <w:t xml:space="preserve"> IAEA, Vienna (201</w:t>
      </w:r>
      <w:r w:rsidR="007D62FD">
        <w:rPr>
          <w:rFonts w:ascii="Times New Roman" w:hAnsi="Times New Roman"/>
          <w:sz w:val="24"/>
          <w:szCs w:val="24"/>
        </w:rPr>
        <w:t>6</w:t>
      </w:r>
      <w:r w:rsidR="00B30513" w:rsidRPr="00AC43D1">
        <w:rPr>
          <w:rFonts w:ascii="Times New Roman" w:hAnsi="Times New Roman"/>
          <w:sz w:val="24"/>
          <w:szCs w:val="24"/>
        </w:rPr>
        <w:t>).</w:t>
      </w:r>
      <w:proofErr w:type="gramEnd"/>
    </w:p>
    <w:p w:rsidR="006A4A5E" w:rsidRPr="00C10D10" w:rsidRDefault="006A4A5E" w:rsidP="006A4A5E">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w:t>
      </w:r>
      <w:r>
        <w:rPr>
          <w:rFonts w:ascii="Times New Roman" w:hAnsi="Times New Roman"/>
          <w:sz w:val="24"/>
          <w:szCs w:val="24"/>
        </w:rPr>
        <w:t>19</w:t>
      </w:r>
      <w:r w:rsidRPr="00C10D10">
        <w:rPr>
          <w:rFonts w:ascii="Times New Roman" w:hAnsi="Times New Roman"/>
          <w:sz w:val="24"/>
          <w:szCs w:val="24"/>
        </w:rPr>
        <w:t>]</w:t>
      </w:r>
      <w:r w:rsidRPr="00C10D10">
        <w:rPr>
          <w:rFonts w:ascii="Times New Roman" w:hAnsi="Times New Roman"/>
          <w:sz w:val="24"/>
          <w:szCs w:val="24"/>
        </w:rPr>
        <w:tab/>
        <w:t>INTERNATIONAL ATOMIC ENERGY AGENCY</w:t>
      </w:r>
      <w:r>
        <w:rPr>
          <w:rFonts w:ascii="Times New Roman" w:hAnsi="Times New Roman"/>
          <w:sz w:val="24"/>
          <w:szCs w:val="24"/>
        </w:rPr>
        <w:t>,</w:t>
      </w:r>
      <w:r w:rsidRPr="00C10D10">
        <w:rPr>
          <w:rFonts w:ascii="Times New Roman" w:hAnsi="Times New Roman"/>
          <w:sz w:val="24"/>
          <w:szCs w:val="24"/>
        </w:rPr>
        <w:t xml:space="preserve"> Safety Assessment for Facilities and Activities, IAEA Safety Standards Series No. </w:t>
      </w:r>
      <w:proofErr w:type="gramStart"/>
      <w:r w:rsidRPr="00C10D10">
        <w:rPr>
          <w:rFonts w:ascii="Times New Roman" w:hAnsi="Times New Roman"/>
          <w:sz w:val="24"/>
          <w:szCs w:val="24"/>
        </w:rPr>
        <w:t xml:space="preserve">GSR Part 4 </w:t>
      </w:r>
      <w:r>
        <w:rPr>
          <w:rFonts w:ascii="Times New Roman" w:hAnsi="Times New Roman"/>
          <w:sz w:val="24"/>
          <w:szCs w:val="24"/>
        </w:rPr>
        <w:t xml:space="preserve">(Rev. 1), </w:t>
      </w:r>
      <w:r w:rsidRPr="00C10D10">
        <w:rPr>
          <w:rFonts w:ascii="Times New Roman" w:hAnsi="Times New Roman"/>
          <w:sz w:val="24"/>
          <w:szCs w:val="24"/>
        </w:rPr>
        <w:t>IAEA, Vienna (</w:t>
      </w:r>
      <w:r>
        <w:rPr>
          <w:rFonts w:ascii="Times New Roman" w:hAnsi="Times New Roman"/>
          <w:sz w:val="24"/>
          <w:szCs w:val="24"/>
        </w:rPr>
        <w:t>2016</w:t>
      </w:r>
      <w:r w:rsidRPr="00C10D10">
        <w:rPr>
          <w:rFonts w:ascii="Times New Roman" w:hAnsi="Times New Roman"/>
          <w:sz w:val="24"/>
          <w:szCs w:val="24"/>
        </w:rPr>
        <w:t>).</w:t>
      </w:r>
      <w:proofErr w:type="gramEnd"/>
    </w:p>
    <w:p w:rsidR="006A4A5E" w:rsidRPr="00536692" w:rsidRDefault="006A4A5E" w:rsidP="006A4A5E">
      <w:pPr>
        <w:tabs>
          <w:tab w:val="left" w:pos="567"/>
        </w:tabs>
        <w:spacing w:before="240" w:line="360" w:lineRule="auto"/>
        <w:ind w:left="567" w:hanging="567"/>
        <w:jc w:val="both"/>
        <w:rPr>
          <w:rFonts w:ascii="Times New Roman" w:hAnsi="Times New Roman"/>
          <w:sz w:val="24"/>
          <w:szCs w:val="24"/>
        </w:rPr>
      </w:pPr>
      <w:r w:rsidRPr="00536692">
        <w:rPr>
          <w:rFonts w:ascii="Times New Roman" w:hAnsi="Times New Roman"/>
          <w:sz w:val="24"/>
          <w:szCs w:val="24"/>
        </w:rPr>
        <w:t>[2</w:t>
      </w:r>
      <w:r>
        <w:rPr>
          <w:rFonts w:ascii="Times New Roman" w:hAnsi="Times New Roman"/>
          <w:sz w:val="24"/>
          <w:szCs w:val="24"/>
        </w:rPr>
        <w:t>0</w:t>
      </w:r>
      <w:r w:rsidRPr="00536692">
        <w:rPr>
          <w:rFonts w:ascii="Times New Roman" w:hAnsi="Times New Roman"/>
          <w:sz w:val="24"/>
          <w:szCs w:val="24"/>
        </w:rPr>
        <w:t>]</w:t>
      </w:r>
      <w:r w:rsidRPr="00536692">
        <w:rPr>
          <w:rFonts w:ascii="Times New Roman" w:hAnsi="Times New Roman"/>
          <w:sz w:val="24"/>
          <w:szCs w:val="24"/>
        </w:rPr>
        <w:tab/>
        <w:t xml:space="preserve">INTERNATIONAL ATOMIC ENERGY AGENCY, Application of the Concepts of Exclusion, Exemption and Clearance, IAEA Safety Standards Series No. </w:t>
      </w:r>
      <w:proofErr w:type="gramStart"/>
      <w:r w:rsidRPr="00536692">
        <w:rPr>
          <w:rFonts w:ascii="Times New Roman" w:hAnsi="Times New Roman"/>
          <w:sz w:val="24"/>
          <w:szCs w:val="24"/>
        </w:rPr>
        <w:t>RS-G-1.7, IAEA, Vienna (2004).</w:t>
      </w:r>
      <w:proofErr w:type="gramEnd"/>
    </w:p>
    <w:p w:rsidR="00584CA9" w:rsidRPr="00C10D10" w:rsidRDefault="00584CA9" w:rsidP="00584CA9">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w:t>
      </w:r>
      <w:r w:rsidR="00C35AEB">
        <w:rPr>
          <w:rFonts w:ascii="Times New Roman" w:hAnsi="Times New Roman"/>
          <w:sz w:val="24"/>
          <w:szCs w:val="24"/>
        </w:rPr>
        <w:t>21</w:t>
      </w:r>
      <w:r w:rsidRPr="00C10D10">
        <w:rPr>
          <w:rFonts w:ascii="Times New Roman" w:hAnsi="Times New Roman"/>
          <w:sz w:val="24"/>
          <w:szCs w:val="24"/>
        </w:rPr>
        <w:t>]</w:t>
      </w:r>
      <w:r w:rsidRPr="00C10D10">
        <w:rPr>
          <w:rFonts w:ascii="Times New Roman" w:hAnsi="Times New Roman"/>
          <w:sz w:val="24"/>
          <w:szCs w:val="24"/>
        </w:rPr>
        <w:tab/>
        <w:t>UNITED NATIONS</w:t>
      </w:r>
      <w:r w:rsidR="00C43988">
        <w:rPr>
          <w:rFonts w:ascii="Times New Roman" w:hAnsi="Times New Roman"/>
          <w:sz w:val="24"/>
          <w:szCs w:val="24"/>
        </w:rPr>
        <w:t xml:space="preserve"> </w:t>
      </w:r>
      <w:r w:rsidR="00C43988" w:rsidRPr="00C43988">
        <w:rPr>
          <w:rFonts w:ascii="Times New Roman" w:hAnsi="Times New Roman"/>
          <w:sz w:val="24"/>
          <w:szCs w:val="24"/>
        </w:rPr>
        <w:t>SCIENTIFIC COMMITTEE ON THE EFFECTS OF ATOMIC RADIATION</w:t>
      </w:r>
      <w:r w:rsidRPr="00C10D10">
        <w:rPr>
          <w:rFonts w:ascii="Times New Roman" w:hAnsi="Times New Roman"/>
          <w:sz w:val="24"/>
          <w:szCs w:val="24"/>
        </w:rPr>
        <w:t>, Sources and Effects of Ionizing Radiation</w:t>
      </w:r>
      <w:r w:rsidR="00C43988">
        <w:rPr>
          <w:rFonts w:ascii="Times New Roman" w:hAnsi="Times New Roman"/>
          <w:sz w:val="24"/>
          <w:szCs w:val="24"/>
        </w:rPr>
        <w:t xml:space="preserve">, </w:t>
      </w:r>
      <w:r w:rsidRPr="00C10D10">
        <w:rPr>
          <w:rFonts w:ascii="Times New Roman" w:hAnsi="Times New Roman"/>
          <w:sz w:val="24"/>
          <w:szCs w:val="24"/>
        </w:rPr>
        <w:t>Report to the General Assembly, with</w:t>
      </w:r>
      <w:r w:rsidR="00C43988">
        <w:rPr>
          <w:rFonts w:ascii="Times New Roman" w:hAnsi="Times New Roman"/>
          <w:sz w:val="24"/>
          <w:szCs w:val="24"/>
        </w:rPr>
        <w:t xml:space="preserve"> scientific</w:t>
      </w:r>
      <w:r w:rsidRPr="00C10D10">
        <w:rPr>
          <w:rFonts w:ascii="Times New Roman" w:hAnsi="Times New Roman"/>
          <w:sz w:val="24"/>
          <w:szCs w:val="24"/>
        </w:rPr>
        <w:t xml:space="preserve"> annexes</w:t>
      </w:r>
      <w:r w:rsidR="00C43988">
        <w:rPr>
          <w:rFonts w:ascii="Times New Roman" w:hAnsi="Times New Roman"/>
          <w:sz w:val="24"/>
          <w:szCs w:val="24"/>
        </w:rPr>
        <w:t>,</w:t>
      </w:r>
      <w:r w:rsidRPr="00C10D10">
        <w:rPr>
          <w:rFonts w:ascii="Times New Roman" w:hAnsi="Times New Roman"/>
          <w:sz w:val="24"/>
          <w:szCs w:val="24"/>
        </w:rPr>
        <w:t xml:space="preserve"> </w:t>
      </w:r>
      <w:r w:rsidR="00C43988">
        <w:rPr>
          <w:rFonts w:ascii="Times New Roman" w:hAnsi="Times New Roman"/>
          <w:sz w:val="24"/>
          <w:szCs w:val="24"/>
        </w:rPr>
        <w:t>UN</w:t>
      </w:r>
      <w:r w:rsidRPr="00C10D10">
        <w:rPr>
          <w:rFonts w:ascii="Times New Roman" w:hAnsi="Times New Roman"/>
          <w:sz w:val="24"/>
          <w:szCs w:val="24"/>
        </w:rPr>
        <w:t>, New York (2008).</w:t>
      </w:r>
    </w:p>
    <w:p w:rsidR="00584CA9" w:rsidRPr="00C10D10" w:rsidRDefault="00584CA9" w:rsidP="00C35AEB">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[2</w:t>
      </w:r>
      <w:r w:rsidR="009A6F8B">
        <w:rPr>
          <w:rFonts w:ascii="Times New Roman" w:hAnsi="Times New Roman"/>
          <w:sz w:val="24"/>
          <w:szCs w:val="24"/>
        </w:rPr>
        <w:t>2</w:t>
      </w:r>
      <w:r w:rsidRPr="00C10D10">
        <w:rPr>
          <w:rFonts w:ascii="Times New Roman" w:hAnsi="Times New Roman"/>
          <w:sz w:val="24"/>
          <w:szCs w:val="24"/>
        </w:rPr>
        <w:t>]</w:t>
      </w:r>
      <w:r w:rsidRPr="00C10D10">
        <w:rPr>
          <w:rFonts w:ascii="Times New Roman" w:hAnsi="Times New Roman"/>
          <w:sz w:val="24"/>
          <w:szCs w:val="24"/>
        </w:rPr>
        <w:tab/>
        <w:t>INTERNATIONAL ATOMIC ENERGY AGENCY, Programmes and Systems for Source and Environmental Radiation Monitoring, Safety Reports Series No. 64, IAEA, Vienna (2010).</w:t>
      </w:r>
    </w:p>
    <w:p w:rsidR="009A6F8B" w:rsidRDefault="009A6F8B" w:rsidP="009A6F8B">
      <w:pPr>
        <w:tabs>
          <w:tab w:val="left" w:pos="567"/>
        </w:tabs>
        <w:spacing w:before="240" w:line="360" w:lineRule="auto"/>
        <w:ind w:left="567" w:hanging="567"/>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E00CA8">
        <w:rPr>
          <w:rFonts w:ascii="Times New Roman" w:hAnsi="Times New Roman"/>
          <w:sz w:val="24"/>
          <w:szCs w:val="24"/>
        </w:rPr>
        <w:t xml:space="preserve">INTERNATIONAL ATOMIC ENERGY AGENCY, </w:t>
      </w:r>
      <w:proofErr w:type="gramStart"/>
      <w:r w:rsidRPr="00E00CA8">
        <w:rPr>
          <w:rFonts w:ascii="Times New Roman" w:hAnsi="Times New Roman"/>
          <w:sz w:val="24"/>
          <w:szCs w:val="24"/>
        </w:rPr>
        <w:t>The</w:t>
      </w:r>
      <w:proofErr w:type="gramEnd"/>
      <w:r w:rsidRPr="00E00CA8">
        <w:rPr>
          <w:rFonts w:ascii="Times New Roman" w:hAnsi="Times New Roman"/>
          <w:sz w:val="24"/>
          <w:szCs w:val="24"/>
        </w:rPr>
        <w:t xml:space="preserve"> Safety Case and Safety Assessment for the Predisposal Management of Radioactive Waste, </w:t>
      </w:r>
      <w:r>
        <w:rPr>
          <w:rFonts w:ascii="Times New Roman" w:hAnsi="Times New Roman"/>
          <w:sz w:val="24"/>
          <w:szCs w:val="24"/>
        </w:rPr>
        <w:t>IAEA Safety Standards Series</w:t>
      </w:r>
      <w:r w:rsidRPr="00E00CA8">
        <w:rPr>
          <w:rFonts w:ascii="Times New Roman" w:hAnsi="Times New Roman"/>
          <w:sz w:val="24"/>
          <w:szCs w:val="24"/>
        </w:rPr>
        <w:t xml:space="preserve"> No. </w:t>
      </w:r>
      <w:proofErr w:type="gramStart"/>
      <w:r w:rsidRPr="00E00CA8">
        <w:rPr>
          <w:rFonts w:ascii="Times New Roman" w:hAnsi="Times New Roman"/>
          <w:sz w:val="24"/>
          <w:szCs w:val="24"/>
        </w:rPr>
        <w:t>GSG-3, IAEA.</w:t>
      </w:r>
      <w:proofErr w:type="gramEnd"/>
      <w:r w:rsidRPr="00E00CA8">
        <w:rPr>
          <w:rFonts w:ascii="Times New Roman" w:hAnsi="Times New Roman"/>
          <w:sz w:val="24"/>
          <w:szCs w:val="24"/>
        </w:rPr>
        <w:t xml:space="preserve"> </w:t>
      </w:r>
      <w:proofErr w:type="gramStart"/>
      <w:r w:rsidRPr="00E00CA8">
        <w:rPr>
          <w:rFonts w:ascii="Times New Roman" w:hAnsi="Times New Roman"/>
          <w:sz w:val="24"/>
          <w:szCs w:val="24"/>
        </w:rPr>
        <w:t>Vienna (2013)</w:t>
      </w:r>
      <w:r>
        <w:rPr>
          <w:rFonts w:ascii="Times New Roman" w:hAnsi="Times New Roman"/>
          <w:sz w:val="24"/>
          <w:szCs w:val="24"/>
        </w:rPr>
        <w:t>.</w:t>
      </w:r>
      <w:proofErr w:type="gramEnd"/>
    </w:p>
    <w:p w:rsidR="00125BB9" w:rsidRDefault="00125BB9" w:rsidP="00125BB9">
      <w:pPr>
        <w:tabs>
          <w:tab w:val="left" w:pos="567"/>
        </w:tabs>
        <w:spacing w:before="240" w:line="360" w:lineRule="auto"/>
        <w:ind w:left="567" w:hanging="567"/>
        <w:jc w:val="both"/>
        <w:rPr>
          <w:rFonts w:ascii="Times New Roman" w:hAnsi="Times New Roman"/>
          <w:sz w:val="24"/>
          <w:szCs w:val="24"/>
        </w:rPr>
      </w:pPr>
      <w:r w:rsidRPr="00BC4A76">
        <w:rPr>
          <w:rFonts w:ascii="Times New Roman" w:hAnsi="Times New Roman"/>
          <w:sz w:val="24"/>
          <w:szCs w:val="24"/>
        </w:rPr>
        <w:t>[</w:t>
      </w:r>
      <w:r>
        <w:rPr>
          <w:rFonts w:ascii="Times New Roman" w:hAnsi="Times New Roman"/>
          <w:sz w:val="24"/>
          <w:szCs w:val="24"/>
        </w:rPr>
        <w:t>24</w:t>
      </w:r>
      <w:r w:rsidRPr="00BC4A76">
        <w:rPr>
          <w:rFonts w:ascii="Times New Roman" w:hAnsi="Times New Roman"/>
          <w:sz w:val="24"/>
          <w:szCs w:val="24"/>
        </w:rPr>
        <w:t>]</w:t>
      </w:r>
      <w:r>
        <w:rPr>
          <w:rFonts w:ascii="Times New Roman" w:hAnsi="Times New Roman"/>
          <w:sz w:val="24"/>
          <w:szCs w:val="24"/>
        </w:rPr>
        <w:tab/>
      </w:r>
      <w:r w:rsidRPr="00D82A53">
        <w:rPr>
          <w:rFonts w:ascii="Times New Roman" w:hAnsi="Times New Roman"/>
          <w:sz w:val="24"/>
          <w:szCs w:val="24"/>
        </w:rPr>
        <w:t xml:space="preserve">INTERNATIONAL ATOMIC ENERGY AGENCY, </w:t>
      </w:r>
      <w:r>
        <w:rPr>
          <w:rFonts w:ascii="Times New Roman" w:hAnsi="Times New Roman"/>
          <w:sz w:val="24"/>
          <w:szCs w:val="24"/>
        </w:rPr>
        <w:t xml:space="preserve">Classification of Radioactive Waste, </w:t>
      </w:r>
      <w:r w:rsidRPr="00D82A53">
        <w:rPr>
          <w:rFonts w:ascii="Times New Roman" w:hAnsi="Times New Roman"/>
          <w:sz w:val="24"/>
          <w:szCs w:val="24"/>
        </w:rPr>
        <w:t xml:space="preserve">IAEA Safety Standards Series No. </w:t>
      </w:r>
      <w:proofErr w:type="gramStart"/>
      <w:r>
        <w:rPr>
          <w:rFonts w:ascii="Times New Roman" w:hAnsi="Times New Roman"/>
          <w:sz w:val="24"/>
          <w:szCs w:val="24"/>
        </w:rPr>
        <w:t>GSG-1, IAEA, Vienna (2009).</w:t>
      </w:r>
      <w:proofErr w:type="gramEnd"/>
    </w:p>
    <w:p w:rsidR="004107E5" w:rsidRPr="00C10D10" w:rsidRDefault="004107E5" w:rsidP="009A6F8B">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w:t>
      </w:r>
      <w:r w:rsidR="0078734D">
        <w:rPr>
          <w:rFonts w:ascii="Times New Roman" w:hAnsi="Times New Roman"/>
          <w:sz w:val="24"/>
          <w:szCs w:val="24"/>
        </w:rPr>
        <w:t>25</w:t>
      </w:r>
      <w:r w:rsidRPr="00C10D10">
        <w:rPr>
          <w:rFonts w:ascii="Times New Roman" w:hAnsi="Times New Roman"/>
          <w:sz w:val="24"/>
          <w:szCs w:val="24"/>
        </w:rPr>
        <w:t>]</w:t>
      </w:r>
      <w:r w:rsidRPr="00C10D10">
        <w:rPr>
          <w:rFonts w:ascii="Times New Roman" w:hAnsi="Times New Roman"/>
          <w:sz w:val="24"/>
          <w:szCs w:val="24"/>
        </w:rPr>
        <w:tab/>
        <w:t>INTERNATIONAL COMMISSION ON RADIOLOGICAL PROTECTION, Assessing Dose of the Representative Person for the Purpose of Radiation Protection of the Public and the Optimisation of Radiological Protection: Broadening the Process, ICRP Publication 101, Elsevier, Oxford and New York (2006).</w:t>
      </w:r>
    </w:p>
    <w:p w:rsidR="007D62FD" w:rsidRDefault="00584CA9" w:rsidP="004107E5">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[2</w:t>
      </w:r>
      <w:r w:rsidR="008E0692">
        <w:rPr>
          <w:rFonts w:ascii="Times New Roman" w:hAnsi="Times New Roman"/>
          <w:sz w:val="24"/>
          <w:szCs w:val="24"/>
        </w:rPr>
        <w:t>6</w:t>
      </w:r>
      <w:r w:rsidRPr="00C10D10">
        <w:rPr>
          <w:rFonts w:ascii="Times New Roman" w:hAnsi="Times New Roman"/>
          <w:sz w:val="24"/>
          <w:szCs w:val="24"/>
        </w:rPr>
        <w:t>]</w:t>
      </w:r>
      <w:r w:rsidRPr="00C10D10">
        <w:rPr>
          <w:rFonts w:ascii="Times New Roman" w:hAnsi="Times New Roman"/>
          <w:sz w:val="24"/>
          <w:szCs w:val="24"/>
        </w:rPr>
        <w:tab/>
        <w:t xml:space="preserve">ENVIRONMENT AGENCY, UK </w:t>
      </w:r>
      <w:proofErr w:type="gramStart"/>
      <w:r w:rsidRPr="00C10D10">
        <w:rPr>
          <w:rFonts w:ascii="Times New Roman" w:hAnsi="Times New Roman"/>
          <w:sz w:val="24"/>
          <w:szCs w:val="24"/>
        </w:rPr>
        <w:t>Principles</w:t>
      </w:r>
      <w:r w:rsidR="00A524C6">
        <w:rPr>
          <w:rFonts w:ascii="Times New Roman" w:hAnsi="Times New Roman"/>
          <w:sz w:val="24"/>
          <w:szCs w:val="24"/>
        </w:rPr>
        <w:t xml:space="preserve"> </w:t>
      </w:r>
      <w:r w:rsidR="00A524C6" w:rsidRPr="00C10D10">
        <w:rPr>
          <w:rFonts w:ascii="Times New Roman" w:hAnsi="Times New Roman"/>
          <w:sz w:val="24"/>
          <w:szCs w:val="24"/>
        </w:rPr>
        <w:t xml:space="preserve"> (</w:t>
      </w:r>
      <w:proofErr w:type="gramEnd"/>
      <w:r w:rsidR="00A524C6" w:rsidRPr="00C10D10">
        <w:rPr>
          <w:rFonts w:ascii="Times New Roman" w:hAnsi="Times New Roman"/>
          <w:sz w:val="24"/>
          <w:szCs w:val="24"/>
        </w:rPr>
        <w:t>2010)</w:t>
      </w:r>
    </w:p>
    <w:p w:rsidR="00584CA9" w:rsidRPr="00C10D10" w:rsidRDefault="007D62FD" w:rsidP="00584CA9">
      <w:pPr>
        <w:tabs>
          <w:tab w:val="left" w:pos="567"/>
        </w:tabs>
        <w:spacing w:before="120" w:line="360" w:lineRule="auto"/>
        <w:ind w:left="567" w:hanging="567"/>
        <w:jc w:val="both"/>
        <w:rPr>
          <w:rFonts w:ascii="Times New Roman" w:hAnsi="Times New Roman"/>
          <w:sz w:val="24"/>
          <w:szCs w:val="24"/>
        </w:rPr>
      </w:pPr>
      <w:r>
        <w:rPr>
          <w:rFonts w:ascii="Times New Roman" w:hAnsi="Times New Roman"/>
          <w:sz w:val="24"/>
          <w:szCs w:val="24"/>
        </w:rPr>
        <w:tab/>
      </w:r>
      <w:r w:rsidR="00584CA9" w:rsidRPr="00C10D10">
        <w:rPr>
          <w:rFonts w:ascii="Times New Roman" w:hAnsi="Times New Roman"/>
          <w:sz w:val="24"/>
          <w:szCs w:val="24"/>
        </w:rPr>
        <w:t>(</w:t>
      </w:r>
      <w:proofErr w:type="gramStart"/>
      <w:r w:rsidR="00584CA9" w:rsidRPr="00C10D10">
        <w:rPr>
          <w:rFonts w:ascii="Times New Roman" w:hAnsi="Times New Roman"/>
          <w:sz w:val="24"/>
          <w:szCs w:val="24"/>
        </w:rPr>
        <w:t>see</w:t>
      </w:r>
      <w:proofErr w:type="gramEnd"/>
      <w:r w:rsidR="00584CA9" w:rsidRPr="00C10D10">
        <w:rPr>
          <w:rFonts w:ascii="Times New Roman" w:hAnsi="Times New Roman"/>
          <w:sz w:val="24"/>
          <w:szCs w:val="24"/>
        </w:rPr>
        <w:t xml:space="preserve"> </w:t>
      </w:r>
      <w:hyperlink r:id="rId13" w:history="1">
        <w:r w:rsidR="00584CA9" w:rsidRPr="00C10D10">
          <w:rPr>
            <w:rStyle w:val="Hyperlink"/>
            <w:rFonts w:ascii="Times New Roman" w:hAnsi="Times New Roman"/>
            <w:sz w:val="24"/>
            <w:szCs w:val="24"/>
          </w:rPr>
          <w:t>https://www.gov.uk/government/policies</w:t>
        </w:r>
      </w:hyperlink>
      <w:r w:rsidR="00584CA9" w:rsidRPr="00C10D10">
        <w:rPr>
          <w:rFonts w:ascii="Times New Roman" w:hAnsi="Times New Roman"/>
          <w:sz w:val="24"/>
          <w:szCs w:val="24"/>
        </w:rPr>
        <w:t>).</w:t>
      </w:r>
    </w:p>
    <w:p w:rsidR="00584CA9" w:rsidRPr="00C10D10" w:rsidRDefault="00584CA9" w:rsidP="00584CA9">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lastRenderedPageBreak/>
        <w:t>[2</w:t>
      </w:r>
      <w:r w:rsidR="008E0692">
        <w:rPr>
          <w:rFonts w:ascii="Times New Roman" w:hAnsi="Times New Roman"/>
          <w:sz w:val="24"/>
          <w:szCs w:val="24"/>
        </w:rPr>
        <w:t>7</w:t>
      </w:r>
      <w:r w:rsidRPr="00C10D10">
        <w:rPr>
          <w:rFonts w:ascii="Times New Roman" w:hAnsi="Times New Roman"/>
          <w:sz w:val="24"/>
          <w:szCs w:val="24"/>
        </w:rPr>
        <w:t>]</w:t>
      </w:r>
      <w:r w:rsidRPr="00C10D10">
        <w:rPr>
          <w:rFonts w:ascii="Times New Roman" w:hAnsi="Times New Roman"/>
          <w:sz w:val="24"/>
          <w:szCs w:val="24"/>
        </w:rPr>
        <w:tab/>
        <w:t>OSPAR COMMISSION, 1992 OSPAR Convention for the Protection of the Marine Environment of the North-East Atlantic, 22 September 1992.</w:t>
      </w:r>
    </w:p>
    <w:p w:rsidR="00584CA9" w:rsidRPr="00C10D10" w:rsidRDefault="00584CA9" w:rsidP="00584CA9">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[2</w:t>
      </w:r>
      <w:r w:rsidR="008E0692">
        <w:rPr>
          <w:rFonts w:ascii="Times New Roman" w:hAnsi="Times New Roman"/>
          <w:sz w:val="24"/>
          <w:szCs w:val="24"/>
        </w:rPr>
        <w:t>8</w:t>
      </w:r>
      <w:r w:rsidRPr="00C10D10">
        <w:rPr>
          <w:rFonts w:ascii="Times New Roman" w:hAnsi="Times New Roman"/>
          <w:sz w:val="24"/>
          <w:szCs w:val="24"/>
        </w:rPr>
        <w:t>]</w:t>
      </w:r>
      <w:r w:rsidRPr="00C10D10">
        <w:rPr>
          <w:rFonts w:ascii="Times New Roman" w:hAnsi="Times New Roman"/>
          <w:sz w:val="24"/>
          <w:szCs w:val="24"/>
        </w:rPr>
        <w:tab/>
        <w:t>EUROPEAN UNION. Directive 2008/1/EC of the European Parliament and of the Council of 15 January 2008 concerning integrated pollution prevention and control (Codified version).</w:t>
      </w:r>
      <w:r w:rsidRPr="00C10D10" w:rsidDel="00672312">
        <w:rPr>
          <w:rFonts w:ascii="Times New Roman" w:hAnsi="Times New Roman"/>
          <w:sz w:val="24"/>
          <w:szCs w:val="24"/>
        </w:rPr>
        <w:t xml:space="preserve"> </w:t>
      </w:r>
    </w:p>
    <w:p w:rsidR="00973AC0" w:rsidRPr="00C10D10" w:rsidRDefault="00973AC0" w:rsidP="001664AF">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w:t>
      </w:r>
      <w:r w:rsidR="008C6F91" w:rsidRPr="00C10D10">
        <w:rPr>
          <w:rFonts w:ascii="Times New Roman" w:hAnsi="Times New Roman"/>
          <w:sz w:val="24"/>
          <w:szCs w:val="24"/>
        </w:rPr>
        <w:t>2</w:t>
      </w:r>
      <w:r w:rsidR="008E0692">
        <w:rPr>
          <w:rFonts w:ascii="Times New Roman" w:hAnsi="Times New Roman"/>
          <w:sz w:val="24"/>
          <w:szCs w:val="24"/>
        </w:rPr>
        <w:t>9</w:t>
      </w:r>
      <w:r w:rsidR="00F850E7" w:rsidRPr="00C10D10">
        <w:rPr>
          <w:rFonts w:ascii="Times New Roman" w:hAnsi="Times New Roman"/>
          <w:sz w:val="24"/>
          <w:szCs w:val="24"/>
        </w:rPr>
        <w:t>]</w:t>
      </w:r>
      <w:r w:rsidR="00F850E7" w:rsidRPr="00C10D10">
        <w:rPr>
          <w:rFonts w:ascii="Times New Roman" w:hAnsi="Times New Roman"/>
          <w:sz w:val="24"/>
          <w:szCs w:val="24"/>
        </w:rPr>
        <w:tab/>
      </w:r>
      <w:r w:rsidRPr="00C10D10">
        <w:rPr>
          <w:rFonts w:ascii="Times New Roman" w:hAnsi="Times New Roman"/>
          <w:sz w:val="24"/>
          <w:szCs w:val="24"/>
        </w:rPr>
        <w:t xml:space="preserve">INTERNATIONAL COMMISSION ON RADIOLOGICAL PROTECTION, The 1990 Recommendations of the International Commission on Radiological Protection, ICRP Publication 60, </w:t>
      </w:r>
      <w:proofErr w:type="spellStart"/>
      <w:r w:rsidRPr="00C10D10">
        <w:rPr>
          <w:rFonts w:ascii="Times New Roman" w:hAnsi="Times New Roman"/>
          <w:sz w:val="24"/>
          <w:szCs w:val="24"/>
        </w:rPr>
        <w:t>Pergamon</w:t>
      </w:r>
      <w:proofErr w:type="spellEnd"/>
      <w:r w:rsidRPr="00C10D10">
        <w:rPr>
          <w:rFonts w:ascii="Times New Roman" w:hAnsi="Times New Roman"/>
          <w:sz w:val="24"/>
          <w:szCs w:val="24"/>
        </w:rPr>
        <w:t xml:space="preserve"> Press</w:t>
      </w:r>
      <w:r w:rsidR="000147F0" w:rsidRPr="00C10D10">
        <w:rPr>
          <w:rFonts w:ascii="Times New Roman" w:hAnsi="Times New Roman"/>
          <w:sz w:val="24"/>
          <w:szCs w:val="24"/>
        </w:rPr>
        <w:t>, Oxford</w:t>
      </w:r>
      <w:r w:rsidRPr="00C10D10">
        <w:rPr>
          <w:rFonts w:ascii="Times New Roman" w:hAnsi="Times New Roman"/>
          <w:sz w:val="24"/>
          <w:szCs w:val="24"/>
        </w:rPr>
        <w:t xml:space="preserve"> (1990).</w:t>
      </w:r>
    </w:p>
    <w:p w:rsidR="00584CA9" w:rsidRPr="00C10D10" w:rsidRDefault="00584CA9" w:rsidP="00584CA9">
      <w:pPr>
        <w:tabs>
          <w:tab w:val="left" w:pos="567"/>
        </w:tabs>
        <w:spacing w:before="240" w:line="360" w:lineRule="auto"/>
        <w:ind w:left="567" w:hanging="567"/>
        <w:jc w:val="both"/>
        <w:rPr>
          <w:rFonts w:ascii="Times New Roman" w:hAnsi="Times New Roman"/>
          <w:sz w:val="24"/>
          <w:szCs w:val="24"/>
        </w:rPr>
      </w:pPr>
      <w:r w:rsidRPr="00C10D10">
        <w:rPr>
          <w:rFonts w:ascii="Times New Roman" w:hAnsi="Times New Roman"/>
          <w:sz w:val="24"/>
          <w:szCs w:val="24"/>
        </w:rPr>
        <w:t>[</w:t>
      </w:r>
      <w:r w:rsidR="008E0692">
        <w:rPr>
          <w:rFonts w:ascii="Times New Roman" w:hAnsi="Times New Roman"/>
          <w:sz w:val="24"/>
          <w:szCs w:val="24"/>
        </w:rPr>
        <w:t>30</w:t>
      </w:r>
      <w:r w:rsidRPr="00C10D10">
        <w:rPr>
          <w:rFonts w:ascii="Times New Roman" w:hAnsi="Times New Roman"/>
          <w:sz w:val="24"/>
          <w:szCs w:val="24"/>
        </w:rPr>
        <w:t>]</w:t>
      </w:r>
      <w:r w:rsidRPr="00C10D10">
        <w:rPr>
          <w:rFonts w:ascii="Times New Roman" w:hAnsi="Times New Roman"/>
          <w:sz w:val="24"/>
          <w:szCs w:val="24"/>
        </w:rPr>
        <w:tab/>
        <w:t>INTERNATIONAL ATOMIC ENERGY AGENCY, Setting Authorized Limits for Radioactive Discharges: Practical Issues to Consider, IAEA</w:t>
      </w:r>
      <w:r w:rsidR="007D62FD">
        <w:rPr>
          <w:rFonts w:ascii="Times New Roman" w:hAnsi="Times New Roman"/>
          <w:sz w:val="24"/>
          <w:szCs w:val="24"/>
        </w:rPr>
        <w:t>-</w:t>
      </w:r>
      <w:r w:rsidRPr="00C10D10">
        <w:rPr>
          <w:rFonts w:ascii="Times New Roman" w:hAnsi="Times New Roman"/>
          <w:sz w:val="24"/>
          <w:szCs w:val="24"/>
        </w:rPr>
        <w:t>TECDOC</w:t>
      </w:r>
      <w:r w:rsidR="007D62FD">
        <w:rPr>
          <w:rFonts w:ascii="Times New Roman" w:hAnsi="Times New Roman"/>
          <w:sz w:val="24"/>
          <w:szCs w:val="24"/>
        </w:rPr>
        <w:t>-</w:t>
      </w:r>
      <w:r w:rsidRPr="00C10D10">
        <w:rPr>
          <w:rFonts w:ascii="Times New Roman" w:hAnsi="Times New Roman"/>
          <w:sz w:val="24"/>
          <w:szCs w:val="24"/>
        </w:rPr>
        <w:t>1638, IAEA, Vienna (2010).</w:t>
      </w:r>
    </w:p>
    <w:p w:rsidR="00973AC0" w:rsidRPr="00C10D10" w:rsidRDefault="00973AC0" w:rsidP="001664AF">
      <w:pPr>
        <w:tabs>
          <w:tab w:val="left" w:pos="567"/>
        </w:tabs>
        <w:spacing w:before="120" w:line="360" w:lineRule="auto"/>
        <w:ind w:left="567" w:hanging="567"/>
        <w:jc w:val="both"/>
        <w:rPr>
          <w:rFonts w:ascii="Times New Roman" w:hAnsi="Times New Roman"/>
          <w:sz w:val="24"/>
          <w:szCs w:val="24"/>
        </w:rPr>
      </w:pPr>
      <w:r w:rsidRPr="00C10D10">
        <w:rPr>
          <w:rFonts w:ascii="Times New Roman" w:hAnsi="Times New Roman"/>
          <w:sz w:val="24"/>
          <w:szCs w:val="24"/>
        </w:rPr>
        <w:t>[</w:t>
      </w:r>
      <w:r w:rsidR="008E0692">
        <w:rPr>
          <w:rFonts w:ascii="Times New Roman" w:hAnsi="Times New Roman"/>
          <w:sz w:val="24"/>
          <w:szCs w:val="24"/>
        </w:rPr>
        <w:t>31</w:t>
      </w:r>
      <w:r w:rsidR="00F850E7" w:rsidRPr="00C10D10">
        <w:rPr>
          <w:rFonts w:ascii="Times New Roman" w:hAnsi="Times New Roman"/>
          <w:sz w:val="24"/>
          <w:szCs w:val="24"/>
        </w:rPr>
        <w:t>]</w:t>
      </w:r>
      <w:r w:rsidR="00F850E7" w:rsidRPr="00C10D10">
        <w:rPr>
          <w:rFonts w:ascii="Times New Roman" w:hAnsi="Times New Roman"/>
          <w:sz w:val="24"/>
          <w:szCs w:val="24"/>
        </w:rPr>
        <w:tab/>
      </w:r>
      <w:r w:rsidRPr="00C10D10">
        <w:rPr>
          <w:rFonts w:ascii="Times New Roman" w:hAnsi="Times New Roman"/>
          <w:sz w:val="24"/>
          <w:szCs w:val="24"/>
        </w:rPr>
        <w:t>UNITED NATIONS ECONOMIC COMMISSION FOR EUROPE</w:t>
      </w:r>
      <w:r w:rsidR="00BB5A97" w:rsidRPr="00C10D10">
        <w:rPr>
          <w:rFonts w:ascii="Times New Roman" w:hAnsi="Times New Roman"/>
          <w:sz w:val="24"/>
          <w:szCs w:val="24"/>
        </w:rPr>
        <w:t>,</w:t>
      </w:r>
      <w:r w:rsidRPr="00C10D10">
        <w:rPr>
          <w:rFonts w:ascii="Times New Roman" w:hAnsi="Times New Roman"/>
          <w:sz w:val="24"/>
          <w:szCs w:val="24"/>
        </w:rPr>
        <w:t xml:space="preserve"> The Convention on Access to Information, Public Participation in Decision-Making and Access to Justice in Environmental Matters</w:t>
      </w:r>
      <w:r w:rsidR="00BB5A97" w:rsidRPr="00C10D10">
        <w:rPr>
          <w:rFonts w:ascii="Times New Roman" w:hAnsi="Times New Roman"/>
          <w:sz w:val="24"/>
          <w:szCs w:val="24"/>
        </w:rPr>
        <w:t>,</w:t>
      </w:r>
      <w:r w:rsidRPr="00C10D10">
        <w:rPr>
          <w:rFonts w:ascii="Times New Roman" w:hAnsi="Times New Roman"/>
          <w:sz w:val="24"/>
          <w:szCs w:val="24"/>
        </w:rPr>
        <w:t xml:space="preserve"> UNECE, Aarhus </w:t>
      </w:r>
      <w:r w:rsidR="00BB5A97" w:rsidRPr="00C10D10">
        <w:rPr>
          <w:rFonts w:ascii="Times New Roman" w:hAnsi="Times New Roman"/>
          <w:sz w:val="24"/>
          <w:szCs w:val="24"/>
        </w:rPr>
        <w:t>(</w:t>
      </w:r>
      <w:r w:rsidRPr="00C10D10">
        <w:rPr>
          <w:rFonts w:ascii="Times New Roman" w:hAnsi="Times New Roman"/>
          <w:sz w:val="24"/>
          <w:szCs w:val="24"/>
        </w:rPr>
        <w:t>1998</w:t>
      </w:r>
      <w:r w:rsidR="00BB5A97" w:rsidRPr="00C10D10">
        <w:rPr>
          <w:rFonts w:ascii="Times New Roman" w:hAnsi="Times New Roman"/>
          <w:sz w:val="24"/>
          <w:szCs w:val="24"/>
        </w:rPr>
        <w:t>)</w:t>
      </w:r>
      <w:r w:rsidRPr="00C10D10">
        <w:rPr>
          <w:rFonts w:ascii="Times New Roman" w:hAnsi="Times New Roman"/>
          <w:sz w:val="24"/>
          <w:szCs w:val="24"/>
        </w:rPr>
        <w:t>.</w:t>
      </w:r>
    </w:p>
    <w:p w:rsidR="007A2582" w:rsidRDefault="007A2582" w:rsidP="00B827A2">
      <w:pPr>
        <w:tabs>
          <w:tab w:val="left" w:pos="567"/>
        </w:tabs>
        <w:spacing w:before="240" w:line="360" w:lineRule="auto"/>
        <w:ind w:left="567" w:hanging="567"/>
        <w:jc w:val="both"/>
        <w:rPr>
          <w:rFonts w:ascii="Times New Roman" w:hAnsi="Times New Roman"/>
          <w:sz w:val="24"/>
          <w:szCs w:val="24"/>
        </w:rPr>
      </w:pPr>
      <w:r w:rsidRPr="007A2582">
        <w:rPr>
          <w:rFonts w:ascii="Times New Roman" w:hAnsi="Times New Roman"/>
          <w:sz w:val="24"/>
          <w:szCs w:val="24"/>
        </w:rPr>
        <w:t>[</w:t>
      </w:r>
      <w:r w:rsidR="0078529C">
        <w:rPr>
          <w:rFonts w:ascii="Times New Roman" w:hAnsi="Times New Roman"/>
          <w:sz w:val="24"/>
          <w:szCs w:val="24"/>
        </w:rPr>
        <w:t>3</w:t>
      </w:r>
      <w:r w:rsidR="008E0692">
        <w:rPr>
          <w:rFonts w:ascii="Times New Roman" w:hAnsi="Times New Roman"/>
          <w:sz w:val="24"/>
          <w:szCs w:val="24"/>
        </w:rPr>
        <w:t>2</w:t>
      </w:r>
      <w:r w:rsidRPr="007A2582">
        <w:rPr>
          <w:rFonts w:ascii="Times New Roman" w:hAnsi="Times New Roman"/>
          <w:sz w:val="24"/>
          <w:szCs w:val="24"/>
        </w:rPr>
        <w:t>]</w:t>
      </w:r>
      <w:r>
        <w:rPr>
          <w:rFonts w:ascii="Times New Roman" w:hAnsi="Times New Roman"/>
          <w:sz w:val="24"/>
          <w:szCs w:val="24"/>
        </w:rPr>
        <w:tab/>
      </w:r>
      <w:r w:rsidRPr="007A2582">
        <w:rPr>
          <w:rFonts w:ascii="Times New Roman" w:hAnsi="Times New Roman"/>
          <w:sz w:val="24"/>
          <w:szCs w:val="24"/>
        </w:rPr>
        <w:t>INTERNATIONAL ATOMIC ENERGY AGENCY, Assessing the Need for Radiation Protection Measures in Work Involving Minerals and Raw Materials, Safety Reports Series No. 49, IAEA, Vienna (2006)</w:t>
      </w:r>
      <w:r w:rsidR="00F370AE">
        <w:rPr>
          <w:rFonts w:ascii="Times New Roman" w:hAnsi="Times New Roman"/>
          <w:sz w:val="24"/>
          <w:szCs w:val="24"/>
        </w:rPr>
        <w:t>.</w:t>
      </w:r>
    </w:p>
    <w:p w:rsidR="00161270" w:rsidRPr="00161270" w:rsidRDefault="00161270" w:rsidP="00161270">
      <w:pPr>
        <w:tabs>
          <w:tab w:val="left" w:pos="567"/>
        </w:tabs>
        <w:spacing w:before="240" w:line="360" w:lineRule="auto"/>
        <w:ind w:left="567" w:hanging="567"/>
        <w:jc w:val="both"/>
        <w:rPr>
          <w:rFonts w:ascii="Times New Roman" w:hAnsi="Times New Roman"/>
          <w:sz w:val="24"/>
          <w:szCs w:val="24"/>
        </w:rPr>
      </w:pPr>
      <w:r>
        <w:rPr>
          <w:rFonts w:ascii="Times New Roman" w:hAnsi="Times New Roman"/>
          <w:sz w:val="24"/>
          <w:szCs w:val="24"/>
        </w:rPr>
        <w:t>[</w:t>
      </w:r>
      <w:r w:rsidR="0078529C">
        <w:rPr>
          <w:rFonts w:ascii="Times New Roman" w:hAnsi="Times New Roman"/>
          <w:sz w:val="24"/>
          <w:szCs w:val="24"/>
        </w:rPr>
        <w:t>3</w:t>
      </w:r>
      <w:r w:rsidR="008E0692">
        <w:rPr>
          <w:rFonts w:ascii="Times New Roman" w:hAnsi="Times New Roman"/>
          <w:sz w:val="24"/>
          <w:szCs w:val="24"/>
        </w:rPr>
        <w:t>3</w:t>
      </w:r>
      <w:r>
        <w:rPr>
          <w:rFonts w:ascii="Times New Roman" w:hAnsi="Times New Roman"/>
          <w:sz w:val="24"/>
          <w:szCs w:val="24"/>
        </w:rPr>
        <w:t>]</w:t>
      </w:r>
      <w:r w:rsidRPr="00161270">
        <w:rPr>
          <w:rFonts w:ascii="Times New Roman" w:hAnsi="Times New Roman"/>
          <w:sz w:val="24"/>
          <w:szCs w:val="24"/>
        </w:rPr>
        <w:tab/>
        <w:t>INTERNATIONAL ATOMIC ENERGY AGENCY</w:t>
      </w:r>
      <w:r>
        <w:rPr>
          <w:rFonts w:ascii="Times New Roman" w:hAnsi="Times New Roman"/>
          <w:sz w:val="24"/>
          <w:szCs w:val="24"/>
        </w:rPr>
        <w:t>,</w:t>
      </w:r>
      <w:r w:rsidRPr="00161270">
        <w:rPr>
          <w:rFonts w:ascii="Times New Roman" w:hAnsi="Times New Roman"/>
          <w:sz w:val="24"/>
          <w:szCs w:val="24"/>
        </w:rPr>
        <w:t xml:space="preserve"> Radiation </w:t>
      </w:r>
      <w:r w:rsidR="00F370AE">
        <w:rPr>
          <w:rFonts w:ascii="Times New Roman" w:hAnsi="Times New Roman"/>
          <w:sz w:val="24"/>
          <w:szCs w:val="24"/>
        </w:rPr>
        <w:t>P</w:t>
      </w:r>
      <w:r w:rsidRPr="00161270">
        <w:rPr>
          <w:rFonts w:ascii="Times New Roman" w:hAnsi="Times New Roman"/>
          <w:sz w:val="24"/>
          <w:szCs w:val="24"/>
        </w:rPr>
        <w:t xml:space="preserve">rotection and the </w:t>
      </w:r>
      <w:r w:rsidR="00F370AE">
        <w:rPr>
          <w:rFonts w:ascii="Times New Roman" w:hAnsi="Times New Roman"/>
          <w:sz w:val="24"/>
          <w:szCs w:val="24"/>
        </w:rPr>
        <w:t>M</w:t>
      </w:r>
      <w:r w:rsidRPr="00161270">
        <w:rPr>
          <w:rFonts w:ascii="Times New Roman" w:hAnsi="Times New Roman"/>
          <w:sz w:val="24"/>
          <w:szCs w:val="24"/>
        </w:rPr>
        <w:t xml:space="preserve">anagement of </w:t>
      </w:r>
      <w:r w:rsidR="00F370AE">
        <w:rPr>
          <w:rFonts w:ascii="Times New Roman" w:hAnsi="Times New Roman"/>
          <w:sz w:val="24"/>
          <w:szCs w:val="24"/>
        </w:rPr>
        <w:t>R</w:t>
      </w:r>
      <w:r w:rsidRPr="00161270">
        <w:rPr>
          <w:rFonts w:ascii="Times New Roman" w:hAnsi="Times New Roman"/>
          <w:sz w:val="24"/>
          <w:szCs w:val="24"/>
        </w:rPr>
        <w:t xml:space="preserve">adioactive </w:t>
      </w:r>
      <w:r w:rsidR="00F370AE">
        <w:rPr>
          <w:rFonts w:ascii="Times New Roman" w:hAnsi="Times New Roman"/>
          <w:sz w:val="24"/>
          <w:szCs w:val="24"/>
        </w:rPr>
        <w:t>W</w:t>
      </w:r>
      <w:r w:rsidRPr="00161270">
        <w:rPr>
          <w:rFonts w:ascii="Times New Roman" w:hAnsi="Times New Roman"/>
          <w:sz w:val="24"/>
          <w:szCs w:val="24"/>
        </w:rPr>
        <w:t xml:space="preserve">aste in the </w:t>
      </w:r>
      <w:r w:rsidR="00F370AE">
        <w:rPr>
          <w:rFonts w:ascii="Times New Roman" w:hAnsi="Times New Roman"/>
          <w:sz w:val="24"/>
          <w:szCs w:val="24"/>
        </w:rPr>
        <w:t>O</w:t>
      </w:r>
      <w:r w:rsidRPr="00161270">
        <w:rPr>
          <w:rFonts w:ascii="Times New Roman" w:hAnsi="Times New Roman"/>
          <w:sz w:val="24"/>
          <w:szCs w:val="24"/>
        </w:rPr>
        <w:t xml:space="preserve">il and </w:t>
      </w:r>
      <w:r w:rsidR="00F370AE">
        <w:rPr>
          <w:rFonts w:ascii="Times New Roman" w:hAnsi="Times New Roman"/>
          <w:sz w:val="24"/>
          <w:szCs w:val="24"/>
        </w:rPr>
        <w:t>G</w:t>
      </w:r>
      <w:r w:rsidRPr="00161270">
        <w:rPr>
          <w:rFonts w:ascii="Times New Roman" w:hAnsi="Times New Roman"/>
          <w:sz w:val="24"/>
          <w:szCs w:val="24"/>
        </w:rPr>
        <w:t xml:space="preserve">as </w:t>
      </w:r>
      <w:r w:rsidR="00F370AE">
        <w:rPr>
          <w:rFonts w:ascii="Times New Roman" w:hAnsi="Times New Roman"/>
          <w:sz w:val="24"/>
          <w:szCs w:val="24"/>
        </w:rPr>
        <w:t>I</w:t>
      </w:r>
      <w:r w:rsidRPr="00161270">
        <w:rPr>
          <w:rFonts w:ascii="Times New Roman" w:hAnsi="Times New Roman"/>
          <w:sz w:val="24"/>
          <w:szCs w:val="24"/>
        </w:rPr>
        <w:t>ndustry, Safety Report</w:t>
      </w:r>
      <w:r>
        <w:rPr>
          <w:rFonts w:ascii="Times New Roman" w:hAnsi="Times New Roman"/>
          <w:sz w:val="24"/>
          <w:szCs w:val="24"/>
        </w:rPr>
        <w:t>s Series No. 34</w:t>
      </w:r>
      <w:r w:rsidR="00F370AE">
        <w:rPr>
          <w:rFonts w:ascii="Times New Roman" w:hAnsi="Times New Roman"/>
          <w:sz w:val="24"/>
          <w:szCs w:val="24"/>
        </w:rPr>
        <w:t>, IAEA,</w:t>
      </w:r>
      <w:r>
        <w:rPr>
          <w:rFonts w:ascii="Times New Roman" w:hAnsi="Times New Roman"/>
          <w:sz w:val="24"/>
          <w:szCs w:val="24"/>
        </w:rPr>
        <w:t xml:space="preserve"> Vienna </w:t>
      </w:r>
      <w:r w:rsidR="00F370AE">
        <w:rPr>
          <w:rFonts w:ascii="Times New Roman" w:hAnsi="Times New Roman"/>
          <w:sz w:val="24"/>
          <w:szCs w:val="24"/>
        </w:rPr>
        <w:t>(</w:t>
      </w:r>
      <w:r>
        <w:rPr>
          <w:rFonts w:ascii="Times New Roman" w:hAnsi="Times New Roman"/>
          <w:sz w:val="24"/>
          <w:szCs w:val="24"/>
        </w:rPr>
        <w:t>2003)</w:t>
      </w:r>
      <w:r w:rsidR="00F370AE">
        <w:rPr>
          <w:rFonts w:ascii="Times New Roman" w:hAnsi="Times New Roman"/>
          <w:sz w:val="24"/>
          <w:szCs w:val="24"/>
        </w:rPr>
        <w:t>.</w:t>
      </w:r>
    </w:p>
    <w:p w:rsidR="00161270" w:rsidRPr="00161270" w:rsidRDefault="0078105E" w:rsidP="00161270">
      <w:pPr>
        <w:tabs>
          <w:tab w:val="left" w:pos="567"/>
        </w:tabs>
        <w:spacing w:before="240" w:line="360" w:lineRule="auto"/>
        <w:ind w:left="567" w:hanging="567"/>
        <w:jc w:val="both"/>
        <w:rPr>
          <w:rFonts w:ascii="Times New Roman" w:hAnsi="Times New Roman"/>
          <w:sz w:val="24"/>
          <w:szCs w:val="24"/>
        </w:rPr>
      </w:pPr>
      <w:r>
        <w:rPr>
          <w:rFonts w:ascii="Times New Roman" w:hAnsi="Times New Roman"/>
          <w:sz w:val="24"/>
          <w:szCs w:val="24"/>
        </w:rPr>
        <w:t>[</w:t>
      </w:r>
      <w:r w:rsidR="0078529C">
        <w:rPr>
          <w:rFonts w:ascii="Times New Roman" w:hAnsi="Times New Roman"/>
          <w:sz w:val="24"/>
          <w:szCs w:val="24"/>
        </w:rPr>
        <w:t>3</w:t>
      </w:r>
      <w:r w:rsidR="008E0692">
        <w:rPr>
          <w:rFonts w:ascii="Times New Roman" w:hAnsi="Times New Roman"/>
          <w:sz w:val="24"/>
          <w:szCs w:val="24"/>
        </w:rPr>
        <w:t>4</w:t>
      </w:r>
      <w:r>
        <w:rPr>
          <w:rFonts w:ascii="Times New Roman" w:hAnsi="Times New Roman"/>
          <w:sz w:val="24"/>
          <w:szCs w:val="24"/>
        </w:rPr>
        <w:t>]</w:t>
      </w:r>
      <w:r w:rsidR="00161270" w:rsidRPr="00161270">
        <w:rPr>
          <w:rFonts w:ascii="Times New Roman" w:hAnsi="Times New Roman"/>
          <w:sz w:val="24"/>
          <w:szCs w:val="24"/>
        </w:rPr>
        <w:tab/>
        <w:t>INTERNATIONAL ATOMIC ENERGY AGENCY</w:t>
      </w:r>
      <w:r w:rsidR="00161270">
        <w:rPr>
          <w:rFonts w:ascii="Times New Roman" w:hAnsi="Times New Roman"/>
          <w:sz w:val="24"/>
          <w:szCs w:val="24"/>
        </w:rPr>
        <w:t>,</w:t>
      </w:r>
      <w:r w:rsidR="00161270" w:rsidRPr="00161270">
        <w:rPr>
          <w:rFonts w:ascii="Times New Roman" w:hAnsi="Times New Roman"/>
          <w:sz w:val="24"/>
          <w:szCs w:val="24"/>
        </w:rPr>
        <w:t xml:space="preserve"> Radiation </w:t>
      </w:r>
      <w:r w:rsidR="00F370AE">
        <w:rPr>
          <w:rFonts w:ascii="Times New Roman" w:hAnsi="Times New Roman"/>
          <w:sz w:val="24"/>
          <w:szCs w:val="24"/>
        </w:rPr>
        <w:t>P</w:t>
      </w:r>
      <w:r w:rsidR="00161270" w:rsidRPr="00161270">
        <w:rPr>
          <w:rFonts w:ascii="Times New Roman" w:hAnsi="Times New Roman"/>
          <w:sz w:val="24"/>
          <w:szCs w:val="24"/>
        </w:rPr>
        <w:t xml:space="preserve">rotection and NORM </w:t>
      </w:r>
      <w:r w:rsidR="00F370AE">
        <w:rPr>
          <w:rFonts w:ascii="Times New Roman" w:hAnsi="Times New Roman"/>
          <w:sz w:val="24"/>
          <w:szCs w:val="24"/>
        </w:rPr>
        <w:t>R</w:t>
      </w:r>
      <w:r w:rsidR="00161270" w:rsidRPr="00161270">
        <w:rPr>
          <w:rFonts w:ascii="Times New Roman" w:hAnsi="Times New Roman"/>
          <w:sz w:val="24"/>
          <w:szCs w:val="24"/>
        </w:rPr>
        <w:t xml:space="preserve">esidue </w:t>
      </w:r>
      <w:r w:rsidR="00F370AE">
        <w:rPr>
          <w:rFonts w:ascii="Times New Roman" w:hAnsi="Times New Roman"/>
          <w:sz w:val="24"/>
          <w:szCs w:val="24"/>
        </w:rPr>
        <w:t>M</w:t>
      </w:r>
      <w:r w:rsidR="00161270" w:rsidRPr="00161270">
        <w:rPr>
          <w:rFonts w:ascii="Times New Roman" w:hAnsi="Times New Roman"/>
          <w:sz w:val="24"/>
          <w:szCs w:val="24"/>
        </w:rPr>
        <w:t xml:space="preserve">anagement in the </w:t>
      </w:r>
      <w:r w:rsidR="00F370AE">
        <w:rPr>
          <w:rFonts w:ascii="Times New Roman" w:hAnsi="Times New Roman"/>
          <w:sz w:val="24"/>
          <w:szCs w:val="24"/>
        </w:rPr>
        <w:t>Z</w:t>
      </w:r>
      <w:r w:rsidR="00161270" w:rsidRPr="00161270">
        <w:rPr>
          <w:rFonts w:ascii="Times New Roman" w:hAnsi="Times New Roman"/>
          <w:sz w:val="24"/>
          <w:szCs w:val="24"/>
        </w:rPr>
        <w:t xml:space="preserve">ircon and </w:t>
      </w:r>
      <w:r w:rsidR="00F370AE">
        <w:rPr>
          <w:rFonts w:ascii="Times New Roman" w:hAnsi="Times New Roman"/>
          <w:sz w:val="24"/>
          <w:szCs w:val="24"/>
        </w:rPr>
        <w:t>Z</w:t>
      </w:r>
      <w:r w:rsidR="00161270" w:rsidRPr="00161270">
        <w:rPr>
          <w:rFonts w:ascii="Times New Roman" w:hAnsi="Times New Roman"/>
          <w:sz w:val="24"/>
          <w:szCs w:val="24"/>
        </w:rPr>
        <w:t xml:space="preserve">irconia </w:t>
      </w:r>
      <w:r w:rsidR="00F370AE">
        <w:rPr>
          <w:rFonts w:ascii="Times New Roman" w:hAnsi="Times New Roman"/>
          <w:sz w:val="24"/>
          <w:szCs w:val="24"/>
        </w:rPr>
        <w:t>I</w:t>
      </w:r>
      <w:r w:rsidR="00161270" w:rsidRPr="00161270">
        <w:rPr>
          <w:rFonts w:ascii="Times New Roman" w:hAnsi="Times New Roman"/>
          <w:sz w:val="24"/>
          <w:szCs w:val="24"/>
        </w:rPr>
        <w:t>ndustries, Safety Reports Series No. 51</w:t>
      </w:r>
      <w:r w:rsidR="00F370AE">
        <w:rPr>
          <w:rFonts w:ascii="Times New Roman" w:hAnsi="Times New Roman"/>
          <w:sz w:val="24"/>
          <w:szCs w:val="24"/>
        </w:rPr>
        <w:t>, IAEA,</w:t>
      </w:r>
      <w:r w:rsidR="00161270" w:rsidRPr="00161270">
        <w:rPr>
          <w:rFonts w:ascii="Times New Roman" w:hAnsi="Times New Roman"/>
          <w:sz w:val="24"/>
          <w:szCs w:val="24"/>
        </w:rPr>
        <w:t xml:space="preserve"> Vienna </w:t>
      </w:r>
      <w:r w:rsidR="00F370AE">
        <w:rPr>
          <w:rFonts w:ascii="Times New Roman" w:hAnsi="Times New Roman"/>
          <w:sz w:val="24"/>
          <w:szCs w:val="24"/>
        </w:rPr>
        <w:t>(</w:t>
      </w:r>
      <w:r w:rsidR="00161270" w:rsidRPr="00161270">
        <w:rPr>
          <w:rFonts w:ascii="Times New Roman" w:hAnsi="Times New Roman"/>
          <w:sz w:val="24"/>
          <w:szCs w:val="24"/>
        </w:rPr>
        <w:t>2007)</w:t>
      </w:r>
      <w:r w:rsidR="00F370AE">
        <w:rPr>
          <w:rFonts w:ascii="Times New Roman" w:hAnsi="Times New Roman"/>
          <w:sz w:val="24"/>
          <w:szCs w:val="24"/>
        </w:rPr>
        <w:t>.</w:t>
      </w:r>
      <w:r w:rsidR="00161270" w:rsidRPr="00161270">
        <w:rPr>
          <w:rFonts w:ascii="Times New Roman" w:hAnsi="Times New Roman"/>
          <w:sz w:val="24"/>
          <w:szCs w:val="24"/>
        </w:rPr>
        <w:t xml:space="preserve"> </w:t>
      </w:r>
    </w:p>
    <w:p w:rsidR="00161270" w:rsidRPr="00161270" w:rsidRDefault="008D1C34" w:rsidP="00161270">
      <w:pPr>
        <w:tabs>
          <w:tab w:val="left" w:pos="567"/>
        </w:tabs>
        <w:spacing w:before="240" w:line="360" w:lineRule="auto"/>
        <w:ind w:left="567" w:hanging="567"/>
        <w:jc w:val="both"/>
        <w:rPr>
          <w:rFonts w:ascii="Times New Roman" w:hAnsi="Times New Roman"/>
          <w:sz w:val="24"/>
          <w:szCs w:val="24"/>
        </w:rPr>
      </w:pPr>
      <w:r>
        <w:rPr>
          <w:rFonts w:ascii="Times New Roman" w:hAnsi="Times New Roman"/>
          <w:sz w:val="24"/>
          <w:szCs w:val="24"/>
        </w:rPr>
        <w:t>[</w:t>
      </w:r>
      <w:r w:rsidR="0078529C">
        <w:rPr>
          <w:rFonts w:ascii="Times New Roman" w:hAnsi="Times New Roman"/>
          <w:sz w:val="24"/>
          <w:szCs w:val="24"/>
        </w:rPr>
        <w:t>35</w:t>
      </w:r>
      <w:r>
        <w:rPr>
          <w:rFonts w:ascii="Times New Roman" w:hAnsi="Times New Roman"/>
          <w:sz w:val="24"/>
          <w:szCs w:val="24"/>
        </w:rPr>
        <w:t>]</w:t>
      </w:r>
      <w:r w:rsidR="00161270" w:rsidRPr="00161270">
        <w:rPr>
          <w:rFonts w:ascii="Times New Roman" w:hAnsi="Times New Roman"/>
          <w:sz w:val="24"/>
          <w:szCs w:val="24"/>
        </w:rPr>
        <w:tab/>
        <w:t>INTERNATIONAL ATOMIC ENERGY AGENCY</w:t>
      </w:r>
      <w:r w:rsidR="00161270">
        <w:rPr>
          <w:rFonts w:ascii="Times New Roman" w:hAnsi="Times New Roman"/>
          <w:sz w:val="24"/>
          <w:szCs w:val="24"/>
        </w:rPr>
        <w:t xml:space="preserve">, </w:t>
      </w:r>
      <w:r w:rsidR="00161270" w:rsidRPr="00161270">
        <w:rPr>
          <w:rFonts w:ascii="Times New Roman" w:hAnsi="Times New Roman"/>
          <w:sz w:val="24"/>
          <w:szCs w:val="24"/>
        </w:rPr>
        <w:t xml:space="preserve">Radiation </w:t>
      </w:r>
      <w:r w:rsidR="00F370AE">
        <w:rPr>
          <w:rFonts w:ascii="Times New Roman" w:hAnsi="Times New Roman"/>
          <w:sz w:val="24"/>
          <w:szCs w:val="24"/>
        </w:rPr>
        <w:t>P</w:t>
      </w:r>
      <w:r w:rsidR="00161270" w:rsidRPr="00161270">
        <w:rPr>
          <w:rFonts w:ascii="Times New Roman" w:hAnsi="Times New Roman"/>
          <w:sz w:val="24"/>
          <w:szCs w:val="24"/>
        </w:rPr>
        <w:t xml:space="preserve">rotection and NORM </w:t>
      </w:r>
      <w:r w:rsidR="00F370AE">
        <w:rPr>
          <w:rFonts w:ascii="Times New Roman" w:hAnsi="Times New Roman"/>
          <w:sz w:val="24"/>
          <w:szCs w:val="24"/>
        </w:rPr>
        <w:t>R</w:t>
      </w:r>
      <w:r w:rsidR="00161270" w:rsidRPr="00161270">
        <w:rPr>
          <w:rFonts w:ascii="Times New Roman" w:hAnsi="Times New Roman"/>
          <w:sz w:val="24"/>
          <w:szCs w:val="24"/>
        </w:rPr>
        <w:t xml:space="preserve">esidue </w:t>
      </w:r>
      <w:r w:rsidR="00F370AE">
        <w:rPr>
          <w:rFonts w:ascii="Times New Roman" w:hAnsi="Times New Roman"/>
          <w:sz w:val="24"/>
          <w:szCs w:val="24"/>
        </w:rPr>
        <w:t>M</w:t>
      </w:r>
      <w:r w:rsidR="00161270" w:rsidRPr="00161270">
        <w:rPr>
          <w:rFonts w:ascii="Times New Roman" w:hAnsi="Times New Roman"/>
          <w:sz w:val="24"/>
          <w:szCs w:val="24"/>
        </w:rPr>
        <w:t xml:space="preserve">anagement in the </w:t>
      </w:r>
      <w:r w:rsidR="00F370AE">
        <w:rPr>
          <w:rFonts w:ascii="Times New Roman" w:hAnsi="Times New Roman"/>
          <w:sz w:val="24"/>
          <w:szCs w:val="24"/>
        </w:rPr>
        <w:t>P</w:t>
      </w:r>
      <w:r w:rsidR="00161270" w:rsidRPr="00161270">
        <w:rPr>
          <w:rFonts w:ascii="Times New Roman" w:hAnsi="Times New Roman"/>
          <w:sz w:val="24"/>
          <w:szCs w:val="24"/>
        </w:rPr>
        <w:t xml:space="preserve">roduction of </w:t>
      </w:r>
      <w:r w:rsidR="00F370AE">
        <w:rPr>
          <w:rFonts w:ascii="Times New Roman" w:hAnsi="Times New Roman"/>
          <w:sz w:val="24"/>
          <w:szCs w:val="24"/>
        </w:rPr>
        <w:t>R</w:t>
      </w:r>
      <w:r w:rsidR="00161270" w:rsidRPr="00161270">
        <w:rPr>
          <w:rFonts w:ascii="Times New Roman" w:hAnsi="Times New Roman"/>
          <w:sz w:val="24"/>
          <w:szCs w:val="24"/>
        </w:rPr>
        <w:t xml:space="preserve">are </w:t>
      </w:r>
      <w:r w:rsidR="00F370AE">
        <w:rPr>
          <w:rFonts w:ascii="Times New Roman" w:hAnsi="Times New Roman"/>
          <w:sz w:val="24"/>
          <w:szCs w:val="24"/>
        </w:rPr>
        <w:t>E</w:t>
      </w:r>
      <w:r w:rsidR="00161270" w:rsidRPr="00161270">
        <w:rPr>
          <w:rFonts w:ascii="Times New Roman" w:hAnsi="Times New Roman"/>
          <w:sz w:val="24"/>
          <w:szCs w:val="24"/>
        </w:rPr>
        <w:t xml:space="preserve">arths from </w:t>
      </w:r>
      <w:r w:rsidR="00F370AE">
        <w:rPr>
          <w:rFonts w:ascii="Times New Roman" w:hAnsi="Times New Roman"/>
          <w:sz w:val="24"/>
          <w:szCs w:val="24"/>
        </w:rPr>
        <w:t>T</w:t>
      </w:r>
      <w:r w:rsidR="00161270" w:rsidRPr="00161270">
        <w:rPr>
          <w:rFonts w:ascii="Times New Roman" w:hAnsi="Times New Roman"/>
          <w:sz w:val="24"/>
          <w:szCs w:val="24"/>
        </w:rPr>
        <w:t xml:space="preserve">horium </w:t>
      </w:r>
      <w:r w:rsidR="00F370AE">
        <w:rPr>
          <w:rFonts w:ascii="Times New Roman" w:hAnsi="Times New Roman"/>
          <w:sz w:val="24"/>
          <w:szCs w:val="24"/>
        </w:rPr>
        <w:t>C</w:t>
      </w:r>
      <w:r w:rsidR="00161270" w:rsidRPr="00161270">
        <w:rPr>
          <w:rFonts w:ascii="Times New Roman" w:hAnsi="Times New Roman"/>
          <w:sz w:val="24"/>
          <w:szCs w:val="24"/>
        </w:rPr>
        <w:t xml:space="preserve">ontaining </w:t>
      </w:r>
      <w:r w:rsidR="00F370AE">
        <w:rPr>
          <w:rFonts w:ascii="Times New Roman" w:hAnsi="Times New Roman"/>
          <w:sz w:val="24"/>
          <w:szCs w:val="24"/>
        </w:rPr>
        <w:t>M</w:t>
      </w:r>
      <w:r w:rsidR="00161270" w:rsidRPr="00161270">
        <w:rPr>
          <w:rFonts w:ascii="Times New Roman" w:hAnsi="Times New Roman"/>
          <w:sz w:val="24"/>
          <w:szCs w:val="24"/>
        </w:rPr>
        <w:t>inerals, Safety Reports Series No. 68</w:t>
      </w:r>
      <w:r w:rsidR="00F370AE">
        <w:rPr>
          <w:rFonts w:ascii="Times New Roman" w:hAnsi="Times New Roman"/>
          <w:sz w:val="24"/>
          <w:szCs w:val="24"/>
        </w:rPr>
        <w:t>, IAEA,</w:t>
      </w:r>
      <w:r w:rsidR="00161270" w:rsidRPr="00161270">
        <w:rPr>
          <w:rFonts w:ascii="Times New Roman" w:hAnsi="Times New Roman"/>
          <w:sz w:val="24"/>
          <w:szCs w:val="24"/>
        </w:rPr>
        <w:t xml:space="preserve"> Vienna </w:t>
      </w:r>
      <w:r w:rsidR="00F370AE">
        <w:rPr>
          <w:rFonts w:ascii="Times New Roman" w:hAnsi="Times New Roman"/>
          <w:sz w:val="24"/>
          <w:szCs w:val="24"/>
        </w:rPr>
        <w:t>(</w:t>
      </w:r>
      <w:r w:rsidR="00161270" w:rsidRPr="00161270">
        <w:rPr>
          <w:rFonts w:ascii="Times New Roman" w:hAnsi="Times New Roman"/>
          <w:sz w:val="24"/>
          <w:szCs w:val="24"/>
        </w:rPr>
        <w:t>2011)</w:t>
      </w:r>
      <w:r w:rsidR="00F370AE">
        <w:rPr>
          <w:rFonts w:ascii="Times New Roman" w:hAnsi="Times New Roman"/>
          <w:sz w:val="24"/>
          <w:szCs w:val="24"/>
        </w:rPr>
        <w:t>.</w:t>
      </w:r>
      <w:r w:rsidR="00161270" w:rsidRPr="00161270">
        <w:rPr>
          <w:rFonts w:ascii="Times New Roman" w:hAnsi="Times New Roman"/>
          <w:sz w:val="24"/>
          <w:szCs w:val="24"/>
        </w:rPr>
        <w:t xml:space="preserve"> </w:t>
      </w:r>
    </w:p>
    <w:p w:rsidR="00161270" w:rsidRPr="00161270" w:rsidRDefault="008D1C34" w:rsidP="00161270">
      <w:pPr>
        <w:tabs>
          <w:tab w:val="left" w:pos="567"/>
        </w:tabs>
        <w:spacing w:before="240" w:line="360" w:lineRule="auto"/>
        <w:ind w:left="567" w:hanging="567"/>
        <w:jc w:val="both"/>
        <w:rPr>
          <w:rFonts w:ascii="Times New Roman" w:hAnsi="Times New Roman"/>
          <w:sz w:val="24"/>
          <w:szCs w:val="24"/>
        </w:rPr>
      </w:pPr>
      <w:r>
        <w:rPr>
          <w:rFonts w:ascii="Times New Roman" w:hAnsi="Times New Roman"/>
          <w:sz w:val="24"/>
          <w:szCs w:val="24"/>
        </w:rPr>
        <w:t>[</w:t>
      </w:r>
      <w:r w:rsidR="0078529C">
        <w:rPr>
          <w:rFonts w:ascii="Times New Roman" w:hAnsi="Times New Roman"/>
          <w:sz w:val="24"/>
          <w:szCs w:val="24"/>
        </w:rPr>
        <w:t>36</w:t>
      </w:r>
      <w:r>
        <w:rPr>
          <w:rFonts w:ascii="Times New Roman" w:hAnsi="Times New Roman"/>
          <w:sz w:val="24"/>
          <w:szCs w:val="24"/>
        </w:rPr>
        <w:t>]</w:t>
      </w:r>
      <w:r w:rsidR="00161270" w:rsidRPr="00161270">
        <w:rPr>
          <w:rFonts w:ascii="Times New Roman" w:hAnsi="Times New Roman"/>
          <w:sz w:val="24"/>
          <w:szCs w:val="24"/>
        </w:rPr>
        <w:tab/>
      </w:r>
      <w:r w:rsidR="005B13AF" w:rsidRPr="005B13AF">
        <w:rPr>
          <w:rFonts w:ascii="Times New Roman" w:hAnsi="Times New Roman"/>
          <w:sz w:val="24"/>
          <w:szCs w:val="24"/>
        </w:rPr>
        <w:t>INTERNATIONAL ATOMIC ENERGY AGENCY,</w:t>
      </w:r>
      <w:r w:rsidR="00161270" w:rsidRPr="00161270">
        <w:rPr>
          <w:rFonts w:ascii="Times New Roman" w:hAnsi="Times New Roman"/>
          <w:sz w:val="24"/>
          <w:szCs w:val="24"/>
        </w:rPr>
        <w:t xml:space="preserve"> Radiation </w:t>
      </w:r>
      <w:r w:rsidR="00F370AE">
        <w:rPr>
          <w:rFonts w:ascii="Times New Roman" w:hAnsi="Times New Roman"/>
          <w:sz w:val="24"/>
          <w:szCs w:val="24"/>
        </w:rPr>
        <w:t>P</w:t>
      </w:r>
      <w:r w:rsidR="00161270" w:rsidRPr="00161270">
        <w:rPr>
          <w:rFonts w:ascii="Times New Roman" w:hAnsi="Times New Roman"/>
          <w:sz w:val="24"/>
          <w:szCs w:val="24"/>
        </w:rPr>
        <w:t xml:space="preserve">rotection and NORM </w:t>
      </w:r>
      <w:r w:rsidR="00F370AE">
        <w:rPr>
          <w:rFonts w:ascii="Times New Roman" w:hAnsi="Times New Roman"/>
          <w:sz w:val="24"/>
          <w:szCs w:val="24"/>
        </w:rPr>
        <w:t>R</w:t>
      </w:r>
      <w:r w:rsidR="00161270" w:rsidRPr="00161270">
        <w:rPr>
          <w:rFonts w:ascii="Times New Roman" w:hAnsi="Times New Roman"/>
          <w:sz w:val="24"/>
          <w:szCs w:val="24"/>
        </w:rPr>
        <w:t xml:space="preserve">esidue </w:t>
      </w:r>
      <w:r w:rsidR="00F370AE">
        <w:rPr>
          <w:rFonts w:ascii="Times New Roman" w:hAnsi="Times New Roman"/>
          <w:sz w:val="24"/>
          <w:szCs w:val="24"/>
        </w:rPr>
        <w:t>M</w:t>
      </w:r>
      <w:r w:rsidR="00161270" w:rsidRPr="00161270">
        <w:rPr>
          <w:rFonts w:ascii="Times New Roman" w:hAnsi="Times New Roman"/>
          <w:sz w:val="24"/>
          <w:szCs w:val="24"/>
        </w:rPr>
        <w:t xml:space="preserve">anagement in the </w:t>
      </w:r>
      <w:r w:rsidR="00F370AE">
        <w:rPr>
          <w:rFonts w:ascii="Times New Roman" w:hAnsi="Times New Roman"/>
          <w:sz w:val="24"/>
          <w:szCs w:val="24"/>
        </w:rPr>
        <w:t>T</w:t>
      </w:r>
      <w:r w:rsidR="00161270" w:rsidRPr="00161270">
        <w:rPr>
          <w:rFonts w:ascii="Times New Roman" w:hAnsi="Times New Roman"/>
          <w:sz w:val="24"/>
          <w:szCs w:val="24"/>
        </w:rPr>
        <w:t xml:space="preserve">itanium </w:t>
      </w:r>
      <w:r w:rsidR="00F370AE">
        <w:rPr>
          <w:rFonts w:ascii="Times New Roman" w:hAnsi="Times New Roman"/>
          <w:sz w:val="24"/>
          <w:szCs w:val="24"/>
        </w:rPr>
        <w:t>D</w:t>
      </w:r>
      <w:r w:rsidR="00161270" w:rsidRPr="00161270">
        <w:rPr>
          <w:rFonts w:ascii="Times New Roman" w:hAnsi="Times New Roman"/>
          <w:sz w:val="24"/>
          <w:szCs w:val="24"/>
        </w:rPr>
        <w:t xml:space="preserve">ioxide and </w:t>
      </w:r>
      <w:r w:rsidR="00F370AE">
        <w:rPr>
          <w:rFonts w:ascii="Times New Roman" w:hAnsi="Times New Roman"/>
          <w:sz w:val="24"/>
          <w:szCs w:val="24"/>
        </w:rPr>
        <w:t>R</w:t>
      </w:r>
      <w:r w:rsidR="00161270" w:rsidRPr="00161270">
        <w:rPr>
          <w:rFonts w:ascii="Times New Roman" w:hAnsi="Times New Roman"/>
          <w:sz w:val="24"/>
          <w:szCs w:val="24"/>
        </w:rPr>
        <w:t xml:space="preserve">elated </w:t>
      </w:r>
      <w:r w:rsidR="00F370AE">
        <w:rPr>
          <w:rFonts w:ascii="Times New Roman" w:hAnsi="Times New Roman"/>
          <w:sz w:val="24"/>
          <w:szCs w:val="24"/>
        </w:rPr>
        <w:t>I</w:t>
      </w:r>
      <w:r w:rsidR="00161270" w:rsidRPr="00161270">
        <w:rPr>
          <w:rFonts w:ascii="Times New Roman" w:hAnsi="Times New Roman"/>
          <w:sz w:val="24"/>
          <w:szCs w:val="24"/>
        </w:rPr>
        <w:t>ndustries, Safety Reports Series No. 76</w:t>
      </w:r>
      <w:r w:rsidR="00F370AE">
        <w:rPr>
          <w:rFonts w:ascii="Times New Roman" w:hAnsi="Times New Roman"/>
          <w:sz w:val="24"/>
          <w:szCs w:val="24"/>
        </w:rPr>
        <w:t>, IAEA,</w:t>
      </w:r>
      <w:r w:rsidR="00161270" w:rsidRPr="00161270">
        <w:rPr>
          <w:rFonts w:ascii="Times New Roman" w:hAnsi="Times New Roman"/>
          <w:sz w:val="24"/>
          <w:szCs w:val="24"/>
        </w:rPr>
        <w:t xml:space="preserve"> Vienna </w:t>
      </w:r>
      <w:r w:rsidR="00F370AE">
        <w:rPr>
          <w:rFonts w:ascii="Times New Roman" w:hAnsi="Times New Roman"/>
          <w:sz w:val="24"/>
          <w:szCs w:val="24"/>
        </w:rPr>
        <w:t>(</w:t>
      </w:r>
      <w:r w:rsidR="00161270" w:rsidRPr="00161270">
        <w:rPr>
          <w:rFonts w:ascii="Times New Roman" w:hAnsi="Times New Roman"/>
          <w:sz w:val="24"/>
          <w:szCs w:val="24"/>
        </w:rPr>
        <w:t>2012)</w:t>
      </w:r>
      <w:r w:rsidR="00F370AE">
        <w:rPr>
          <w:rFonts w:ascii="Times New Roman" w:hAnsi="Times New Roman"/>
          <w:sz w:val="24"/>
          <w:szCs w:val="24"/>
        </w:rPr>
        <w:t>.</w:t>
      </w:r>
      <w:r w:rsidR="00161270" w:rsidRPr="00161270">
        <w:rPr>
          <w:rFonts w:ascii="Times New Roman" w:hAnsi="Times New Roman"/>
          <w:sz w:val="24"/>
          <w:szCs w:val="24"/>
        </w:rPr>
        <w:t xml:space="preserve"> </w:t>
      </w:r>
    </w:p>
    <w:p w:rsidR="00161270" w:rsidRPr="00161270" w:rsidRDefault="008D1C34" w:rsidP="00161270">
      <w:pPr>
        <w:tabs>
          <w:tab w:val="left" w:pos="567"/>
        </w:tabs>
        <w:spacing w:before="240" w:line="360" w:lineRule="auto"/>
        <w:ind w:left="567" w:hanging="567"/>
        <w:jc w:val="both"/>
        <w:rPr>
          <w:rFonts w:ascii="Times New Roman" w:hAnsi="Times New Roman"/>
          <w:sz w:val="24"/>
          <w:szCs w:val="24"/>
        </w:rPr>
      </w:pPr>
      <w:r>
        <w:rPr>
          <w:rFonts w:ascii="Times New Roman" w:hAnsi="Times New Roman"/>
          <w:sz w:val="24"/>
          <w:szCs w:val="24"/>
        </w:rPr>
        <w:lastRenderedPageBreak/>
        <w:t>[</w:t>
      </w:r>
      <w:r w:rsidR="0078529C">
        <w:rPr>
          <w:rFonts w:ascii="Times New Roman" w:hAnsi="Times New Roman"/>
          <w:sz w:val="24"/>
          <w:szCs w:val="24"/>
        </w:rPr>
        <w:t>37</w:t>
      </w:r>
      <w:r>
        <w:rPr>
          <w:rFonts w:ascii="Times New Roman" w:hAnsi="Times New Roman"/>
          <w:sz w:val="24"/>
          <w:szCs w:val="24"/>
        </w:rPr>
        <w:t>]</w:t>
      </w:r>
      <w:r w:rsidR="00161270" w:rsidRPr="00161270">
        <w:rPr>
          <w:rFonts w:ascii="Times New Roman" w:hAnsi="Times New Roman"/>
          <w:sz w:val="24"/>
          <w:szCs w:val="24"/>
        </w:rPr>
        <w:tab/>
      </w:r>
      <w:r w:rsidR="005B13AF" w:rsidRPr="005B13AF">
        <w:rPr>
          <w:rFonts w:ascii="Times New Roman" w:hAnsi="Times New Roman"/>
          <w:sz w:val="24"/>
          <w:szCs w:val="24"/>
        </w:rPr>
        <w:t>INTERNATIONAL ATOMIC ENERGY AGENCY,</w:t>
      </w:r>
      <w:r w:rsidR="00161270" w:rsidRPr="00161270">
        <w:rPr>
          <w:rFonts w:ascii="Times New Roman" w:hAnsi="Times New Roman"/>
          <w:sz w:val="24"/>
          <w:szCs w:val="24"/>
        </w:rPr>
        <w:t xml:space="preserve"> Radiation </w:t>
      </w:r>
      <w:r w:rsidR="00F370AE">
        <w:rPr>
          <w:rFonts w:ascii="Times New Roman" w:hAnsi="Times New Roman"/>
          <w:sz w:val="24"/>
          <w:szCs w:val="24"/>
        </w:rPr>
        <w:t>P</w:t>
      </w:r>
      <w:r w:rsidR="00161270" w:rsidRPr="00161270">
        <w:rPr>
          <w:rFonts w:ascii="Times New Roman" w:hAnsi="Times New Roman"/>
          <w:sz w:val="24"/>
          <w:szCs w:val="24"/>
        </w:rPr>
        <w:t xml:space="preserve">rotection and </w:t>
      </w:r>
      <w:r w:rsidR="00F370AE">
        <w:rPr>
          <w:rFonts w:ascii="Times New Roman" w:hAnsi="Times New Roman"/>
          <w:sz w:val="24"/>
          <w:szCs w:val="24"/>
        </w:rPr>
        <w:t>M</w:t>
      </w:r>
      <w:r w:rsidR="00161270" w:rsidRPr="00161270">
        <w:rPr>
          <w:rFonts w:ascii="Times New Roman" w:hAnsi="Times New Roman"/>
          <w:sz w:val="24"/>
          <w:szCs w:val="24"/>
        </w:rPr>
        <w:t xml:space="preserve">anagement of NORM </w:t>
      </w:r>
      <w:r w:rsidR="00F370AE">
        <w:rPr>
          <w:rFonts w:ascii="Times New Roman" w:hAnsi="Times New Roman"/>
          <w:sz w:val="24"/>
          <w:szCs w:val="24"/>
        </w:rPr>
        <w:t>R</w:t>
      </w:r>
      <w:r w:rsidR="00161270" w:rsidRPr="00161270">
        <w:rPr>
          <w:rFonts w:ascii="Times New Roman" w:hAnsi="Times New Roman"/>
          <w:sz w:val="24"/>
          <w:szCs w:val="24"/>
        </w:rPr>
        <w:t xml:space="preserve">esidues in the </w:t>
      </w:r>
      <w:r w:rsidR="00F370AE">
        <w:rPr>
          <w:rFonts w:ascii="Times New Roman" w:hAnsi="Times New Roman"/>
          <w:sz w:val="24"/>
          <w:szCs w:val="24"/>
        </w:rPr>
        <w:t>P</w:t>
      </w:r>
      <w:r w:rsidR="00161270" w:rsidRPr="00161270">
        <w:rPr>
          <w:rFonts w:ascii="Times New Roman" w:hAnsi="Times New Roman"/>
          <w:sz w:val="24"/>
          <w:szCs w:val="24"/>
        </w:rPr>
        <w:t xml:space="preserve">hosphate </w:t>
      </w:r>
      <w:r w:rsidR="00F370AE">
        <w:rPr>
          <w:rFonts w:ascii="Times New Roman" w:hAnsi="Times New Roman"/>
          <w:sz w:val="24"/>
          <w:szCs w:val="24"/>
        </w:rPr>
        <w:t>I</w:t>
      </w:r>
      <w:r w:rsidR="00161270" w:rsidRPr="00161270">
        <w:rPr>
          <w:rFonts w:ascii="Times New Roman" w:hAnsi="Times New Roman"/>
          <w:sz w:val="24"/>
          <w:szCs w:val="24"/>
        </w:rPr>
        <w:t>ndustry, Safety Reports Series No. 78</w:t>
      </w:r>
      <w:r w:rsidR="00F370AE">
        <w:rPr>
          <w:rFonts w:ascii="Times New Roman" w:hAnsi="Times New Roman"/>
          <w:sz w:val="24"/>
          <w:szCs w:val="24"/>
        </w:rPr>
        <w:t>, IAEA,</w:t>
      </w:r>
      <w:r w:rsidR="00161270" w:rsidRPr="00161270">
        <w:rPr>
          <w:rFonts w:ascii="Times New Roman" w:hAnsi="Times New Roman"/>
          <w:sz w:val="24"/>
          <w:szCs w:val="24"/>
        </w:rPr>
        <w:t xml:space="preserve"> Vienna </w:t>
      </w:r>
      <w:r w:rsidR="00F370AE">
        <w:rPr>
          <w:rFonts w:ascii="Times New Roman" w:hAnsi="Times New Roman"/>
          <w:sz w:val="24"/>
          <w:szCs w:val="24"/>
        </w:rPr>
        <w:t>(</w:t>
      </w:r>
      <w:r w:rsidR="00161270" w:rsidRPr="00161270">
        <w:rPr>
          <w:rFonts w:ascii="Times New Roman" w:hAnsi="Times New Roman"/>
          <w:sz w:val="24"/>
          <w:szCs w:val="24"/>
        </w:rPr>
        <w:t>2013)</w:t>
      </w:r>
      <w:r w:rsidR="00F370AE">
        <w:rPr>
          <w:rFonts w:ascii="Times New Roman" w:hAnsi="Times New Roman"/>
          <w:sz w:val="24"/>
          <w:szCs w:val="24"/>
        </w:rPr>
        <w:t>.</w:t>
      </w:r>
      <w:r w:rsidR="00161270" w:rsidRPr="00161270">
        <w:rPr>
          <w:rFonts w:ascii="Times New Roman" w:hAnsi="Times New Roman"/>
          <w:sz w:val="24"/>
          <w:szCs w:val="24"/>
        </w:rPr>
        <w:t xml:space="preserve"> </w:t>
      </w:r>
    </w:p>
    <w:p w:rsidR="00161270" w:rsidRDefault="008D1C34" w:rsidP="00161270">
      <w:pPr>
        <w:tabs>
          <w:tab w:val="left" w:pos="567"/>
        </w:tabs>
        <w:spacing w:before="240" w:line="360" w:lineRule="auto"/>
        <w:ind w:left="567" w:hanging="567"/>
        <w:jc w:val="both"/>
        <w:rPr>
          <w:rFonts w:ascii="Times New Roman" w:hAnsi="Times New Roman"/>
          <w:sz w:val="24"/>
          <w:szCs w:val="24"/>
        </w:rPr>
      </w:pPr>
      <w:r>
        <w:rPr>
          <w:rFonts w:ascii="Times New Roman" w:hAnsi="Times New Roman"/>
          <w:sz w:val="24"/>
          <w:szCs w:val="24"/>
        </w:rPr>
        <w:t>[</w:t>
      </w:r>
      <w:r w:rsidR="0078529C">
        <w:rPr>
          <w:rFonts w:ascii="Times New Roman" w:hAnsi="Times New Roman"/>
          <w:sz w:val="24"/>
          <w:szCs w:val="24"/>
        </w:rPr>
        <w:t>38</w:t>
      </w:r>
      <w:r>
        <w:rPr>
          <w:rFonts w:ascii="Times New Roman" w:hAnsi="Times New Roman"/>
          <w:sz w:val="24"/>
          <w:szCs w:val="24"/>
        </w:rPr>
        <w:t>]</w:t>
      </w:r>
      <w:r w:rsidR="00161270" w:rsidRPr="00161270">
        <w:rPr>
          <w:rFonts w:ascii="Times New Roman" w:hAnsi="Times New Roman"/>
          <w:sz w:val="24"/>
          <w:szCs w:val="24"/>
        </w:rPr>
        <w:tab/>
      </w:r>
      <w:r w:rsidR="005B13AF" w:rsidRPr="005B13AF">
        <w:rPr>
          <w:rFonts w:ascii="Times New Roman" w:hAnsi="Times New Roman"/>
          <w:sz w:val="24"/>
          <w:szCs w:val="24"/>
        </w:rPr>
        <w:t>INTERNATIONAL ATOMIC ENERGY AGENCY,</w:t>
      </w:r>
      <w:r w:rsidR="00161270" w:rsidRPr="00161270">
        <w:rPr>
          <w:rFonts w:ascii="Times New Roman" w:hAnsi="Times New Roman"/>
          <w:sz w:val="24"/>
          <w:szCs w:val="24"/>
        </w:rPr>
        <w:t xml:space="preserve"> Extent of </w:t>
      </w:r>
      <w:r w:rsidR="00F370AE">
        <w:rPr>
          <w:rFonts w:ascii="Times New Roman" w:hAnsi="Times New Roman"/>
          <w:sz w:val="24"/>
          <w:szCs w:val="24"/>
        </w:rPr>
        <w:t>E</w:t>
      </w:r>
      <w:r w:rsidR="00161270" w:rsidRPr="00161270">
        <w:rPr>
          <w:rFonts w:ascii="Times New Roman" w:hAnsi="Times New Roman"/>
          <w:sz w:val="24"/>
          <w:szCs w:val="24"/>
        </w:rPr>
        <w:t xml:space="preserve">nvironmental </w:t>
      </w:r>
      <w:r w:rsidR="00F370AE">
        <w:rPr>
          <w:rFonts w:ascii="Times New Roman" w:hAnsi="Times New Roman"/>
          <w:sz w:val="24"/>
          <w:szCs w:val="24"/>
        </w:rPr>
        <w:t>C</w:t>
      </w:r>
      <w:r w:rsidR="00161270" w:rsidRPr="00161270">
        <w:rPr>
          <w:rFonts w:ascii="Times New Roman" w:hAnsi="Times New Roman"/>
          <w:sz w:val="24"/>
          <w:szCs w:val="24"/>
        </w:rPr>
        <w:t xml:space="preserve">ontamination by </w:t>
      </w:r>
      <w:r w:rsidR="00F370AE">
        <w:rPr>
          <w:rFonts w:ascii="Times New Roman" w:hAnsi="Times New Roman"/>
          <w:sz w:val="24"/>
          <w:szCs w:val="24"/>
        </w:rPr>
        <w:t>N</w:t>
      </w:r>
      <w:r w:rsidR="00161270" w:rsidRPr="00161270">
        <w:rPr>
          <w:rFonts w:ascii="Times New Roman" w:hAnsi="Times New Roman"/>
          <w:sz w:val="24"/>
          <w:szCs w:val="24"/>
        </w:rPr>
        <w:t xml:space="preserve">aturally </w:t>
      </w:r>
      <w:r w:rsidR="00F370AE">
        <w:rPr>
          <w:rFonts w:ascii="Times New Roman" w:hAnsi="Times New Roman"/>
          <w:sz w:val="24"/>
          <w:szCs w:val="24"/>
        </w:rPr>
        <w:t>O</w:t>
      </w:r>
      <w:r w:rsidR="00161270" w:rsidRPr="00161270">
        <w:rPr>
          <w:rFonts w:ascii="Times New Roman" w:hAnsi="Times New Roman"/>
          <w:sz w:val="24"/>
          <w:szCs w:val="24"/>
        </w:rPr>
        <w:t xml:space="preserve">ccurring </w:t>
      </w:r>
      <w:r w:rsidR="00F370AE">
        <w:rPr>
          <w:rFonts w:ascii="Times New Roman" w:hAnsi="Times New Roman"/>
          <w:sz w:val="24"/>
          <w:szCs w:val="24"/>
        </w:rPr>
        <w:t>R</w:t>
      </w:r>
      <w:r w:rsidR="00161270" w:rsidRPr="00161270">
        <w:rPr>
          <w:rFonts w:ascii="Times New Roman" w:hAnsi="Times New Roman"/>
          <w:sz w:val="24"/>
          <w:szCs w:val="24"/>
        </w:rPr>
        <w:t xml:space="preserve">adioactive </w:t>
      </w:r>
      <w:r w:rsidR="00F370AE">
        <w:rPr>
          <w:rFonts w:ascii="Times New Roman" w:hAnsi="Times New Roman"/>
          <w:sz w:val="24"/>
          <w:szCs w:val="24"/>
        </w:rPr>
        <w:t>M</w:t>
      </w:r>
      <w:r w:rsidR="00161270" w:rsidRPr="00161270">
        <w:rPr>
          <w:rFonts w:ascii="Times New Roman" w:hAnsi="Times New Roman"/>
          <w:sz w:val="24"/>
          <w:szCs w:val="24"/>
        </w:rPr>
        <w:t xml:space="preserve">aterial (NORM) and </w:t>
      </w:r>
      <w:r w:rsidR="00F370AE">
        <w:rPr>
          <w:rFonts w:ascii="Times New Roman" w:hAnsi="Times New Roman"/>
          <w:sz w:val="24"/>
          <w:szCs w:val="24"/>
        </w:rPr>
        <w:t>T</w:t>
      </w:r>
      <w:r w:rsidR="00161270" w:rsidRPr="00161270">
        <w:rPr>
          <w:rFonts w:ascii="Times New Roman" w:hAnsi="Times New Roman"/>
          <w:sz w:val="24"/>
          <w:szCs w:val="24"/>
        </w:rPr>
        <w:t xml:space="preserve">echnological </w:t>
      </w:r>
      <w:r w:rsidR="00F370AE">
        <w:rPr>
          <w:rFonts w:ascii="Times New Roman" w:hAnsi="Times New Roman"/>
          <w:sz w:val="24"/>
          <w:szCs w:val="24"/>
        </w:rPr>
        <w:t>O</w:t>
      </w:r>
      <w:r w:rsidR="00161270" w:rsidRPr="00161270">
        <w:rPr>
          <w:rFonts w:ascii="Times New Roman" w:hAnsi="Times New Roman"/>
          <w:sz w:val="24"/>
          <w:szCs w:val="24"/>
        </w:rPr>
        <w:t xml:space="preserve">ptions for </w:t>
      </w:r>
      <w:r w:rsidR="00F370AE">
        <w:rPr>
          <w:rFonts w:ascii="Times New Roman" w:hAnsi="Times New Roman"/>
          <w:sz w:val="24"/>
          <w:szCs w:val="24"/>
        </w:rPr>
        <w:t>M</w:t>
      </w:r>
      <w:r w:rsidR="00161270" w:rsidRPr="00161270">
        <w:rPr>
          <w:rFonts w:ascii="Times New Roman" w:hAnsi="Times New Roman"/>
          <w:sz w:val="24"/>
          <w:szCs w:val="24"/>
        </w:rPr>
        <w:t>itigation, Technical Reports Series No. 419</w:t>
      </w:r>
      <w:r w:rsidR="00F370AE">
        <w:rPr>
          <w:rFonts w:ascii="Times New Roman" w:hAnsi="Times New Roman"/>
          <w:sz w:val="24"/>
          <w:szCs w:val="24"/>
        </w:rPr>
        <w:t>, IAEA,</w:t>
      </w:r>
      <w:r w:rsidR="00161270" w:rsidRPr="00161270">
        <w:rPr>
          <w:rFonts w:ascii="Times New Roman" w:hAnsi="Times New Roman"/>
          <w:sz w:val="24"/>
          <w:szCs w:val="24"/>
        </w:rPr>
        <w:t xml:space="preserve"> Vienna </w:t>
      </w:r>
      <w:r w:rsidR="00F370AE">
        <w:rPr>
          <w:rFonts w:ascii="Times New Roman" w:hAnsi="Times New Roman"/>
          <w:sz w:val="24"/>
          <w:szCs w:val="24"/>
        </w:rPr>
        <w:t>(</w:t>
      </w:r>
      <w:r w:rsidR="00161270" w:rsidRPr="00161270">
        <w:rPr>
          <w:rFonts w:ascii="Times New Roman" w:hAnsi="Times New Roman"/>
          <w:sz w:val="24"/>
          <w:szCs w:val="24"/>
        </w:rPr>
        <w:t>2003).</w:t>
      </w:r>
    </w:p>
    <w:p w:rsidR="00342F01" w:rsidRDefault="00342F01" w:rsidP="00161270">
      <w:pPr>
        <w:tabs>
          <w:tab w:val="left" w:pos="567"/>
        </w:tabs>
        <w:spacing w:before="240" w:line="360" w:lineRule="auto"/>
        <w:ind w:left="567" w:hanging="567"/>
        <w:jc w:val="both"/>
        <w:rPr>
          <w:rFonts w:ascii="Times New Roman" w:hAnsi="Times New Roman"/>
          <w:sz w:val="24"/>
          <w:szCs w:val="24"/>
        </w:rPr>
      </w:pPr>
      <w:r>
        <w:rPr>
          <w:rFonts w:ascii="Times New Roman" w:hAnsi="Times New Roman"/>
          <w:sz w:val="24"/>
          <w:szCs w:val="24"/>
        </w:rPr>
        <w:t>[</w:t>
      </w:r>
      <w:r w:rsidR="00237067">
        <w:rPr>
          <w:rFonts w:ascii="Times New Roman" w:hAnsi="Times New Roman"/>
          <w:sz w:val="24"/>
          <w:szCs w:val="24"/>
        </w:rPr>
        <w:t>39</w:t>
      </w:r>
      <w:r>
        <w:rPr>
          <w:rFonts w:ascii="Times New Roman" w:hAnsi="Times New Roman"/>
          <w:sz w:val="24"/>
          <w:szCs w:val="24"/>
        </w:rPr>
        <w:t>]</w:t>
      </w:r>
      <w:r>
        <w:rPr>
          <w:rFonts w:ascii="Times New Roman" w:hAnsi="Times New Roman"/>
          <w:sz w:val="24"/>
          <w:szCs w:val="24"/>
        </w:rPr>
        <w:tab/>
      </w:r>
      <w:r w:rsidRPr="00342F01">
        <w:rPr>
          <w:rFonts w:ascii="Times New Roman" w:hAnsi="Times New Roman"/>
          <w:sz w:val="24"/>
          <w:szCs w:val="24"/>
        </w:rPr>
        <w:t>EUROPEAN COMMISSION, Effluent and dose control from European Union NORM industries: Assessment of current situation and proposal for a harmonised Community approach, EC, Luxembourg (2003).</w:t>
      </w:r>
    </w:p>
    <w:p w:rsidR="00237067" w:rsidRDefault="00237067" w:rsidP="00BC4A76">
      <w:pPr>
        <w:tabs>
          <w:tab w:val="left" w:pos="567"/>
        </w:tabs>
        <w:spacing w:before="240" w:line="360" w:lineRule="auto"/>
        <w:ind w:left="567" w:hanging="567"/>
        <w:jc w:val="both"/>
        <w:rPr>
          <w:rFonts w:ascii="Times New Roman" w:hAnsi="Times New Roman"/>
          <w:sz w:val="24"/>
          <w:szCs w:val="24"/>
        </w:rPr>
      </w:pPr>
      <w:r>
        <w:rPr>
          <w:rFonts w:ascii="Times New Roman" w:hAnsi="Times New Roman"/>
          <w:sz w:val="24"/>
          <w:szCs w:val="24"/>
        </w:rPr>
        <w:t>[40</w:t>
      </w:r>
      <w:r w:rsidRPr="00C10D10">
        <w:rPr>
          <w:rFonts w:ascii="Times New Roman" w:hAnsi="Times New Roman"/>
          <w:sz w:val="24"/>
          <w:szCs w:val="24"/>
        </w:rPr>
        <w:t>]</w:t>
      </w:r>
      <w:r w:rsidRPr="00C10D10">
        <w:rPr>
          <w:rFonts w:ascii="Times New Roman" w:hAnsi="Times New Roman"/>
          <w:sz w:val="24"/>
          <w:szCs w:val="24"/>
        </w:rPr>
        <w:tab/>
        <w:t>INTERNATIONAL ATOMIC ENERGY AGENCY, Decommissioning of Facilities, IAEA Safety Standards Series No. GSR Part 6, IAEA, Vienna (2014</w:t>
      </w:r>
      <w:r w:rsidR="005C5E82">
        <w:rPr>
          <w:rFonts w:ascii="Times New Roman" w:hAnsi="Times New Roman"/>
          <w:sz w:val="24"/>
          <w:szCs w:val="24"/>
        </w:rPr>
        <w:t>).</w:t>
      </w:r>
      <w:r w:rsidDel="002631CD">
        <w:rPr>
          <w:rFonts w:ascii="Times New Roman" w:hAnsi="Times New Roman"/>
          <w:sz w:val="24"/>
          <w:szCs w:val="24"/>
        </w:rPr>
        <w:t xml:space="preserve"> </w:t>
      </w:r>
    </w:p>
    <w:p w:rsidR="00E75732" w:rsidRPr="00C10D10" w:rsidRDefault="00E75732" w:rsidP="008C60BE">
      <w:pPr>
        <w:pStyle w:val="Heading1"/>
        <w:numPr>
          <w:ilvl w:val="0"/>
          <w:numId w:val="0"/>
        </w:numPr>
        <w:spacing w:before="0" w:after="120" w:line="360" w:lineRule="auto"/>
        <w:rPr>
          <w:kern w:val="0"/>
          <w:lang w:val="en-GB" w:eastAsia="en-GB"/>
        </w:rPr>
      </w:pPr>
      <w:r w:rsidRPr="00C10D10">
        <w:rPr>
          <w:kern w:val="0"/>
          <w:lang w:val="en-GB"/>
        </w:rPr>
        <w:br w:type="page"/>
      </w:r>
      <w:bookmarkStart w:id="60" w:name="_Toc317869156"/>
      <w:bookmarkStart w:id="61" w:name="_Toc396128284"/>
      <w:bookmarkStart w:id="62" w:name="_Toc396128900"/>
      <w:bookmarkStart w:id="63" w:name="_Toc452966962"/>
      <w:r w:rsidR="00F70819" w:rsidRPr="00C10D10">
        <w:rPr>
          <w:kern w:val="0"/>
          <w:lang w:val="en-GB"/>
        </w:rPr>
        <w:lastRenderedPageBreak/>
        <w:t>Annex</w:t>
      </w:r>
      <w:r w:rsidR="00904415">
        <w:rPr>
          <w:kern w:val="0"/>
          <w:lang w:val="en-GB"/>
        </w:rPr>
        <w:t xml:space="preserve"> I</w:t>
      </w:r>
      <w:r w:rsidR="00703FE4" w:rsidRPr="00C10D10">
        <w:rPr>
          <w:kern w:val="0"/>
          <w:lang w:val="en-GB"/>
        </w:rPr>
        <w:br/>
      </w:r>
      <w:r w:rsidR="00432DBB" w:rsidRPr="00C10D10">
        <w:rPr>
          <w:kern w:val="0"/>
          <w:lang w:val="en-GB"/>
        </w:rPr>
        <w:t xml:space="preserve">PRACTICAL CONSIDERATIONS </w:t>
      </w:r>
      <w:r w:rsidR="00F70819" w:rsidRPr="00C10D10">
        <w:rPr>
          <w:kern w:val="0"/>
          <w:lang w:val="en-GB"/>
        </w:rPr>
        <w:t xml:space="preserve">IN </w:t>
      </w:r>
      <w:r w:rsidR="00F73CB8">
        <w:rPr>
          <w:kern w:val="0"/>
          <w:lang w:val="en-GB"/>
        </w:rPr>
        <w:t xml:space="preserve">GRANTING </w:t>
      </w:r>
      <w:bookmarkEnd w:id="60"/>
      <w:bookmarkEnd w:id="61"/>
      <w:bookmarkEnd w:id="62"/>
      <w:r w:rsidR="00F73CB8">
        <w:rPr>
          <w:kern w:val="0"/>
          <w:lang w:val="en-GB"/>
        </w:rPr>
        <w:t>AN AUTHORIZATION FOR DISCHARGE</w:t>
      </w:r>
      <w:r w:rsidR="00157C49" w:rsidRPr="00C10D10">
        <w:rPr>
          <w:kern w:val="0"/>
          <w:lang w:val="en-GB"/>
        </w:rPr>
        <w:t>S</w:t>
      </w:r>
      <w:bookmarkEnd w:id="63"/>
    </w:p>
    <w:p w:rsidR="00F82C0C" w:rsidRPr="00C10D10" w:rsidRDefault="00F82C0C" w:rsidP="008C60BE">
      <w:pPr>
        <w:autoSpaceDE w:val="0"/>
        <w:autoSpaceDN w:val="0"/>
        <w:adjustRightInd w:val="0"/>
        <w:spacing w:after="120" w:line="360" w:lineRule="auto"/>
        <w:jc w:val="both"/>
        <w:rPr>
          <w:rFonts w:ascii="Times New Roman" w:hAnsi="Times New Roman"/>
          <w:sz w:val="24"/>
          <w:szCs w:val="24"/>
        </w:rPr>
      </w:pPr>
      <w:r w:rsidRPr="00C10D10">
        <w:rPr>
          <w:rFonts w:ascii="Times New Roman" w:hAnsi="Times New Roman"/>
          <w:sz w:val="24"/>
          <w:szCs w:val="24"/>
        </w:rPr>
        <w:t>SPECIFICATION AND USE OF CONSTRAINTS</w:t>
      </w:r>
    </w:p>
    <w:p w:rsidR="00305AAF" w:rsidRPr="00C10D10" w:rsidRDefault="00305AAF" w:rsidP="0091132F">
      <w:pPr>
        <w:pStyle w:val="ListParagraph"/>
        <w:numPr>
          <w:ilvl w:val="0"/>
          <w:numId w:val="20"/>
        </w:numPr>
        <w:autoSpaceDE w:val="0"/>
        <w:autoSpaceDN w:val="0"/>
        <w:adjustRightInd w:val="0"/>
        <w:contextualSpacing w:val="0"/>
        <w:jc w:val="both"/>
        <w:rPr>
          <w:szCs w:val="24"/>
        </w:rPr>
      </w:pPr>
      <w:r w:rsidRPr="00C10D10">
        <w:rPr>
          <w:szCs w:val="24"/>
        </w:rPr>
        <w:t xml:space="preserve">Dose constraints for public exposure in planned exposure situations </w:t>
      </w:r>
      <w:r w:rsidR="00536739">
        <w:rPr>
          <w:szCs w:val="24"/>
        </w:rPr>
        <w:t>are required</w:t>
      </w:r>
      <w:r w:rsidR="00A70966">
        <w:rPr>
          <w:szCs w:val="24"/>
        </w:rPr>
        <w:t xml:space="preserve"> to be</w:t>
      </w:r>
      <w:r w:rsidR="00A70966" w:rsidRPr="00C10D10">
        <w:rPr>
          <w:szCs w:val="24"/>
        </w:rPr>
        <w:t xml:space="preserve"> </w:t>
      </w:r>
      <w:r w:rsidRPr="00C10D10">
        <w:rPr>
          <w:szCs w:val="24"/>
        </w:rPr>
        <w:t xml:space="preserve">set </w:t>
      </w:r>
      <w:r w:rsidR="008775DE">
        <w:rPr>
          <w:szCs w:val="24"/>
        </w:rPr>
        <w:t xml:space="preserve">or approved </w:t>
      </w:r>
      <w:r w:rsidRPr="00C10D10">
        <w:rPr>
          <w:szCs w:val="24"/>
        </w:rPr>
        <w:t xml:space="preserve">by the government or the regulatory </w:t>
      </w:r>
      <w:r w:rsidR="00EB3D33" w:rsidRPr="00C10D10">
        <w:rPr>
          <w:szCs w:val="24"/>
        </w:rPr>
        <w:t>body</w:t>
      </w:r>
      <w:r w:rsidR="00887D28">
        <w:rPr>
          <w:szCs w:val="24"/>
        </w:rPr>
        <w:t xml:space="preserve"> [I-1]</w:t>
      </w:r>
      <w:r w:rsidR="008775DE">
        <w:rPr>
          <w:szCs w:val="24"/>
        </w:rPr>
        <w:t>.</w:t>
      </w:r>
      <w:r w:rsidR="00B8747F">
        <w:rPr>
          <w:szCs w:val="24"/>
        </w:rPr>
        <w:t xml:space="preserve"> </w:t>
      </w:r>
      <w:r w:rsidR="001320E3" w:rsidRPr="001320E3">
        <w:rPr>
          <w:szCs w:val="24"/>
        </w:rPr>
        <w:tab/>
      </w:r>
      <w:r w:rsidR="009C7F69">
        <w:rPr>
          <w:szCs w:val="24"/>
        </w:rPr>
        <w:t>D</w:t>
      </w:r>
      <w:r w:rsidR="001320E3" w:rsidRPr="001320E3">
        <w:rPr>
          <w:szCs w:val="24"/>
        </w:rPr>
        <w:t>ose</w:t>
      </w:r>
      <w:r w:rsidR="00C505DE">
        <w:rPr>
          <w:szCs w:val="24"/>
        </w:rPr>
        <w:t xml:space="preserve"> </w:t>
      </w:r>
      <w:r w:rsidR="00262CB3" w:rsidRPr="001320E3">
        <w:rPr>
          <w:szCs w:val="24"/>
        </w:rPr>
        <w:t xml:space="preserve">constraints </w:t>
      </w:r>
      <w:r w:rsidR="00262CB3">
        <w:rPr>
          <w:szCs w:val="24"/>
        </w:rPr>
        <w:t>are</w:t>
      </w:r>
      <w:r w:rsidR="001320E3" w:rsidRPr="001320E3">
        <w:rPr>
          <w:szCs w:val="24"/>
        </w:rPr>
        <w:t xml:space="preserve"> set </w:t>
      </w:r>
      <w:r w:rsidR="009C7F69">
        <w:rPr>
          <w:szCs w:val="24"/>
        </w:rPr>
        <w:t>for the</w:t>
      </w:r>
      <w:r w:rsidR="001320E3" w:rsidRPr="001320E3">
        <w:rPr>
          <w:szCs w:val="24"/>
        </w:rPr>
        <w:t xml:space="preserve"> specific facility or </w:t>
      </w:r>
      <w:r w:rsidR="009C7F69" w:rsidRPr="001320E3">
        <w:rPr>
          <w:szCs w:val="24"/>
        </w:rPr>
        <w:t>activity</w:t>
      </w:r>
      <w:r w:rsidR="009C7F69">
        <w:rPr>
          <w:szCs w:val="24"/>
        </w:rPr>
        <w:t>; however</w:t>
      </w:r>
      <w:r w:rsidR="001320E3" w:rsidRPr="001320E3">
        <w:rPr>
          <w:szCs w:val="24"/>
        </w:rPr>
        <w:t xml:space="preserve"> national authorities may develop generic dose constraints for facilities or activities </w:t>
      </w:r>
      <w:r w:rsidR="009C7F69">
        <w:rPr>
          <w:szCs w:val="24"/>
        </w:rPr>
        <w:t>with simila</w:t>
      </w:r>
      <w:r w:rsidR="001320E3" w:rsidRPr="001320E3">
        <w:rPr>
          <w:szCs w:val="24"/>
        </w:rPr>
        <w:t>r characteristics</w:t>
      </w:r>
      <w:r w:rsidR="009C7F69">
        <w:rPr>
          <w:szCs w:val="24"/>
        </w:rPr>
        <w:t>.</w:t>
      </w:r>
      <w:r w:rsidR="001320E3" w:rsidRPr="001320E3">
        <w:rPr>
          <w:szCs w:val="24"/>
        </w:rPr>
        <w:t xml:space="preserve"> </w:t>
      </w:r>
      <w:r w:rsidRPr="00C10D10">
        <w:rPr>
          <w:szCs w:val="24"/>
        </w:rPr>
        <w:t xml:space="preserve">In some cases, the </w:t>
      </w:r>
      <w:r w:rsidR="00B8747F">
        <w:rPr>
          <w:szCs w:val="24"/>
        </w:rPr>
        <w:t xml:space="preserve">applicant for an authorization </w:t>
      </w:r>
      <w:r w:rsidR="004E3036">
        <w:rPr>
          <w:szCs w:val="24"/>
        </w:rPr>
        <w:t>for</w:t>
      </w:r>
      <w:r w:rsidR="00B8747F">
        <w:rPr>
          <w:szCs w:val="24"/>
        </w:rPr>
        <w:t xml:space="preserve"> discharges</w:t>
      </w:r>
      <w:r w:rsidR="00904415">
        <w:rPr>
          <w:szCs w:val="24"/>
        </w:rPr>
        <w:t xml:space="preserve"> </w:t>
      </w:r>
      <w:r w:rsidRPr="00C10D10">
        <w:rPr>
          <w:szCs w:val="24"/>
        </w:rPr>
        <w:t>propose</w:t>
      </w:r>
      <w:r w:rsidR="00516927">
        <w:rPr>
          <w:szCs w:val="24"/>
        </w:rPr>
        <w:t>s</w:t>
      </w:r>
      <w:r w:rsidRPr="00C10D10">
        <w:rPr>
          <w:szCs w:val="24"/>
        </w:rPr>
        <w:t xml:space="preserve"> a dose constraint for a particular facility and activity, which </w:t>
      </w:r>
      <w:r w:rsidR="00482EF7" w:rsidRPr="00C10D10">
        <w:rPr>
          <w:szCs w:val="24"/>
        </w:rPr>
        <w:t xml:space="preserve">needs to </w:t>
      </w:r>
      <w:r w:rsidRPr="00C10D10">
        <w:rPr>
          <w:szCs w:val="24"/>
        </w:rPr>
        <w:t xml:space="preserve">be </w:t>
      </w:r>
      <w:r w:rsidR="00E37B84">
        <w:rPr>
          <w:szCs w:val="24"/>
        </w:rPr>
        <w:t>defensible</w:t>
      </w:r>
      <w:r w:rsidR="006B4D01">
        <w:rPr>
          <w:szCs w:val="24"/>
        </w:rPr>
        <w:t xml:space="preserve">, </w:t>
      </w:r>
      <w:r w:rsidRPr="00C10D10">
        <w:rPr>
          <w:szCs w:val="24"/>
        </w:rPr>
        <w:t xml:space="preserve">discussed </w:t>
      </w:r>
      <w:r w:rsidR="00BE4D8D">
        <w:rPr>
          <w:szCs w:val="24"/>
        </w:rPr>
        <w:t xml:space="preserve">with the regulatory body </w:t>
      </w:r>
      <w:r w:rsidRPr="00C10D10">
        <w:rPr>
          <w:szCs w:val="24"/>
        </w:rPr>
        <w:t xml:space="preserve">and agreed </w:t>
      </w:r>
      <w:r w:rsidR="00BE4D8D">
        <w:rPr>
          <w:szCs w:val="24"/>
        </w:rPr>
        <w:t xml:space="preserve">in a </w:t>
      </w:r>
      <w:r w:rsidRPr="00C10D10">
        <w:rPr>
          <w:szCs w:val="24"/>
        </w:rPr>
        <w:t>timely</w:t>
      </w:r>
      <w:r w:rsidR="00BE4D8D">
        <w:rPr>
          <w:szCs w:val="24"/>
        </w:rPr>
        <w:t xml:space="preserve"> manner</w:t>
      </w:r>
      <w:r w:rsidRPr="00C10D10">
        <w:rPr>
          <w:szCs w:val="24"/>
        </w:rPr>
        <w:t xml:space="preserve"> by the regulatory body. </w:t>
      </w:r>
    </w:p>
    <w:p w:rsidR="00305AAF" w:rsidRPr="00C10D10" w:rsidRDefault="00305AAF"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In order to establish a generic dose constraint</w:t>
      </w:r>
      <w:r w:rsidR="004021D6">
        <w:rPr>
          <w:szCs w:val="24"/>
        </w:rPr>
        <w:t>,</w:t>
      </w:r>
      <w:r w:rsidRPr="00C10D10">
        <w:rPr>
          <w:szCs w:val="24"/>
        </w:rPr>
        <w:t xml:space="preserve"> the regulatory body may consider previous </w:t>
      </w:r>
      <w:r w:rsidR="00BE4D8D">
        <w:rPr>
          <w:szCs w:val="24"/>
        </w:rPr>
        <w:t xml:space="preserve">IAEA </w:t>
      </w:r>
      <w:r w:rsidRPr="00C10D10">
        <w:rPr>
          <w:szCs w:val="24"/>
        </w:rPr>
        <w:t xml:space="preserve">guidance that suggested 0.3 </w:t>
      </w:r>
      <w:proofErr w:type="spellStart"/>
      <w:r w:rsidRPr="00C10D10">
        <w:rPr>
          <w:szCs w:val="24"/>
        </w:rPr>
        <w:t>mSv</w:t>
      </w:r>
      <w:proofErr w:type="spellEnd"/>
      <w:r w:rsidRPr="00C10D10">
        <w:rPr>
          <w:szCs w:val="24"/>
        </w:rPr>
        <w:t xml:space="preserve"> committed in a year as an appropriate </w:t>
      </w:r>
      <w:r w:rsidR="00462706">
        <w:rPr>
          <w:szCs w:val="24"/>
        </w:rPr>
        <w:t xml:space="preserve">default </w:t>
      </w:r>
      <w:r w:rsidRPr="00C10D10">
        <w:rPr>
          <w:szCs w:val="24"/>
        </w:rPr>
        <w:t xml:space="preserve">value, on the basis of maximum levels of individual exposures generally used for </w:t>
      </w:r>
      <w:r w:rsidR="00F24DD4" w:rsidRPr="00C10D10">
        <w:rPr>
          <w:szCs w:val="24"/>
        </w:rPr>
        <w:t>optimization</w:t>
      </w:r>
      <w:r w:rsidRPr="00C10D10">
        <w:rPr>
          <w:szCs w:val="24"/>
        </w:rPr>
        <w:t xml:space="preserve"> in nuclear fuel cycle facilities in various countries</w:t>
      </w:r>
      <w:r w:rsidR="004021D6">
        <w:rPr>
          <w:rStyle w:val="FootnoteReference"/>
          <w:szCs w:val="24"/>
        </w:rPr>
        <w:footnoteReference w:id="25"/>
      </w:r>
      <w:r w:rsidRPr="00C10D10">
        <w:rPr>
          <w:szCs w:val="24"/>
        </w:rPr>
        <w:t xml:space="preserve">. </w:t>
      </w:r>
      <w:r w:rsidR="004021D6">
        <w:rPr>
          <w:szCs w:val="24"/>
        </w:rPr>
        <w:t xml:space="preserve">The </w:t>
      </w:r>
      <w:r w:rsidRPr="00C10D10">
        <w:rPr>
          <w:szCs w:val="24"/>
        </w:rPr>
        <w:t xml:space="preserve">ICRP has not explicitly recommended a dose constraint for the control of discharges to the environment, but has </w:t>
      </w:r>
      <w:r w:rsidR="009C7F69">
        <w:rPr>
          <w:szCs w:val="24"/>
        </w:rPr>
        <w:t xml:space="preserve">also </w:t>
      </w:r>
      <w:r w:rsidRPr="00C10D10">
        <w:rPr>
          <w:szCs w:val="24"/>
        </w:rPr>
        <w:t xml:space="preserve">suggested a value of 0.3 </w:t>
      </w:r>
      <w:proofErr w:type="spellStart"/>
      <w:r w:rsidRPr="00C10D10">
        <w:rPr>
          <w:szCs w:val="24"/>
        </w:rPr>
        <w:t>mSv</w:t>
      </w:r>
      <w:proofErr w:type="spellEnd"/>
      <w:r w:rsidRPr="00C10D10">
        <w:rPr>
          <w:szCs w:val="24"/>
        </w:rPr>
        <w:t xml:space="preserve"> per year in relation to disposal of radioactive waste and prolonged exposures </w:t>
      </w:r>
      <w:r w:rsidR="00462706">
        <w:rPr>
          <w:szCs w:val="24"/>
        </w:rPr>
        <w:t xml:space="preserve">(see Refs </w:t>
      </w:r>
      <w:r w:rsidRPr="00C10D10">
        <w:rPr>
          <w:szCs w:val="24"/>
        </w:rPr>
        <w:t>[</w:t>
      </w:r>
      <w:r w:rsidR="00E1361F" w:rsidRPr="00C10D10">
        <w:rPr>
          <w:szCs w:val="24"/>
        </w:rPr>
        <w:t>I-</w:t>
      </w:r>
      <w:r w:rsidR="00BE4D8D">
        <w:rPr>
          <w:szCs w:val="24"/>
        </w:rPr>
        <w:t>2</w:t>
      </w:r>
      <w:r w:rsidRPr="00C10D10">
        <w:rPr>
          <w:szCs w:val="24"/>
        </w:rPr>
        <w:t xml:space="preserve">, </w:t>
      </w:r>
      <w:r w:rsidR="00E1361F" w:rsidRPr="00C10D10">
        <w:rPr>
          <w:szCs w:val="24"/>
        </w:rPr>
        <w:t>I-</w:t>
      </w:r>
      <w:r w:rsidR="00BE4D8D">
        <w:rPr>
          <w:szCs w:val="24"/>
        </w:rPr>
        <w:t>3</w:t>
      </w:r>
      <w:r w:rsidRPr="00C10D10">
        <w:rPr>
          <w:szCs w:val="24"/>
        </w:rPr>
        <w:t xml:space="preserve">, </w:t>
      </w:r>
      <w:proofErr w:type="gramStart"/>
      <w:r w:rsidR="00E1361F" w:rsidRPr="00C10D10">
        <w:rPr>
          <w:szCs w:val="24"/>
        </w:rPr>
        <w:t>I</w:t>
      </w:r>
      <w:proofErr w:type="gramEnd"/>
      <w:r w:rsidR="00E1361F" w:rsidRPr="00C10D10">
        <w:rPr>
          <w:szCs w:val="24"/>
        </w:rPr>
        <w:t>-</w:t>
      </w:r>
      <w:r w:rsidR="00BE4D8D">
        <w:rPr>
          <w:szCs w:val="24"/>
        </w:rPr>
        <w:t>4</w:t>
      </w:r>
      <w:r w:rsidR="00611C5E" w:rsidRPr="00C10D10">
        <w:rPr>
          <w:szCs w:val="24"/>
        </w:rPr>
        <w:t xml:space="preserve">] and </w:t>
      </w:r>
      <w:r w:rsidR="00BE4D8D">
        <w:rPr>
          <w:szCs w:val="24"/>
        </w:rPr>
        <w:t>t</w:t>
      </w:r>
      <w:r w:rsidRPr="00C10D10">
        <w:rPr>
          <w:szCs w:val="24"/>
        </w:rPr>
        <w:t>able 8 of</w:t>
      </w:r>
      <w:r w:rsidR="00BE4D8D">
        <w:rPr>
          <w:szCs w:val="24"/>
        </w:rPr>
        <w:t xml:space="preserve"> Ref.</w:t>
      </w:r>
      <w:r w:rsidRPr="00C10D10">
        <w:rPr>
          <w:szCs w:val="24"/>
        </w:rPr>
        <w:t xml:space="preserve"> </w:t>
      </w:r>
      <w:r w:rsidR="00E1361F" w:rsidRPr="00C10D10">
        <w:rPr>
          <w:szCs w:val="24"/>
        </w:rPr>
        <w:t>[I-</w:t>
      </w:r>
      <w:r w:rsidR="00BE4D8D">
        <w:rPr>
          <w:szCs w:val="24"/>
        </w:rPr>
        <w:t>5</w:t>
      </w:r>
      <w:r w:rsidRPr="00C10D10">
        <w:rPr>
          <w:szCs w:val="24"/>
        </w:rPr>
        <w:t>]</w:t>
      </w:r>
      <w:r w:rsidR="00462706">
        <w:rPr>
          <w:szCs w:val="24"/>
        </w:rPr>
        <w:t>)</w:t>
      </w:r>
      <w:r w:rsidRPr="00C10D10">
        <w:rPr>
          <w:szCs w:val="24"/>
        </w:rPr>
        <w:t>.</w:t>
      </w:r>
      <w:r w:rsidR="009A69D3">
        <w:rPr>
          <w:szCs w:val="24"/>
        </w:rPr>
        <w:t xml:space="preserve"> </w:t>
      </w:r>
      <w:r w:rsidR="001829E9">
        <w:rPr>
          <w:szCs w:val="24"/>
        </w:rPr>
        <w:t>I</w:t>
      </w:r>
      <w:r w:rsidR="009A69D3">
        <w:rPr>
          <w:szCs w:val="24"/>
        </w:rPr>
        <w:t>n the requirements for disposal of radioactive waste</w:t>
      </w:r>
      <w:r w:rsidR="001829E9">
        <w:rPr>
          <w:szCs w:val="24"/>
        </w:rPr>
        <w:t>,</w:t>
      </w:r>
      <w:r w:rsidR="009A69D3">
        <w:rPr>
          <w:szCs w:val="24"/>
        </w:rPr>
        <w:t xml:space="preserve"> a dose constraint of 0.3 </w:t>
      </w:r>
      <w:proofErr w:type="spellStart"/>
      <w:r w:rsidR="009A69D3">
        <w:rPr>
          <w:szCs w:val="24"/>
        </w:rPr>
        <w:t>mSv</w:t>
      </w:r>
      <w:proofErr w:type="spellEnd"/>
      <w:r w:rsidR="009A69D3">
        <w:rPr>
          <w:szCs w:val="24"/>
        </w:rPr>
        <w:t xml:space="preserve"> per year </w:t>
      </w:r>
      <w:r w:rsidR="00D10330">
        <w:rPr>
          <w:szCs w:val="24"/>
        </w:rPr>
        <w:t xml:space="preserve">for </w:t>
      </w:r>
      <w:r w:rsidR="009A69D3">
        <w:rPr>
          <w:szCs w:val="24"/>
        </w:rPr>
        <w:t>optimiz</w:t>
      </w:r>
      <w:r w:rsidR="00BE4D8D">
        <w:rPr>
          <w:szCs w:val="24"/>
        </w:rPr>
        <w:t>ation</w:t>
      </w:r>
      <w:r w:rsidR="009A69D3">
        <w:rPr>
          <w:szCs w:val="24"/>
        </w:rPr>
        <w:t xml:space="preserve"> </w:t>
      </w:r>
      <w:r w:rsidR="00BE4D8D">
        <w:rPr>
          <w:szCs w:val="24"/>
        </w:rPr>
        <w:t xml:space="preserve">of </w:t>
      </w:r>
      <w:r w:rsidR="009A69D3">
        <w:rPr>
          <w:szCs w:val="24"/>
        </w:rPr>
        <w:t>the protection of the public</w:t>
      </w:r>
      <w:r w:rsidR="001829E9">
        <w:rPr>
          <w:szCs w:val="24"/>
        </w:rPr>
        <w:t xml:space="preserve"> is established</w:t>
      </w:r>
      <w:r w:rsidR="009A69D3">
        <w:rPr>
          <w:szCs w:val="24"/>
        </w:rPr>
        <w:t xml:space="preserve">, to be </w:t>
      </w:r>
      <w:r w:rsidR="00262CB3">
        <w:rPr>
          <w:szCs w:val="24"/>
        </w:rPr>
        <w:t>used in</w:t>
      </w:r>
      <w:r w:rsidR="00D10330">
        <w:rPr>
          <w:szCs w:val="24"/>
        </w:rPr>
        <w:t xml:space="preserve"> the </w:t>
      </w:r>
      <w:r w:rsidR="009A69D3">
        <w:rPr>
          <w:szCs w:val="24"/>
        </w:rPr>
        <w:t>design, constructi</w:t>
      </w:r>
      <w:r w:rsidR="00D10330">
        <w:rPr>
          <w:szCs w:val="24"/>
        </w:rPr>
        <w:t>o</w:t>
      </w:r>
      <w:r w:rsidR="009A69D3">
        <w:rPr>
          <w:szCs w:val="24"/>
        </w:rPr>
        <w:t>n, operati</w:t>
      </w:r>
      <w:r w:rsidR="00D10330">
        <w:rPr>
          <w:szCs w:val="24"/>
        </w:rPr>
        <w:t>o</w:t>
      </w:r>
      <w:r w:rsidR="009A69D3">
        <w:rPr>
          <w:szCs w:val="24"/>
        </w:rPr>
        <w:t>n and clos</w:t>
      </w:r>
      <w:r w:rsidR="00D10330">
        <w:rPr>
          <w:szCs w:val="24"/>
        </w:rPr>
        <w:t>ure of</w:t>
      </w:r>
      <w:r w:rsidR="009A69D3">
        <w:rPr>
          <w:szCs w:val="24"/>
        </w:rPr>
        <w:t xml:space="preserve"> a disposal facility [</w:t>
      </w:r>
      <w:r w:rsidR="00462706">
        <w:rPr>
          <w:szCs w:val="24"/>
        </w:rPr>
        <w:t>I-</w:t>
      </w:r>
      <w:r w:rsidR="00BE4D8D">
        <w:rPr>
          <w:szCs w:val="24"/>
        </w:rPr>
        <w:t>6</w:t>
      </w:r>
      <w:r w:rsidR="009A69D3">
        <w:rPr>
          <w:szCs w:val="24"/>
        </w:rPr>
        <w:t xml:space="preserve">]. </w:t>
      </w:r>
    </w:p>
    <w:p w:rsidR="00305AAF" w:rsidRPr="00C10D10" w:rsidRDefault="00305AAF"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When setting a specific dose constraint for a particular activity or facility, the characteristics of the site and of the facility or activity that are relevant for public exposure, good practices and experience in the operation of similar </w:t>
      </w:r>
      <w:r w:rsidR="00BE4D8D">
        <w:rPr>
          <w:szCs w:val="24"/>
        </w:rPr>
        <w:t>facilities or activities</w:t>
      </w:r>
      <w:r w:rsidRPr="00C10D10">
        <w:rPr>
          <w:szCs w:val="24"/>
        </w:rPr>
        <w:t xml:space="preserve">, the location of the </w:t>
      </w:r>
      <w:r w:rsidR="00BE4D8D">
        <w:rPr>
          <w:szCs w:val="24"/>
        </w:rPr>
        <w:t>facility or activity</w:t>
      </w:r>
      <w:r w:rsidRPr="00C10D10">
        <w:rPr>
          <w:szCs w:val="24"/>
        </w:rPr>
        <w:t xml:space="preserve">, dose contributions from other authorized practices and foreseeable future practices and the </w:t>
      </w:r>
      <w:r w:rsidR="002668E5">
        <w:rPr>
          <w:szCs w:val="24"/>
        </w:rPr>
        <w:t xml:space="preserve">expected </w:t>
      </w:r>
      <w:r w:rsidRPr="00C10D10">
        <w:rPr>
          <w:szCs w:val="24"/>
        </w:rPr>
        <w:t xml:space="preserve">exposure conditions </w:t>
      </w:r>
      <w:r w:rsidR="00EA683C" w:rsidRPr="00C10D10">
        <w:rPr>
          <w:szCs w:val="24"/>
        </w:rPr>
        <w:t>need to</w:t>
      </w:r>
      <w:r w:rsidRPr="00C10D10">
        <w:rPr>
          <w:szCs w:val="24"/>
        </w:rPr>
        <w:t xml:space="preserve"> be considered. Other factors, such as economic and soci</w:t>
      </w:r>
      <w:r w:rsidR="00D10330">
        <w:rPr>
          <w:szCs w:val="24"/>
        </w:rPr>
        <w:t>et</w:t>
      </w:r>
      <w:r w:rsidRPr="00C10D10">
        <w:rPr>
          <w:szCs w:val="24"/>
        </w:rPr>
        <w:t>al factors</w:t>
      </w:r>
      <w:r w:rsidR="00D10330">
        <w:rPr>
          <w:szCs w:val="24"/>
        </w:rPr>
        <w:t>,</w:t>
      </w:r>
      <w:r w:rsidRPr="00C10D10">
        <w:rPr>
          <w:szCs w:val="24"/>
        </w:rPr>
        <w:t xml:space="preserve"> as well as the views of interested parties</w:t>
      </w:r>
      <w:r w:rsidR="00D10330">
        <w:rPr>
          <w:szCs w:val="24"/>
        </w:rPr>
        <w:t>,</w:t>
      </w:r>
      <w:r w:rsidRPr="00C10D10">
        <w:rPr>
          <w:szCs w:val="24"/>
        </w:rPr>
        <w:t xml:space="preserve"> </w:t>
      </w:r>
      <w:r w:rsidR="00D10330">
        <w:rPr>
          <w:szCs w:val="24"/>
        </w:rPr>
        <w:t>w</w:t>
      </w:r>
      <w:r w:rsidRPr="00C10D10">
        <w:rPr>
          <w:szCs w:val="24"/>
        </w:rPr>
        <w:t xml:space="preserve">ould also </w:t>
      </w:r>
      <w:r w:rsidR="002668E5">
        <w:rPr>
          <w:szCs w:val="24"/>
        </w:rPr>
        <w:t xml:space="preserve">need to </w:t>
      </w:r>
      <w:r w:rsidRPr="00C10D10">
        <w:rPr>
          <w:szCs w:val="24"/>
        </w:rPr>
        <w:t>be taken into account.</w:t>
      </w:r>
      <w:r w:rsidR="00EA683C" w:rsidRPr="00C10D10">
        <w:rPr>
          <w:szCs w:val="24"/>
        </w:rPr>
        <w:t xml:space="preserve"> </w:t>
      </w:r>
    </w:p>
    <w:p w:rsidR="00305AAF" w:rsidRPr="00C10D10" w:rsidRDefault="00305AAF" w:rsidP="00E37B84">
      <w:pPr>
        <w:pStyle w:val="ListParagraph"/>
        <w:autoSpaceDE w:val="0"/>
        <w:autoSpaceDN w:val="0"/>
        <w:adjustRightInd w:val="0"/>
        <w:contextualSpacing w:val="0"/>
        <w:jc w:val="both"/>
        <w:rPr>
          <w:szCs w:val="24"/>
        </w:rPr>
      </w:pPr>
    </w:p>
    <w:p w:rsidR="000D6FCA" w:rsidRPr="00C10D10" w:rsidRDefault="00EA683C" w:rsidP="007C3CCD">
      <w:pPr>
        <w:pStyle w:val="ListParagraph"/>
        <w:numPr>
          <w:ilvl w:val="0"/>
          <w:numId w:val="20"/>
        </w:numPr>
        <w:autoSpaceDE w:val="0"/>
        <w:autoSpaceDN w:val="0"/>
        <w:adjustRightInd w:val="0"/>
        <w:contextualSpacing w:val="0"/>
        <w:jc w:val="both"/>
        <w:rPr>
          <w:szCs w:val="24"/>
        </w:rPr>
      </w:pPr>
      <w:r w:rsidRPr="00C10D10">
        <w:rPr>
          <w:szCs w:val="24"/>
        </w:rPr>
        <w:lastRenderedPageBreak/>
        <w:t xml:space="preserve">When considering </w:t>
      </w:r>
      <w:r w:rsidR="008C057A" w:rsidRPr="00C10D10">
        <w:rPr>
          <w:szCs w:val="24"/>
        </w:rPr>
        <w:t>the contribution</w:t>
      </w:r>
      <w:r w:rsidR="00305AAF" w:rsidRPr="00C10D10">
        <w:rPr>
          <w:szCs w:val="24"/>
        </w:rPr>
        <w:t xml:space="preserve"> to the exposure of the public from </w:t>
      </w:r>
      <w:r w:rsidRPr="00C10D10">
        <w:rPr>
          <w:szCs w:val="24"/>
        </w:rPr>
        <w:t xml:space="preserve">other </w:t>
      </w:r>
      <w:r w:rsidR="004F2935" w:rsidRPr="00C10D10">
        <w:rPr>
          <w:szCs w:val="24"/>
        </w:rPr>
        <w:t>authorized sources</w:t>
      </w:r>
      <w:r w:rsidR="006A112E">
        <w:rPr>
          <w:szCs w:val="24"/>
        </w:rPr>
        <w:t xml:space="preserve"> of radiation</w:t>
      </w:r>
      <w:r w:rsidR="004F2935" w:rsidRPr="00C10D10">
        <w:rPr>
          <w:szCs w:val="24"/>
        </w:rPr>
        <w:t>, local and distant</w:t>
      </w:r>
      <w:r w:rsidR="005C32E5" w:rsidRPr="00C10D10">
        <w:rPr>
          <w:szCs w:val="24"/>
        </w:rPr>
        <w:t xml:space="preserve"> </w:t>
      </w:r>
      <w:r w:rsidR="00D10330">
        <w:rPr>
          <w:szCs w:val="24"/>
        </w:rPr>
        <w:t xml:space="preserve">practices, </w:t>
      </w:r>
      <w:r w:rsidR="006A112E">
        <w:rPr>
          <w:szCs w:val="24"/>
        </w:rPr>
        <w:t>as well as</w:t>
      </w:r>
      <w:r w:rsidR="004F2935" w:rsidRPr="00C10D10">
        <w:rPr>
          <w:szCs w:val="24"/>
        </w:rPr>
        <w:t xml:space="preserve"> </w:t>
      </w:r>
      <w:r w:rsidR="00305AAF" w:rsidRPr="00C10D10">
        <w:rPr>
          <w:szCs w:val="24"/>
        </w:rPr>
        <w:t xml:space="preserve">existing </w:t>
      </w:r>
      <w:r w:rsidR="005C32E5" w:rsidRPr="00C10D10">
        <w:rPr>
          <w:szCs w:val="24"/>
        </w:rPr>
        <w:t>and</w:t>
      </w:r>
      <w:r w:rsidR="00305AAF" w:rsidRPr="00C10D10">
        <w:rPr>
          <w:szCs w:val="24"/>
        </w:rPr>
        <w:t xml:space="preserve"> </w:t>
      </w:r>
      <w:r w:rsidR="008B55F2">
        <w:rPr>
          <w:szCs w:val="24"/>
        </w:rPr>
        <w:t>projected</w:t>
      </w:r>
      <w:r w:rsidR="008B55F2" w:rsidRPr="00C10D10">
        <w:rPr>
          <w:szCs w:val="24"/>
        </w:rPr>
        <w:t xml:space="preserve"> </w:t>
      </w:r>
      <w:r w:rsidR="00305AAF" w:rsidRPr="00C10D10">
        <w:rPr>
          <w:szCs w:val="24"/>
        </w:rPr>
        <w:t>practices</w:t>
      </w:r>
      <w:r w:rsidR="00D10330">
        <w:rPr>
          <w:szCs w:val="24"/>
        </w:rPr>
        <w:t>,</w:t>
      </w:r>
      <w:r w:rsidR="004F2935" w:rsidRPr="00C10D10">
        <w:rPr>
          <w:szCs w:val="24"/>
        </w:rPr>
        <w:t xml:space="preserve"> </w:t>
      </w:r>
      <w:r w:rsidR="006A112E">
        <w:rPr>
          <w:szCs w:val="24"/>
        </w:rPr>
        <w:t>need</w:t>
      </w:r>
      <w:r w:rsidR="004F2935" w:rsidRPr="00C10D10">
        <w:rPr>
          <w:szCs w:val="24"/>
        </w:rPr>
        <w:t xml:space="preserve"> to be considered</w:t>
      </w:r>
      <w:r w:rsidR="002341E2">
        <w:rPr>
          <w:szCs w:val="24"/>
        </w:rPr>
        <w:t>.</w:t>
      </w:r>
      <w:r w:rsidR="00305AAF" w:rsidRPr="00C10D10">
        <w:rPr>
          <w:szCs w:val="24"/>
        </w:rPr>
        <w:t xml:space="preserve"> For example, for </w:t>
      </w:r>
      <w:r w:rsidR="006A112E">
        <w:rPr>
          <w:szCs w:val="24"/>
        </w:rPr>
        <w:t xml:space="preserve">a </w:t>
      </w:r>
      <w:r w:rsidR="00305AAF" w:rsidRPr="00C10D10">
        <w:rPr>
          <w:szCs w:val="24"/>
        </w:rPr>
        <w:t xml:space="preserve">nuclear </w:t>
      </w:r>
      <w:r w:rsidR="006A112E">
        <w:rPr>
          <w:szCs w:val="24"/>
        </w:rPr>
        <w:t>installation</w:t>
      </w:r>
      <w:r w:rsidR="00305AAF" w:rsidRPr="00C10D10">
        <w:rPr>
          <w:szCs w:val="24"/>
        </w:rPr>
        <w:t xml:space="preserve">, other </w:t>
      </w:r>
      <w:r w:rsidR="004F2935" w:rsidRPr="00C10D10">
        <w:rPr>
          <w:szCs w:val="24"/>
        </w:rPr>
        <w:t xml:space="preserve">nuclear </w:t>
      </w:r>
      <w:r w:rsidR="00305AAF" w:rsidRPr="00C10D10">
        <w:rPr>
          <w:szCs w:val="24"/>
        </w:rPr>
        <w:t xml:space="preserve">installations </w:t>
      </w:r>
      <w:r w:rsidR="006A112E">
        <w:rPr>
          <w:szCs w:val="24"/>
        </w:rPr>
        <w:t>co</w:t>
      </w:r>
      <w:r w:rsidR="00E37B84">
        <w:rPr>
          <w:szCs w:val="24"/>
        </w:rPr>
        <w:noBreakHyphen/>
      </w:r>
      <w:r w:rsidR="006A112E">
        <w:rPr>
          <w:szCs w:val="24"/>
        </w:rPr>
        <w:t xml:space="preserve">located </w:t>
      </w:r>
      <w:r w:rsidR="00305AAF" w:rsidRPr="00C10D10">
        <w:rPr>
          <w:szCs w:val="24"/>
        </w:rPr>
        <w:t xml:space="preserve">on the same site or discharging to the same </w:t>
      </w:r>
      <w:r w:rsidR="00D10330" w:rsidRPr="00C10D10">
        <w:rPr>
          <w:szCs w:val="24"/>
        </w:rPr>
        <w:t xml:space="preserve">body </w:t>
      </w:r>
      <w:r w:rsidR="00D10330">
        <w:rPr>
          <w:szCs w:val="24"/>
        </w:rPr>
        <w:t xml:space="preserve">of </w:t>
      </w:r>
      <w:r w:rsidR="00305AAF" w:rsidRPr="00C10D10">
        <w:rPr>
          <w:szCs w:val="24"/>
        </w:rPr>
        <w:t>water (particularly rivers</w:t>
      </w:r>
      <w:r w:rsidR="004F2935" w:rsidRPr="00C10D10">
        <w:rPr>
          <w:szCs w:val="24"/>
        </w:rPr>
        <w:t xml:space="preserve"> and small lakes</w:t>
      </w:r>
      <w:r w:rsidR="00305AAF" w:rsidRPr="00C10D10">
        <w:rPr>
          <w:szCs w:val="24"/>
        </w:rPr>
        <w:t>) could contribute to the exposure of the representative person</w:t>
      </w:r>
      <w:r w:rsidR="005C32E5" w:rsidRPr="00C10D10">
        <w:rPr>
          <w:szCs w:val="24"/>
        </w:rPr>
        <w:t xml:space="preserve"> under consideration</w:t>
      </w:r>
      <w:r w:rsidR="007C3CCD">
        <w:t xml:space="preserve">; </w:t>
      </w:r>
      <w:r w:rsidR="007C3CCD" w:rsidRPr="007C3CCD">
        <w:rPr>
          <w:szCs w:val="24"/>
        </w:rPr>
        <w:t>for hospitals in urban areas, other sources of radiation from other practices in the same area (for example, industrial applications and other medical applications) can contribute to the exposure.</w:t>
      </w:r>
      <w:r w:rsidR="00C505DE">
        <w:rPr>
          <w:szCs w:val="24"/>
        </w:rPr>
        <w:t xml:space="preserve"> </w:t>
      </w:r>
      <w:r w:rsidR="007C3CCD" w:rsidRPr="007C3CCD">
        <w:rPr>
          <w:szCs w:val="24"/>
        </w:rPr>
        <w:t xml:space="preserve">On the other hand, in the case of practices in remote areas (e.g. uranium mining and </w:t>
      </w:r>
      <w:r w:rsidR="00D10330">
        <w:rPr>
          <w:szCs w:val="24"/>
        </w:rPr>
        <w:t>process</w:t>
      </w:r>
      <w:r w:rsidR="00502DCA">
        <w:rPr>
          <w:szCs w:val="24"/>
        </w:rPr>
        <w:t>ing</w:t>
      </w:r>
      <w:r w:rsidR="007C3CCD" w:rsidRPr="007C3CCD">
        <w:rPr>
          <w:szCs w:val="24"/>
        </w:rPr>
        <w:t>), the assumption that additional local sources of radiation contribute to the dose may not be appropriate</w:t>
      </w:r>
      <w:r w:rsidR="007C3CCD">
        <w:rPr>
          <w:szCs w:val="24"/>
        </w:rPr>
        <w:t>.</w:t>
      </w:r>
    </w:p>
    <w:p w:rsidR="00791E82" w:rsidRPr="00C10D10" w:rsidRDefault="00791E82" w:rsidP="00791E82">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In the case of </w:t>
      </w:r>
      <w:r>
        <w:rPr>
          <w:szCs w:val="24"/>
        </w:rPr>
        <w:t xml:space="preserve">sites with multiple facilities or </w:t>
      </w:r>
      <w:r w:rsidRPr="00C10D10">
        <w:rPr>
          <w:szCs w:val="24"/>
        </w:rPr>
        <w:t xml:space="preserve">facilities </w:t>
      </w:r>
      <w:r>
        <w:rPr>
          <w:szCs w:val="24"/>
        </w:rPr>
        <w:t>and</w:t>
      </w:r>
      <w:r w:rsidRPr="00C10D10">
        <w:rPr>
          <w:szCs w:val="24"/>
        </w:rPr>
        <w:t xml:space="preserve"> activities in an </w:t>
      </w:r>
      <w:r>
        <w:rPr>
          <w:szCs w:val="24"/>
        </w:rPr>
        <w:t>area where</w:t>
      </w:r>
      <w:r w:rsidRPr="00C10D10">
        <w:rPr>
          <w:szCs w:val="24"/>
        </w:rPr>
        <w:t xml:space="preserve"> more than one source </w:t>
      </w:r>
      <w:r>
        <w:rPr>
          <w:szCs w:val="24"/>
        </w:rPr>
        <w:t xml:space="preserve">is present that </w:t>
      </w:r>
      <w:r w:rsidRPr="00C10D10">
        <w:rPr>
          <w:szCs w:val="24"/>
        </w:rPr>
        <w:t>could contribute to the exposure of the representative person</w:t>
      </w:r>
      <w:r>
        <w:rPr>
          <w:szCs w:val="24"/>
        </w:rPr>
        <w:t>, the specific dose constraint may need to be set at an appropriately low value</w:t>
      </w:r>
      <w:r w:rsidRPr="00C10D10">
        <w:rPr>
          <w:szCs w:val="24"/>
        </w:rPr>
        <w:t xml:space="preserve">. On the other hand, for </w:t>
      </w:r>
      <w:r>
        <w:rPr>
          <w:szCs w:val="24"/>
        </w:rPr>
        <w:t xml:space="preserve">individual </w:t>
      </w:r>
      <w:r w:rsidRPr="00C10D10">
        <w:rPr>
          <w:szCs w:val="24"/>
        </w:rPr>
        <w:t xml:space="preserve">facilities or activities located in </w:t>
      </w:r>
      <w:r>
        <w:rPr>
          <w:szCs w:val="24"/>
        </w:rPr>
        <w:t xml:space="preserve">extremely </w:t>
      </w:r>
      <w:r w:rsidRPr="00C10D10">
        <w:rPr>
          <w:szCs w:val="24"/>
        </w:rPr>
        <w:t xml:space="preserve">remote areas, e.g. a uranium mine, </w:t>
      </w:r>
      <w:r>
        <w:rPr>
          <w:szCs w:val="24"/>
        </w:rPr>
        <w:t>it may be reasonable to assume that there are no other contributing sources</w:t>
      </w:r>
      <w:r w:rsidRPr="00C10D10">
        <w:rPr>
          <w:szCs w:val="24"/>
        </w:rPr>
        <w:t xml:space="preserve"> and, consequently, a higher specific dose constraint could be set.</w:t>
      </w:r>
    </w:p>
    <w:p w:rsidR="000D6FCA" w:rsidRPr="00C10D10" w:rsidRDefault="003C12D8" w:rsidP="0091132F">
      <w:pPr>
        <w:pStyle w:val="ListParagraph"/>
        <w:numPr>
          <w:ilvl w:val="0"/>
          <w:numId w:val="20"/>
        </w:numPr>
        <w:tabs>
          <w:tab w:val="left" w:pos="851"/>
        </w:tabs>
        <w:autoSpaceDE w:val="0"/>
        <w:autoSpaceDN w:val="0"/>
        <w:adjustRightInd w:val="0"/>
        <w:contextualSpacing w:val="0"/>
        <w:jc w:val="both"/>
        <w:rPr>
          <w:szCs w:val="24"/>
        </w:rPr>
      </w:pPr>
      <w:r>
        <w:rPr>
          <w:szCs w:val="24"/>
        </w:rPr>
        <w:t xml:space="preserve">Considering that the dose constraint is not set </w:t>
      </w:r>
      <w:r w:rsidR="00D10330">
        <w:rPr>
          <w:szCs w:val="24"/>
        </w:rPr>
        <w:t xml:space="preserve">only </w:t>
      </w:r>
      <w:r>
        <w:rPr>
          <w:szCs w:val="24"/>
        </w:rPr>
        <w:t>to take account of other existing or planned sources of exposure to the public</w:t>
      </w:r>
      <w:r w:rsidR="00D10330">
        <w:rPr>
          <w:szCs w:val="24"/>
        </w:rPr>
        <w:t>,</w:t>
      </w:r>
      <w:r>
        <w:rPr>
          <w:szCs w:val="24"/>
        </w:rPr>
        <w:t xml:space="preserve"> but to guide the optimization of </w:t>
      </w:r>
      <w:r w:rsidR="00D10330">
        <w:rPr>
          <w:szCs w:val="24"/>
        </w:rPr>
        <w:t xml:space="preserve">protection for </w:t>
      </w:r>
      <w:r>
        <w:rPr>
          <w:szCs w:val="24"/>
        </w:rPr>
        <w:t xml:space="preserve">each </w:t>
      </w:r>
      <w:r w:rsidR="00791E82">
        <w:rPr>
          <w:szCs w:val="24"/>
        </w:rPr>
        <w:t>specific</w:t>
      </w:r>
      <w:r>
        <w:rPr>
          <w:szCs w:val="24"/>
        </w:rPr>
        <w:t xml:space="preserve"> </w:t>
      </w:r>
      <w:r w:rsidR="00791E82">
        <w:rPr>
          <w:szCs w:val="24"/>
        </w:rPr>
        <w:t xml:space="preserve">facility </w:t>
      </w:r>
      <w:r w:rsidR="009C7F69">
        <w:rPr>
          <w:szCs w:val="24"/>
        </w:rPr>
        <w:t xml:space="preserve">or </w:t>
      </w:r>
      <w:r w:rsidR="00791E82">
        <w:rPr>
          <w:szCs w:val="24"/>
        </w:rPr>
        <w:t>activity</w:t>
      </w:r>
      <w:r>
        <w:rPr>
          <w:szCs w:val="24"/>
        </w:rPr>
        <w:t xml:space="preserve">, </w:t>
      </w:r>
      <w:r w:rsidR="000D6FCA" w:rsidRPr="00C10D10">
        <w:rPr>
          <w:szCs w:val="24"/>
        </w:rPr>
        <w:t>i</w:t>
      </w:r>
      <w:r w:rsidR="00305AAF" w:rsidRPr="00C10D10">
        <w:rPr>
          <w:szCs w:val="24"/>
        </w:rPr>
        <w:t>n the case of multiple facilities</w:t>
      </w:r>
      <w:r w:rsidR="009C7F69">
        <w:rPr>
          <w:szCs w:val="24"/>
        </w:rPr>
        <w:t xml:space="preserve"> or</w:t>
      </w:r>
      <w:r w:rsidR="00305AAF" w:rsidRPr="00C10D10">
        <w:rPr>
          <w:szCs w:val="24"/>
        </w:rPr>
        <w:t xml:space="preserve"> </w:t>
      </w:r>
      <w:r w:rsidR="009C7F69" w:rsidRPr="00C10D10">
        <w:rPr>
          <w:szCs w:val="24"/>
        </w:rPr>
        <w:t xml:space="preserve">activities </w:t>
      </w:r>
      <w:r w:rsidR="000D6FCA" w:rsidRPr="00C10D10">
        <w:rPr>
          <w:szCs w:val="24"/>
        </w:rPr>
        <w:t xml:space="preserve">on the same site </w:t>
      </w:r>
      <w:r w:rsidR="00305AAF" w:rsidRPr="00C10D10">
        <w:rPr>
          <w:szCs w:val="24"/>
        </w:rPr>
        <w:t xml:space="preserve">it </w:t>
      </w:r>
      <w:r w:rsidR="008B55F2">
        <w:rPr>
          <w:szCs w:val="24"/>
        </w:rPr>
        <w:t xml:space="preserve">may </w:t>
      </w:r>
      <w:r w:rsidR="00305AAF" w:rsidRPr="00C10D10">
        <w:rPr>
          <w:szCs w:val="24"/>
        </w:rPr>
        <w:t xml:space="preserve">not </w:t>
      </w:r>
      <w:r w:rsidR="008B55F2">
        <w:rPr>
          <w:szCs w:val="24"/>
        </w:rPr>
        <w:t xml:space="preserve">always </w:t>
      </w:r>
      <w:r w:rsidR="00D10330">
        <w:rPr>
          <w:szCs w:val="24"/>
        </w:rPr>
        <w:t>be</w:t>
      </w:r>
      <w:r w:rsidR="00D10330" w:rsidRPr="00C10D10">
        <w:rPr>
          <w:szCs w:val="24"/>
        </w:rPr>
        <w:t xml:space="preserve"> </w:t>
      </w:r>
      <w:r w:rsidR="00305AAF" w:rsidRPr="00C10D10">
        <w:rPr>
          <w:szCs w:val="24"/>
        </w:rPr>
        <w:t xml:space="preserve">appropriate to apportion the generic dose </w:t>
      </w:r>
      <w:r w:rsidR="00611C5E" w:rsidRPr="00C10D10">
        <w:rPr>
          <w:szCs w:val="24"/>
        </w:rPr>
        <w:t xml:space="preserve">constraints </w:t>
      </w:r>
      <w:r w:rsidR="00D10330">
        <w:rPr>
          <w:szCs w:val="24"/>
        </w:rPr>
        <w:t xml:space="preserve">by </w:t>
      </w:r>
      <w:r w:rsidR="00611C5E" w:rsidRPr="00C10D10">
        <w:rPr>
          <w:szCs w:val="24"/>
        </w:rPr>
        <w:t>divid</w:t>
      </w:r>
      <w:r w:rsidR="00D10330">
        <w:rPr>
          <w:szCs w:val="24"/>
        </w:rPr>
        <w:t>ing</w:t>
      </w:r>
      <w:r w:rsidR="000D6FCA" w:rsidRPr="00C10D10">
        <w:rPr>
          <w:szCs w:val="24"/>
        </w:rPr>
        <w:t xml:space="preserve"> </w:t>
      </w:r>
      <w:r w:rsidR="005C32E5" w:rsidRPr="00C10D10">
        <w:rPr>
          <w:szCs w:val="24"/>
        </w:rPr>
        <w:t xml:space="preserve">exactly </w:t>
      </w:r>
      <w:r w:rsidR="000D6FCA" w:rsidRPr="00C10D10">
        <w:rPr>
          <w:szCs w:val="24"/>
        </w:rPr>
        <w:t>by</w:t>
      </w:r>
      <w:r w:rsidR="00305AAF" w:rsidRPr="00C10D10">
        <w:rPr>
          <w:szCs w:val="24"/>
        </w:rPr>
        <w:t xml:space="preserve"> the number of facilities.</w:t>
      </w:r>
      <w:r w:rsidR="000D6FCA" w:rsidRPr="00C10D10">
        <w:rPr>
          <w:szCs w:val="24"/>
        </w:rPr>
        <w:t xml:space="preserve"> </w:t>
      </w:r>
      <w:r>
        <w:rPr>
          <w:szCs w:val="24"/>
        </w:rPr>
        <w:t>A</w:t>
      </w:r>
      <w:r w:rsidR="000D6FCA" w:rsidRPr="00C10D10">
        <w:rPr>
          <w:szCs w:val="24"/>
        </w:rPr>
        <w:t xml:space="preserve"> specific dose constraint </w:t>
      </w:r>
      <w:r w:rsidR="002668E5">
        <w:rPr>
          <w:szCs w:val="24"/>
        </w:rPr>
        <w:t>needs to</w:t>
      </w:r>
      <w:r w:rsidR="00D10330">
        <w:rPr>
          <w:szCs w:val="24"/>
        </w:rPr>
        <w:t xml:space="preserve"> </w:t>
      </w:r>
      <w:r w:rsidR="000D6FCA" w:rsidRPr="00C10D10">
        <w:rPr>
          <w:szCs w:val="24"/>
        </w:rPr>
        <w:t>be assigned to each facility or activity</w:t>
      </w:r>
      <w:r w:rsidR="008C057A" w:rsidRPr="00C10D10">
        <w:rPr>
          <w:szCs w:val="24"/>
        </w:rPr>
        <w:t xml:space="preserve"> </w:t>
      </w:r>
      <w:r>
        <w:rPr>
          <w:szCs w:val="24"/>
        </w:rPr>
        <w:t xml:space="preserve">on the basis of </w:t>
      </w:r>
      <w:r w:rsidR="00D10330">
        <w:rPr>
          <w:szCs w:val="24"/>
        </w:rPr>
        <w:t>its</w:t>
      </w:r>
      <w:r>
        <w:rPr>
          <w:szCs w:val="24"/>
        </w:rPr>
        <w:t xml:space="preserve"> particular </w:t>
      </w:r>
      <w:r w:rsidR="00BD17AA">
        <w:rPr>
          <w:szCs w:val="24"/>
        </w:rPr>
        <w:t>contribution to the exposure of the representative person</w:t>
      </w:r>
      <w:r w:rsidR="00D10330">
        <w:rPr>
          <w:szCs w:val="24"/>
        </w:rPr>
        <w:t>,</w:t>
      </w:r>
      <w:r w:rsidR="00BD17AA">
        <w:rPr>
          <w:szCs w:val="24"/>
        </w:rPr>
        <w:t xml:space="preserve"> </w:t>
      </w:r>
      <w:r w:rsidR="00D10330">
        <w:rPr>
          <w:szCs w:val="24"/>
        </w:rPr>
        <w:t xml:space="preserve">to </w:t>
      </w:r>
      <w:r w:rsidR="000D6FCA" w:rsidRPr="00C10D10">
        <w:rPr>
          <w:szCs w:val="24"/>
        </w:rPr>
        <w:t>ensur</w:t>
      </w:r>
      <w:r w:rsidR="00D10330">
        <w:rPr>
          <w:szCs w:val="24"/>
        </w:rPr>
        <w:t>e</w:t>
      </w:r>
      <w:r w:rsidR="000D6FCA" w:rsidRPr="00C10D10">
        <w:rPr>
          <w:szCs w:val="24"/>
        </w:rPr>
        <w:t xml:space="preserve"> that, once the protection is optimized</w:t>
      </w:r>
      <w:r w:rsidR="008C057A" w:rsidRPr="00C10D10">
        <w:rPr>
          <w:szCs w:val="24"/>
        </w:rPr>
        <w:t xml:space="preserve"> with respect to each source</w:t>
      </w:r>
      <w:r w:rsidR="000D6FCA" w:rsidRPr="00C10D10">
        <w:rPr>
          <w:szCs w:val="24"/>
        </w:rPr>
        <w:t xml:space="preserve">, the resulting </w:t>
      </w:r>
      <w:r w:rsidR="008C057A" w:rsidRPr="00C10D10">
        <w:rPr>
          <w:szCs w:val="24"/>
        </w:rPr>
        <w:t xml:space="preserve">combination of </w:t>
      </w:r>
      <w:r w:rsidR="004C0B9D">
        <w:rPr>
          <w:szCs w:val="24"/>
        </w:rPr>
        <w:t>doses</w:t>
      </w:r>
      <w:r w:rsidR="000D6FCA" w:rsidRPr="00C10D10">
        <w:rPr>
          <w:szCs w:val="24"/>
        </w:rPr>
        <w:t xml:space="preserve"> does not exceed the dose limit.</w:t>
      </w:r>
    </w:p>
    <w:p w:rsidR="00305AAF" w:rsidRPr="00C10D10" w:rsidRDefault="000D6FCA"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In the case of</w:t>
      </w:r>
      <w:r w:rsidR="00305AAF" w:rsidRPr="00C10D10">
        <w:rPr>
          <w:szCs w:val="24"/>
        </w:rPr>
        <w:t xml:space="preserve"> a hospital</w:t>
      </w:r>
      <w:r w:rsidRPr="00C10D10">
        <w:rPr>
          <w:szCs w:val="24"/>
        </w:rPr>
        <w:t xml:space="preserve"> discharging </w:t>
      </w:r>
      <w:r w:rsidR="00C33D31">
        <w:rPr>
          <w:szCs w:val="24"/>
        </w:rPr>
        <w:t xml:space="preserve">radionuclides </w:t>
      </w:r>
      <w:r w:rsidRPr="00C10D10">
        <w:rPr>
          <w:szCs w:val="24"/>
        </w:rPr>
        <w:t xml:space="preserve">to the </w:t>
      </w:r>
      <w:r w:rsidR="00C22B78">
        <w:rPr>
          <w:szCs w:val="24"/>
        </w:rPr>
        <w:t>sewerage system</w:t>
      </w:r>
      <w:r w:rsidRPr="00C10D10">
        <w:rPr>
          <w:szCs w:val="24"/>
        </w:rPr>
        <w:t xml:space="preserve">, </w:t>
      </w:r>
      <w:r w:rsidR="00C33D31">
        <w:rPr>
          <w:szCs w:val="24"/>
        </w:rPr>
        <w:t>the</w:t>
      </w:r>
      <w:r w:rsidR="00305AAF" w:rsidRPr="00C10D10">
        <w:rPr>
          <w:szCs w:val="24"/>
        </w:rPr>
        <w:t xml:space="preserve"> </w:t>
      </w:r>
      <w:r w:rsidR="004F2935" w:rsidRPr="00C10D10">
        <w:rPr>
          <w:szCs w:val="24"/>
        </w:rPr>
        <w:t xml:space="preserve">specific </w:t>
      </w:r>
      <w:r w:rsidR="00305AAF" w:rsidRPr="00C10D10">
        <w:rPr>
          <w:szCs w:val="24"/>
        </w:rPr>
        <w:t xml:space="preserve">dose constraint value </w:t>
      </w:r>
      <w:r w:rsidR="00C22B78">
        <w:rPr>
          <w:szCs w:val="24"/>
        </w:rPr>
        <w:t>may need</w:t>
      </w:r>
      <w:r w:rsidRPr="00C10D10">
        <w:rPr>
          <w:szCs w:val="24"/>
        </w:rPr>
        <w:t xml:space="preserve"> to </w:t>
      </w:r>
      <w:r w:rsidR="00305AAF" w:rsidRPr="00C10D10">
        <w:rPr>
          <w:szCs w:val="24"/>
        </w:rPr>
        <w:t>be set to take account of the exposure conditions of workers</w:t>
      </w:r>
      <w:r w:rsidR="00BD17AA">
        <w:rPr>
          <w:rStyle w:val="FootnoteReference"/>
          <w:szCs w:val="24"/>
        </w:rPr>
        <w:footnoteReference w:id="26"/>
      </w:r>
      <w:r w:rsidR="00305AAF" w:rsidRPr="00C10D10">
        <w:rPr>
          <w:szCs w:val="24"/>
        </w:rPr>
        <w:t xml:space="preserve"> at </w:t>
      </w:r>
      <w:r w:rsidR="000F33BB">
        <w:rPr>
          <w:szCs w:val="24"/>
        </w:rPr>
        <w:t>a</w:t>
      </w:r>
      <w:r w:rsidR="000F33BB" w:rsidRPr="00C10D10">
        <w:rPr>
          <w:szCs w:val="24"/>
        </w:rPr>
        <w:t xml:space="preserve"> </w:t>
      </w:r>
      <w:r w:rsidR="00305AAF" w:rsidRPr="00C10D10">
        <w:rPr>
          <w:szCs w:val="24"/>
        </w:rPr>
        <w:t xml:space="preserve">sewage </w:t>
      </w:r>
      <w:r w:rsidR="00C22B78">
        <w:rPr>
          <w:szCs w:val="24"/>
        </w:rPr>
        <w:t>treatment works</w:t>
      </w:r>
      <w:r w:rsidR="00305AAF" w:rsidRPr="00C10D10">
        <w:rPr>
          <w:szCs w:val="24"/>
        </w:rPr>
        <w:t xml:space="preserve"> used to collect and process liquid discharges</w:t>
      </w:r>
      <w:r w:rsidR="00C33D31">
        <w:rPr>
          <w:szCs w:val="24"/>
        </w:rPr>
        <w:t xml:space="preserve"> from </w:t>
      </w:r>
      <w:r w:rsidR="000F33BB">
        <w:rPr>
          <w:szCs w:val="24"/>
        </w:rPr>
        <w:t>the hospital</w:t>
      </w:r>
      <w:r w:rsidR="00C33D31">
        <w:rPr>
          <w:szCs w:val="24"/>
        </w:rPr>
        <w:t xml:space="preserve"> and </w:t>
      </w:r>
      <w:r w:rsidR="000F33BB">
        <w:rPr>
          <w:szCs w:val="24"/>
        </w:rPr>
        <w:t xml:space="preserve">from </w:t>
      </w:r>
      <w:r w:rsidR="00C33D31">
        <w:rPr>
          <w:szCs w:val="24"/>
        </w:rPr>
        <w:t>other hospitals</w:t>
      </w:r>
      <w:r w:rsidR="007D1309">
        <w:rPr>
          <w:szCs w:val="24"/>
        </w:rPr>
        <w:t xml:space="preserve"> using the same treatment facility</w:t>
      </w:r>
      <w:r w:rsidR="00305AAF" w:rsidRPr="00C10D10">
        <w:rPr>
          <w:szCs w:val="24"/>
        </w:rPr>
        <w:t>.</w:t>
      </w:r>
    </w:p>
    <w:p w:rsidR="00502DCA" w:rsidRPr="00C10D10" w:rsidRDefault="00305AAF"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As </w:t>
      </w:r>
      <w:r w:rsidR="00DE3AE9">
        <w:rPr>
          <w:szCs w:val="24"/>
        </w:rPr>
        <w:t>described</w:t>
      </w:r>
      <w:r w:rsidR="00DE3AE9" w:rsidRPr="00C10D10">
        <w:rPr>
          <w:szCs w:val="24"/>
        </w:rPr>
        <w:t xml:space="preserve"> </w:t>
      </w:r>
      <w:r w:rsidRPr="00C10D10">
        <w:rPr>
          <w:szCs w:val="24"/>
        </w:rPr>
        <w:t>in previous paragraphs</w:t>
      </w:r>
      <w:r w:rsidR="005C32E5" w:rsidRPr="00C10D10">
        <w:rPr>
          <w:szCs w:val="24"/>
        </w:rPr>
        <w:t xml:space="preserve"> and in Section 5</w:t>
      </w:r>
      <w:r w:rsidRPr="00C10D10">
        <w:rPr>
          <w:szCs w:val="24"/>
        </w:rPr>
        <w:t xml:space="preserve">, there are different aspects to be considered and </w:t>
      </w:r>
      <w:r w:rsidR="00502DCA">
        <w:rPr>
          <w:szCs w:val="24"/>
        </w:rPr>
        <w:t xml:space="preserve">different </w:t>
      </w:r>
      <w:r w:rsidRPr="00C10D10">
        <w:rPr>
          <w:szCs w:val="24"/>
        </w:rPr>
        <w:t xml:space="preserve">options </w:t>
      </w:r>
      <w:r w:rsidR="00502DCA">
        <w:rPr>
          <w:szCs w:val="24"/>
        </w:rPr>
        <w:t>for</w:t>
      </w:r>
      <w:r w:rsidR="00502DCA" w:rsidRPr="00C10D10">
        <w:rPr>
          <w:szCs w:val="24"/>
        </w:rPr>
        <w:t xml:space="preserve"> </w:t>
      </w:r>
      <w:r w:rsidR="00E7351C" w:rsidRPr="00C10D10">
        <w:rPr>
          <w:szCs w:val="24"/>
        </w:rPr>
        <w:t>specify</w:t>
      </w:r>
      <w:r w:rsidR="00502DCA">
        <w:rPr>
          <w:szCs w:val="24"/>
        </w:rPr>
        <w:t>ing</w:t>
      </w:r>
      <w:r w:rsidRPr="00C10D10">
        <w:rPr>
          <w:szCs w:val="24"/>
        </w:rPr>
        <w:t xml:space="preserve"> discharge limits </w:t>
      </w:r>
      <w:r w:rsidR="00502DCA">
        <w:rPr>
          <w:szCs w:val="24"/>
        </w:rPr>
        <w:t>that</w:t>
      </w:r>
      <w:r w:rsidRPr="00C10D10">
        <w:rPr>
          <w:szCs w:val="24"/>
        </w:rPr>
        <w:t xml:space="preserve"> can optimize the level of </w:t>
      </w:r>
      <w:r w:rsidRPr="00C10D10">
        <w:rPr>
          <w:szCs w:val="24"/>
        </w:rPr>
        <w:lastRenderedPageBreak/>
        <w:t xml:space="preserve">protection of the </w:t>
      </w:r>
      <w:r w:rsidR="005C32E5" w:rsidRPr="00C10D10">
        <w:rPr>
          <w:szCs w:val="24"/>
        </w:rPr>
        <w:t>public;</w:t>
      </w:r>
      <w:r w:rsidRPr="00C10D10">
        <w:rPr>
          <w:szCs w:val="24"/>
        </w:rPr>
        <w:t xml:space="preserve"> </w:t>
      </w:r>
      <w:r w:rsidR="00306646" w:rsidRPr="00C10D10">
        <w:rPr>
          <w:szCs w:val="24"/>
        </w:rPr>
        <w:t xml:space="preserve">these </w:t>
      </w:r>
      <w:r w:rsidR="005C32E5" w:rsidRPr="00C10D10">
        <w:rPr>
          <w:szCs w:val="24"/>
        </w:rPr>
        <w:t xml:space="preserve">may </w:t>
      </w:r>
      <w:r w:rsidR="00306646" w:rsidRPr="00C10D10">
        <w:rPr>
          <w:szCs w:val="24"/>
        </w:rPr>
        <w:t>include</w:t>
      </w:r>
      <w:r w:rsidRPr="00C10D10">
        <w:rPr>
          <w:szCs w:val="24"/>
        </w:rPr>
        <w:t xml:space="preserve"> using </w:t>
      </w:r>
      <w:r w:rsidR="00611C5E" w:rsidRPr="00C10D10">
        <w:rPr>
          <w:szCs w:val="24"/>
        </w:rPr>
        <w:t>best available techniques</w:t>
      </w:r>
      <w:r w:rsidR="00502DCA">
        <w:rPr>
          <w:szCs w:val="24"/>
        </w:rPr>
        <w:t xml:space="preserve"> (see para. 5.39)</w:t>
      </w:r>
      <w:r w:rsidR="00E407F4">
        <w:rPr>
          <w:szCs w:val="24"/>
        </w:rPr>
        <w:t>, possibly</w:t>
      </w:r>
      <w:r w:rsidRPr="00C10D10">
        <w:rPr>
          <w:szCs w:val="24"/>
        </w:rPr>
        <w:t xml:space="preserve"> in combination with </w:t>
      </w:r>
      <w:r w:rsidR="003B0A5A">
        <w:rPr>
          <w:szCs w:val="24"/>
        </w:rPr>
        <w:t xml:space="preserve">application of </w:t>
      </w:r>
      <w:r w:rsidRPr="00C10D10">
        <w:rPr>
          <w:szCs w:val="24"/>
        </w:rPr>
        <w:t xml:space="preserve">a dose constraint. States may adopt </w:t>
      </w:r>
      <w:r w:rsidR="003B0A5A">
        <w:rPr>
          <w:szCs w:val="24"/>
        </w:rPr>
        <w:t>such</w:t>
      </w:r>
      <w:r w:rsidR="003B0A5A" w:rsidRPr="00C10D10">
        <w:rPr>
          <w:szCs w:val="24"/>
        </w:rPr>
        <w:t xml:space="preserve"> </w:t>
      </w:r>
      <w:r w:rsidRPr="00C10D10">
        <w:rPr>
          <w:szCs w:val="24"/>
        </w:rPr>
        <w:t xml:space="preserve">different options </w:t>
      </w:r>
      <w:r w:rsidR="0001314C">
        <w:rPr>
          <w:szCs w:val="24"/>
        </w:rPr>
        <w:t xml:space="preserve">for optimization of protection </w:t>
      </w:r>
      <w:r w:rsidRPr="00C10D10">
        <w:rPr>
          <w:szCs w:val="24"/>
        </w:rPr>
        <w:t>subject to national regulations, as far as is consistent with the concept of ensuring that the sum of doses from planned operations for all sources under control remains within the dose limit.</w:t>
      </w:r>
      <w:r w:rsidR="00502DCA">
        <w:rPr>
          <w:szCs w:val="24"/>
        </w:rPr>
        <w:t xml:space="preserve"> </w:t>
      </w:r>
    </w:p>
    <w:p w:rsidR="00305AAF" w:rsidRPr="00C10D10" w:rsidRDefault="00305AAF"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A scheme illustrating the possible use of </w:t>
      </w:r>
      <w:r w:rsidR="005C32E5" w:rsidRPr="00C10D10">
        <w:rPr>
          <w:szCs w:val="24"/>
        </w:rPr>
        <w:t xml:space="preserve">a </w:t>
      </w:r>
      <w:r w:rsidRPr="00C10D10">
        <w:rPr>
          <w:szCs w:val="24"/>
        </w:rPr>
        <w:t xml:space="preserve">generic </w:t>
      </w:r>
      <w:r w:rsidR="005A02AC">
        <w:rPr>
          <w:szCs w:val="24"/>
        </w:rPr>
        <w:t xml:space="preserve">dose constraint </w:t>
      </w:r>
      <w:r w:rsidRPr="00C10D10">
        <w:rPr>
          <w:szCs w:val="24"/>
        </w:rPr>
        <w:t xml:space="preserve">and specific dose constraints </w:t>
      </w:r>
      <w:r w:rsidR="00924A80">
        <w:rPr>
          <w:szCs w:val="24"/>
        </w:rPr>
        <w:t>in</w:t>
      </w:r>
      <w:r w:rsidR="005A02AC" w:rsidRPr="00C10D10">
        <w:rPr>
          <w:szCs w:val="24"/>
        </w:rPr>
        <w:t xml:space="preserve"> </w:t>
      </w:r>
      <w:r w:rsidRPr="00C10D10">
        <w:rPr>
          <w:szCs w:val="24"/>
        </w:rPr>
        <w:t>establish</w:t>
      </w:r>
      <w:r w:rsidR="005A02AC">
        <w:rPr>
          <w:szCs w:val="24"/>
        </w:rPr>
        <w:t>ing</w:t>
      </w:r>
      <w:r w:rsidRPr="00C10D10">
        <w:rPr>
          <w:szCs w:val="24"/>
        </w:rPr>
        <w:t xml:space="preserve"> discharge limits is presented in Fig</w:t>
      </w:r>
      <w:r w:rsidR="00502DCA">
        <w:rPr>
          <w:szCs w:val="24"/>
        </w:rPr>
        <w:t>s</w:t>
      </w:r>
      <w:r w:rsidRPr="00C10D10">
        <w:rPr>
          <w:szCs w:val="24"/>
        </w:rPr>
        <w:t xml:space="preserve"> </w:t>
      </w:r>
      <w:r w:rsidR="00F82C0C" w:rsidRPr="00C10D10">
        <w:rPr>
          <w:szCs w:val="24"/>
        </w:rPr>
        <w:t>I-1</w:t>
      </w:r>
      <w:r w:rsidRPr="00C10D10">
        <w:rPr>
          <w:szCs w:val="24"/>
        </w:rPr>
        <w:t xml:space="preserve"> and </w:t>
      </w:r>
      <w:r w:rsidR="00F82C0C" w:rsidRPr="00C10D10">
        <w:rPr>
          <w:szCs w:val="24"/>
        </w:rPr>
        <w:t>I-2</w:t>
      </w:r>
      <w:r w:rsidRPr="00C10D10">
        <w:rPr>
          <w:szCs w:val="24"/>
        </w:rPr>
        <w:t xml:space="preserve"> below. The generic dose constraint </w:t>
      </w:r>
      <w:r w:rsidR="00306646" w:rsidRPr="00C10D10">
        <w:rPr>
          <w:szCs w:val="24"/>
        </w:rPr>
        <w:t>is to</w:t>
      </w:r>
      <w:r w:rsidRPr="00C10D10">
        <w:rPr>
          <w:szCs w:val="24"/>
        </w:rPr>
        <w:t xml:space="preserve"> be set </w:t>
      </w:r>
      <w:r w:rsidR="00924A80">
        <w:rPr>
          <w:szCs w:val="24"/>
        </w:rPr>
        <w:t>below</w:t>
      </w:r>
      <w:r w:rsidR="00924A80" w:rsidRPr="00C10D10">
        <w:rPr>
          <w:szCs w:val="24"/>
        </w:rPr>
        <w:t xml:space="preserve"> </w:t>
      </w:r>
      <w:r w:rsidRPr="00C10D10">
        <w:rPr>
          <w:szCs w:val="24"/>
        </w:rPr>
        <w:t xml:space="preserve">the dose limit </w:t>
      </w:r>
      <w:r w:rsidR="00924A80">
        <w:rPr>
          <w:szCs w:val="24"/>
        </w:rPr>
        <w:t xml:space="preserve">of 1 </w:t>
      </w:r>
      <w:proofErr w:type="spellStart"/>
      <w:r w:rsidR="00924A80">
        <w:rPr>
          <w:szCs w:val="24"/>
        </w:rPr>
        <w:t>mSv</w:t>
      </w:r>
      <w:proofErr w:type="spellEnd"/>
      <w:r w:rsidR="00924A80">
        <w:rPr>
          <w:szCs w:val="24"/>
        </w:rPr>
        <w:t xml:space="preserve"> in a year </w:t>
      </w:r>
      <w:r w:rsidRPr="00C10D10">
        <w:rPr>
          <w:szCs w:val="24"/>
        </w:rPr>
        <w:t>and</w:t>
      </w:r>
      <w:r w:rsidR="007C16EC">
        <w:rPr>
          <w:szCs w:val="24"/>
        </w:rPr>
        <w:t xml:space="preserve"> </w:t>
      </w:r>
      <w:r w:rsidR="00D80F30">
        <w:rPr>
          <w:szCs w:val="24"/>
        </w:rPr>
        <w:t>above</w:t>
      </w:r>
      <w:r w:rsidR="00924A80">
        <w:rPr>
          <w:szCs w:val="24"/>
        </w:rPr>
        <w:t xml:space="preserve"> </w:t>
      </w:r>
      <w:r w:rsidR="007C16EC">
        <w:rPr>
          <w:szCs w:val="24"/>
        </w:rPr>
        <w:t>a dose</w:t>
      </w:r>
      <w:r w:rsidRPr="00C10D10">
        <w:rPr>
          <w:szCs w:val="24"/>
        </w:rPr>
        <w:t xml:space="preserve"> </w:t>
      </w:r>
      <w:r w:rsidR="007C16EC">
        <w:rPr>
          <w:szCs w:val="24"/>
        </w:rPr>
        <w:t>of the order of 10 µ</w:t>
      </w:r>
      <w:proofErr w:type="spellStart"/>
      <w:r w:rsidR="007C16EC">
        <w:rPr>
          <w:szCs w:val="24"/>
        </w:rPr>
        <w:t>Sv</w:t>
      </w:r>
      <w:proofErr w:type="spellEnd"/>
      <w:r w:rsidR="007C16EC">
        <w:rPr>
          <w:szCs w:val="24"/>
        </w:rPr>
        <w:t xml:space="preserve"> in a year</w:t>
      </w:r>
      <w:r w:rsidRPr="00C10D10">
        <w:rPr>
          <w:szCs w:val="24"/>
        </w:rPr>
        <w:t>. Fig</w:t>
      </w:r>
      <w:r w:rsidR="00F82C0C" w:rsidRPr="00C10D10">
        <w:rPr>
          <w:szCs w:val="24"/>
        </w:rPr>
        <w:t>ure</w:t>
      </w:r>
      <w:r w:rsidRPr="00C10D10">
        <w:rPr>
          <w:szCs w:val="24"/>
        </w:rPr>
        <w:t xml:space="preserve"> </w:t>
      </w:r>
      <w:r w:rsidR="00F82C0C" w:rsidRPr="00C10D10">
        <w:rPr>
          <w:szCs w:val="24"/>
        </w:rPr>
        <w:t>I-1</w:t>
      </w:r>
      <w:r w:rsidRPr="00C10D10">
        <w:rPr>
          <w:szCs w:val="24"/>
        </w:rPr>
        <w:t xml:space="preserve"> </w:t>
      </w:r>
      <w:r w:rsidR="00DF647F">
        <w:rPr>
          <w:szCs w:val="24"/>
        </w:rPr>
        <w:t>illustrates</w:t>
      </w:r>
      <w:r w:rsidRPr="00C10D10">
        <w:rPr>
          <w:szCs w:val="24"/>
        </w:rPr>
        <w:t xml:space="preserve"> that the specific dose constraint</w:t>
      </w:r>
      <w:r w:rsidR="00306646" w:rsidRPr="00C10D10">
        <w:rPr>
          <w:szCs w:val="24"/>
        </w:rPr>
        <w:t xml:space="preserve"> for a facility or activity </w:t>
      </w:r>
      <w:r w:rsidRPr="00C10D10">
        <w:rPr>
          <w:szCs w:val="24"/>
        </w:rPr>
        <w:t>could be higher or lower than the generic dose constraint</w:t>
      </w:r>
      <w:r w:rsidR="001D575B" w:rsidRPr="00C10D10">
        <w:rPr>
          <w:szCs w:val="24"/>
        </w:rPr>
        <w:t xml:space="preserve">, depending </w:t>
      </w:r>
      <w:r w:rsidR="00DF647F">
        <w:rPr>
          <w:szCs w:val="24"/>
        </w:rPr>
        <w:t>on</w:t>
      </w:r>
      <w:r w:rsidR="001D575B" w:rsidRPr="00C10D10">
        <w:rPr>
          <w:szCs w:val="24"/>
        </w:rPr>
        <w:t xml:space="preserve"> different factors determining the exposure conditions at the location of the representative person</w:t>
      </w:r>
      <w:r w:rsidR="00924A80">
        <w:rPr>
          <w:szCs w:val="24"/>
        </w:rPr>
        <w:t>,</w:t>
      </w:r>
      <w:r w:rsidR="001D575B" w:rsidRPr="00C10D10">
        <w:rPr>
          <w:szCs w:val="24"/>
        </w:rPr>
        <w:t xml:space="preserve"> </w:t>
      </w:r>
      <w:r w:rsidR="00BD454F">
        <w:rPr>
          <w:szCs w:val="24"/>
        </w:rPr>
        <w:t>such as</w:t>
      </w:r>
      <w:r w:rsidR="002A19E0">
        <w:rPr>
          <w:szCs w:val="24"/>
        </w:rPr>
        <w:t xml:space="preserve"> </w:t>
      </w:r>
      <w:r w:rsidR="001D575B" w:rsidRPr="00C10D10">
        <w:rPr>
          <w:szCs w:val="24"/>
        </w:rPr>
        <w:t xml:space="preserve">the </w:t>
      </w:r>
      <w:r w:rsidR="00BD454F">
        <w:rPr>
          <w:szCs w:val="24"/>
        </w:rPr>
        <w:t>presence</w:t>
      </w:r>
      <w:r w:rsidR="001D575B" w:rsidRPr="00C10D10">
        <w:rPr>
          <w:szCs w:val="24"/>
        </w:rPr>
        <w:t xml:space="preserve"> of other sources</w:t>
      </w:r>
      <w:r w:rsidR="00EF0B06">
        <w:rPr>
          <w:szCs w:val="24"/>
        </w:rPr>
        <w:t xml:space="preserve"> of radiation</w:t>
      </w:r>
      <w:r w:rsidR="00BD454F">
        <w:rPr>
          <w:szCs w:val="24"/>
        </w:rPr>
        <w:t xml:space="preserve"> </w:t>
      </w:r>
      <w:r w:rsidR="00924A80">
        <w:rPr>
          <w:szCs w:val="24"/>
        </w:rPr>
        <w:t xml:space="preserve">that </w:t>
      </w:r>
      <w:r w:rsidR="00BD454F">
        <w:rPr>
          <w:szCs w:val="24"/>
        </w:rPr>
        <w:t>can contribute to the dose to the representative person</w:t>
      </w:r>
      <w:r w:rsidR="002A19E0">
        <w:rPr>
          <w:szCs w:val="24"/>
        </w:rPr>
        <w:t>, if relevant</w:t>
      </w:r>
      <w:r w:rsidR="001D575B" w:rsidRPr="00C10D10">
        <w:rPr>
          <w:szCs w:val="24"/>
        </w:rPr>
        <w:t>.</w:t>
      </w:r>
    </w:p>
    <w:p w:rsidR="008C60BE" w:rsidRPr="00C10D10" w:rsidRDefault="008C60BE" w:rsidP="008C60BE">
      <w:pPr>
        <w:pStyle w:val="ListParagraph"/>
        <w:autoSpaceDE w:val="0"/>
        <w:autoSpaceDN w:val="0"/>
        <w:adjustRightInd w:val="0"/>
        <w:contextualSpacing w:val="0"/>
        <w:jc w:val="center"/>
        <w:rPr>
          <w:rFonts w:eastAsia="Times New Roman"/>
          <w:szCs w:val="20"/>
        </w:rPr>
      </w:pPr>
    </w:p>
    <w:p w:rsidR="00305AAF" w:rsidRPr="00C10D10" w:rsidRDefault="003D2674" w:rsidP="008C60BE">
      <w:pPr>
        <w:pStyle w:val="ListParagraph"/>
        <w:autoSpaceDE w:val="0"/>
        <w:autoSpaceDN w:val="0"/>
        <w:adjustRightInd w:val="0"/>
        <w:contextualSpacing w:val="0"/>
        <w:jc w:val="center"/>
        <w:rPr>
          <w:rFonts w:eastAsia="Times New Roman"/>
          <w:szCs w:val="20"/>
        </w:rPr>
      </w:pPr>
      <w:r>
        <w:rPr>
          <w:rFonts w:eastAsia="Times New Roman"/>
          <w:noProof/>
          <w:szCs w:val="20"/>
          <w:lang w:eastAsia="en-GB"/>
        </w:rPr>
        <w:drawing>
          <wp:inline distT="0" distB="0" distL="0" distR="0" wp14:anchorId="5A33B0C5" wp14:editId="0C1166A3">
            <wp:extent cx="4937760" cy="2508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9574" cy="2509683"/>
                    </a:xfrm>
                    <a:prstGeom prst="rect">
                      <a:avLst/>
                    </a:prstGeom>
                    <a:noFill/>
                  </pic:spPr>
                </pic:pic>
              </a:graphicData>
            </a:graphic>
          </wp:inline>
        </w:drawing>
      </w:r>
    </w:p>
    <w:p w:rsidR="00305AAF" w:rsidRPr="00C10D10" w:rsidRDefault="001924B2" w:rsidP="008C60BE">
      <w:pPr>
        <w:pStyle w:val="ListParagraph"/>
        <w:tabs>
          <w:tab w:val="left" w:pos="709"/>
        </w:tabs>
        <w:autoSpaceDE w:val="0"/>
        <w:autoSpaceDN w:val="0"/>
        <w:adjustRightInd w:val="0"/>
        <w:contextualSpacing w:val="0"/>
        <w:jc w:val="center"/>
        <w:rPr>
          <w:rFonts w:eastAsia="Times New Roman"/>
          <w:i/>
          <w:szCs w:val="20"/>
        </w:rPr>
      </w:pPr>
      <w:proofErr w:type="gramStart"/>
      <w:r w:rsidRPr="00C10D10">
        <w:rPr>
          <w:rFonts w:eastAsia="Times New Roman"/>
          <w:i/>
          <w:szCs w:val="20"/>
        </w:rPr>
        <w:t>F</w:t>
      </w:r>
      <w:r w:rsidR="00F82C0C" w:rsidRPr="00C10D10">
        <w:rPr>
          <w:rFonts w:eastAsia="Times New Roman"/>
          <w:i/>
          <w:szCs w:val="20"/>
        </w:rPr>
        <w:t>IG</w:t>
      </w:r>
      <w:r w:rsidRPr="00C10D10">
        <w:rPr>
          <w:rFonts w:eastAsia="Times New Roman"/>
          <w:i/>
          <w:szCs w:val="20"/>
        </w:rPr>
        <w:t>.</w:t>
      </w:r>
      <w:proofErr w:type="gramEnd"/>
      <w:r w:rsidR="00305AAF" w:rsidRPr="00C10D10">
        <w:rPr>
          <w:rFonts w:eastAsia="Times New Roman"/>
          <w:i/>
          <w:szCs w:val="20"/>
        </w:rPr>
        <w:t xml:space="preserve"> </w:t>
      </w:r>
      <w:proofErr w:type="gramStart"/>
      <w:r w:rsidR="00F82C0C" w:rsidRPr="00C10D10">
        <w:rPr>
          <w:rFonts w:eastAsia="Times New Roman"/>
          <w:i/>
          <w:szCs w:val="20"/>
        </w:rPr>
        <w:t>I-1.</w:t>
      </w:r>
      <w:proofErr w:type="gramEnd"/>
      <w:r w:rsidR="00306646" w:rsidRPr="00C10D10">
        <w:rPr>
          <w:rFonts w:eastAsia="Times New Roman"/>
          <w:i/>
          <w:szCs w:val="20"/>
        </w:rPr>
        <w:t xml:space="preserve"> </w:t>
      </w:r>
      <w:proofErr w:type="gramStart"/>
      <w:r w:rsidR="00306646" w:rsidRPr="00C10D10">
        <w:rPr>
          <w:rFonts w:eastAsia="Times New Roman"/>
          <w:i/>
          <w:szCs w:val="20"/>
        </w:rPr>
        <w:t>Relation between a g</w:t>
      </w:r>
      <w:r w:rsidR="00305AAF" w:rsidRPr="00C10D10">
        <w:rPr>
          <w:rFonts w:eastAsia="Times New Roman"/>
          <w:i/>
          <w:szCs w:val="20"/>
        </w:rPr>
        <w:t xml:space="preserve">eneric </w:t>
      </w:r>
      <w:r w:rsidR="005A02AC" w:rsidRPr="00C10D10">
        <w:rPr>
          <w:rFonts w:eastAsia="Times New Roman"/>
          <w:i/>
          <w:szCs w:val="20"/>
        </w:rPr>
        <w:t xml:space="preserve">dose constraint </w:t>
      </w:r>
      <w:r w:rsidR="00305AAF" w:rsidRPr="00C10D10">
        <w:rPr>
          <w:rFonts w:eastAsia="Times New Roman"/>
          <w:i/>
          <w:szCs w:val="20"/>
        </w:rPr>
        <w:t xml:space="preserve">and </w:t>
      </w:r>
      <w:r w:rsidR="00306646" w:rsidRPr="00C10D10">
        <w:rPr>
          <w:rFonts w:eastAsia="Times New Roman"/>
          <w:i/>
          <w:szCs w:val="20"/>
        </w:rPr>
        <w:t xml:space="preserve">a </w:t>
      </w:r>
      <w:r w:rsidR="00305AAF" w:rsidRPr="00C10D10">
        <w:rPr>
          <w:rFonts w:eastAsia="Times New Roman"/>
          <w:i/>
          <w:szCs w:val="20"/>
        </w:rPr>
        <w:t>specific dose constraint.</w:t>
      </w:r>
      <w:proofErr w:type="gramEnd"/>
    </w:p>
    <w:p w:rsidR="008C60BE" w:rsidRPr="00BD454F" w:rsidRDefault="008C60BE" w:rsidP="008C60BE">
      <w:pPr>
        <w:pStyle w:val="ListParagraph"/>
        <w:tabs>
          <w:tab w:val="left" w:pos="709"/>
        </w:tabs>
        <w:autoSpaceDE w:val="0"/>
        <w:autoSpaceDN w:val="0"/>
        <w:adjustRightInd w:val="0"/>
        <w:contextualSpacing w:val="0"/>
        <w:jc w:val="center"/>
        <w:rPr>
          <w:rFonts w:eastAsia="Times New Roman"/>
          <w:szCs w:val="20"/>
        </w:rPr>
      </w:pPr>
    </w:p>
    <w:p w:rsidR="00305AAF" w:rsidRPr="00C10D10" w:rsidRDefault="00305AAF" w:rsidP="0091132F">
      <w:pPr>
        <w:pStyle w:val="ListParagraph"/>
        <w:numPr>
          <w:ilvl w:val="0"/>
          <w:numId w:val="20"/>
        </w:numPr>
        <w:tabs>
          <w:tab w:val="left" w:pos="851"/>
        </w:tabs>
        <w:autoSpaceDE w:val="0"/>
        <w:autoSpaceDN w:val="0"/>
        <w:adjustRightInd w:val="0"/>
        <w:contextualSpacing w:val="0"/>
        <w:jc w:val="both"/>
        <w:rPr>
          <w:rFonts w:eastAsia="Times New Roman"/>
          <w:szCs w:val="20"/>
        </w:rPr>
      </w:pPr>
      <w:r w:rsidRPr="00C10D10">
        <w:rPr>
          <w:rFonts w:eastAsia="Times New Roman"/>
          <w:szCs w:val="20"/>
        </w:rPr>
        <w:t>Fig</w:t>
      </w:r>
      <w:r w:rsidR="00F82C0C" w:rsidRPr="00C10D10">
        <w:rPr>
          <w:rFonts w:eastAsia="Times New Roman"/>
          <w:szCs w:val="20"/>
        </w:rPr>
        <w:t>ure</w:t>
      </w:r>
      <w:r w:rsidRPr="00C10D10">
        <w:rPr>
          <w:rFonts w:eastAsia="Times New Roman"/>
          <w:szCs w:val="20"/>
        </w:rPr>
        <w:t xml:space="preserve"> </w:t>
      </w:r>
      <w:r w:rsidR="00F82C0C" w:rsidRPr="00C10D10">
        <w:rPr>
          <w:rFonts w:eastAsia="Times New Roman"/>
          <w:szCs w:val="20"/>
        </w:rPr>
        <w:t>I-2</w:t>
      </w:r>
      <w:r w:rsidRPr="00C10D10">
        <w:rPr>
          <w:rFonts w:eastAsia="Times New Roman"/>
          <w:szCs w:val="20"/>
        </w:rPr>
        <w:t xml:space="preserve"> </w:t>
      </w:r>
      <w:r w:rsidR="00FE2354">
        <w:rPr>
          <w:rFonts w:eastAsia="Times New Roman"/>
          <w:szCs w:val="20"/>
        </w:rPr>
        <w:t>illustrates</w:t>
      </w:r>
      <w:r w:rsidRPr="00C10D10">
        <w:rPr>
          <w:rFonts w:eastAsia="Times New Roman"/>
          <w:szCs w:val="20"/>
        </w:rPr>
        <w:t xml:space="preserve"> </w:t>
      </w:r>
      <w:r w:rsidR="003B0A5A">
        <w:rPr>
          <w:rFonts w:eastAsia="Times New Roman"/>
          <w:szCs w:val="20"/>
        </w:rPr>
        <w:t>how</w:t>
      </w:r>
      <w:r w:rsidR="003B0A5A" w:rsidRPr="00C10D10">
        <w:rPr>
          <w:rFonts w:eastAsia="Times New Roman"/>
          <w:szCs w:val="20"/>
        </w:rPr>
        <w:t xml:space="preserve"> </w:t>
      </w:r>
      <w:r w:rsidR="00BD454F">
        <w:rPr>
          <w:rFonts w:eastAsia="Times New Roman"/>
          <w:szCs w:val="20"/>
        </w:rPr>
        <w:t xml:space="preserve">a </w:t>
      </w:r>
      <w:r w:rsidRPr="00C10D10">
        <w:rPr>
          <w:rFonts w:eastAsia="Times New Roman"/>
          <w:szCs w:val="20"/>
        </w:rPr>
        <w:t xml:space="preserve">specific dose constraint </w:t>
      </w:r>
      <w:r w:rsidR="00BD454F">
        <w:rPr>
          <w:rFonts w:eastAsia="Times New Roman"/>
          <w:szCs w:val="20"/>
        </w:rPr>
        <w:t xml:space="preserve">set for a facility </w:t>
      </w:r>
      <w:r w:rsidR="004561D0">
        <w:rPr>
          <w:rFonts w:eastAsia="Times New Roman"/>
          <w:szCs w:val="20"/>
        </w:rPr>
        <w:t xml:space="preserve">or activity </w:t>
      </w:r>
      <w:r w:rsidR="005A4EA7">
        <w:rPr>
          <w:rFonts w:eastAsia="Times New Roman"/>
          <w:szCs w:val="20"/>
        </w:rPr>
        <w:t>is</w:t>
      </w:r>
      <w:r w:rsidR="00BD454F">
        <w:rPr>
          <w:rFonts w:eastAsia="Times New Roman"/>
          <w:szCs w:val="20"/>
        </w:rPr>
        <w:t xml:space="preserve"> used </w:t>
      </w:r>
      <w:r w:rsidR="000B57BE">
        <w:rPr>
          <w:rFonts w:eastAsia="Times New Roman"/>
          <w:szCs w:val="20"/>
        </w:rPr>
        <w:t xml:space="preserve">as a starting point </w:t>
      </w:r>
      <w:r w:rsidRPr="00C10D10">
        <w:rPr>
          <w:rFonts w:eastAsia="Times New Roman"/>
          <w:szCs w:val="20"/>
        </w:rPr>
        <w:t xml:space="preserve">within the process of optimization to find </w:t>
      </w:r>
      <w:r w:rsidR="003B0A5A">
        <w:rPr>
          <w:rFonts w:eastAsia="Times New Roman"/>
          <w:szCs w:val="20"/>
        </w:rPr>
        <w:t>a</w:t>
      </w:r>
      <w:r w:rsidR="003B0A5A" w:rsidRPr="00C10D10">
        <w:rPr>
          <w:rFonts w:eastAsia="Times New Roman"/>
          <w:szCs w:val="20"/>
        </w:rPr>
        <w:t xml:space="preserve"> </w:t>
      </w:r>
      <w:r w:rsidRPr="00C10D10">
        <w:rPr>
          <w:rFonts w:eastAsia="Times New Roman"/>
          <w:szCs w:val="20"/>
        </w:rPr>
        <w:t>level of discharge</w:t>
      </w:r>
      <w:r w:rsidR="00BD454F">
        <w:rPr>
          <w:rFonts w:eastAsia="Times New Roman"/>
          <w:szCs w:val="20"/>
        </w:rPr>
        <w:t>s</w:t>
      </w:r>
      <w:r w:rsidRPr="00C10D10">
        <w:rPr>
          <w:rFonts w:eastAsia="Times New Roman"/>
          <w:szCs w:val="20"/>
        </w:rPr>
        <w:t xml:space="preserve"> </w:t>
      </w:r>
      <w:r w:rsidR="00BD454F">
        <w:rPr>
          <w:rFonts w:eastAsia="Times New Roman"/>
          <w:szCs w:val="20"/>
        </w:rPr>
        <w:t>that</w:t>
      </w:r>
      <w:r w:rsidRPr="00C10D10">
        <w:rPr>
          <w:rFonts w:eastAsia="Times New Roman"/>
          <w:szCs w:val="20"/>
        </w:rPr>
        <w:t xml:space="preserve"> is optimal in terms of protection of the public. A margin for operational flexibility </w:t>
      </w:r>
      <w:r w:rsidR="00306646" w:rsidRPr="00C10D10">
        <w:rPr>
          <w:rFonts w:eastAsia="Times New Roman"/>
          <w:szCs w:val="20"/>
        </w:rPr>
        <w:t xml:space="preserve">needs to </w:t>
      </w:r>
      <w:r w:rsidRPr="00C10D10">
        <w:rPr>
          <w:rFonts w:eastAsia="Times New Roman"/>
          <w:szCs w:val="20"/>
        </w:rPr>
        <w:t>be allowed</w:t>
      </w:r>
      <w:r w:rsidR="00924A80">
        <w:rPr>
          <w:rFonts w:eastAsia="Times New Roman"/>
          <w:szCs w:val="20"/>
        </w:rPr>
        <w:t>,</w:t>
      </w:r>
      <w:r w:rsidRPr="00C10D10">
        <w:rPr>
          <w:rFonts w:eastAsia="Times New Roman"/>
          <w:szCs w:val="20"/>
        </w:rPr>
        <w:t xml:space="preserve"> </w:t>
      </w:r>
      <w:r w:rsidR="00924A80">
        <w:rPr>
          <w:rFonts w:eastAsia="Times New Roman"/>
          <w:szCs w:val="20"/>
        </w:rPr>
        <w:t>depending on</w:t>
      </w:r>
      <w:r w:rsidR="00924A80" w:rsidRPr="00C10D10">
        <w:rPr>
          <w:rFonts w:eastAsia="Times New Roman"/>
          <w:szCs w:val="20"/>
        </w:rPr>
        <w:t xml:space="preserve"> </w:t>
      </w:r>
      <w:r w:rsidRPr="00C10D10">
        <w:rPr>
          <w:rFonts w:eastAsia="Times New Roman"/>
          <w:szCs w:val="20"/>
        </w:rPr>
        <w:t>the characteristic of the activity and facility and their operational features</w:t>
      </w:r>
      <w:r w:rsidR="0001314C">
        <w:rPr>
          <w:rFonts w:eastAsia="Times New Roman"/>
          <w:szCs w:val="20"/>
        </w:rPr>
        <w:t>. The dose corresponding to the discharge limit</w:t>
      </w:r>
      <w:r w:rsidR="005F45C9">
        <w:rPr>
          <w:rFonts w:eastAsia="Times New Roman"/>
          <w:szCs w:val="20"/>
        </w:rPr>
        <w:t xml:space="preserve"> </w:t>
      </w:r>
      <w:r w:rsidR="00BD31A3">
        <w:rPr>
          <w:rFonts w:eastAsia="Times New Roman"/>
          <w:szCs w:val="20"/>
        </w:rPr>
        <w:t>is set</w:t>
      </w:r>
      <w:r w:rsidR="005F45C9">
        <w:rPr>
          <w:rFonts w:eastAsia="Times New Roman"/>
          <w:szCs w:val="20"/>
        </w:rPr>
        <w:t xml:space="preserve"> </w:t>
      </w:r>
      <w:r w:rsidR="0001314C" w:rsidRPr="00C10D10">
        <w:rPr>
          <w:rFonts w:eastAsia="Times New Roman"/>
          <w:szCs w:val="20"/>
        </w:rPr>
        <w:t>below the specific dose constraint</w:t>
      </w:r>
      <w:r w:rsidR="0001314C" w:rsidRPr="00C10D10">
        <w:rPr>
          <w:szCs w:val="24"/>
        </w:rPr>
        <w:t xml:space="preserve"> </w:t>
      </w:r>
      <w:r w:rsidR="0001314C">
        <w:rPr>
          <w:szCs w:val="24"/>
        </w:rPr>
        <w:t xml:space="preserve">and </w:t>
      </w:r>
      <w:r w:rsidRPr="00C10D10">
        <w:rPr>
          <w:szCs w:val="24"/>
        </w:rPr>
        <w:t>slightly</w:t>
      </w:r>
      <w:r w:rsidRPr="00C10D10">
        <w:rPr>
          <w:rFonts w:eastAsia="Times New Roman"/>
          <w:szCs w:val="20"/>
        </w:rPr>
        <w:t xml:space="preserve"> above the </w:t>
      </w:r>
      <w:r w:rsidR="003B0A5A">
        <w:rPr>
          <w:rFonts w:eastAsia="Times New Roman"/>
          <w:szCs w:val="20"/>
        </w:rPr>
        <w:t>dose</w:t>
      </w:r>
      <w:r w:rsidR="00B826C7" w:rsidRPr="00C10D10">
        <w:rPr>
          <w:rFonts w:eastAsia="Times New Roman"/>
          <w:szCs w:val="20"/>
        </w:rPr>
        <w:t xml:space="preserve"> </w:t>
      </w:r>
      <w:r w:rsidR="003B0A5A">
        <w:rPr>
          <w:rFonts w:eastAsia="Times New Roman"/>
          <w:szCs w:val="20"/>
        </w:rPr>
        <w:t xml:space="preserve">to the public in accordance with which protection is </w:t>
      </w:r>
      <w:r w:rsidR="003B0A5A">
        <w:rPr>
          <w:rFonts w:eastAsia="Times New Roman"/>
          <w:szCs w:val="20"/>
        </w:rPr>
        <w:lastRenderedPageBreak/>
        <w:t>considered optimized</w:t>
      </w:r>
      <w:r w:rsidRPr="00C10D10">
        <w:rPr>
          <w:rFonts w:eastAsia="Times New Roman"/>
          <w:szCs w:val="20"/>
        </w:rPr>
        <w:t xml:space="preserve">. The margin for flexibility </w:t>
      </w:r>
      <w:r w:rsidR="005A4EA7">
        <w:rPr>
          <w:rFonts w:eastAsia="Times New Roman"/>
          <w:szCs w:val="20"/>
        </w:rPr>
        <w:t xml:space="preserve">needs to be </w:t>
      </w:r>
      <w:r w:rsidR="005F45C9">
        <w:rPr>
          <w:rFonts w:eastAsia="Times New Roman"/>
          <w:szCs w:val="20"/>
        </w:rPr>
        <w:t xml:space="preserve">determined on the </w:t>
      </w:r>
      <w:r w:rsidR="005A4EA7">
        <w:rPr>
          <w:rFonts w:eastAsia="Times New Roman"/>
          <w:szCs w:val="20"/>
        </w:rPr>
        <w:t>bas</w:t>
      </w:r>
      <w:r w:rsidR="005F45C9">
        <w:rPr>
          <w:rFonts w:eastAsia="Times New Roman"/>
          <w:szCs w:val="20"/>
        </w:rPr>
        <w:t>is</w:t>
      </w:r>
      <w:r w:rsidR="005A4EA7">
        <w:rPr>
          <w:rFonts w:eastAsia="Times New Roman"/>
          <w:szCs w:val="20"/>
        </w:rPr>
        <w:t xml:space="preserve"> o</w:t>
      </w:r>
      <w:r w:rsidR="005F45C9">
        <w:rPr>
          <w:rFonts w:eastAsia="Times New Roman"/>
          <w:szCs w:val="20"/>
        </w:rPr>
        <w:t>f</w:t>
      </w:r>
      <w:r w:rsidR="005A4EA7">
        <w:rPr>
          <w:rFonts w:eastAsia="Times New Roman"/>
          <w:szCs w:val="20"/>
        </w:rPr>
        <w:t xml:space="preserve"> the characteristics of the facility </w:t>
      </w:r>
      <w:r w:rsidR="005F45C9">
        <w:rPr>
          <w:rFonts w:eastAsia="Times New Roman"/>
          <w:szCs w:val="20"/>
        </w:rPr>
        <w:t>or</w:t>
      </w:r>
      <w:r w:rsidR="005A4EA7">
        <w:rPr>
          <w:rFonts w:eastAsia="Times New Roman"/>
          <w:szCs w:val="20"/>
        </w:rPr>
        <w:t xml:space="preserve"> activity</w:t>
      </w:r>
      <w:r w:rsidR="000B57BE">
        <w:rPr>
          <w:rFonts w:eastAsia="Times New Roman"/>
          <w:szCs w:val="20"/>
        </w:rPr>
        <w:t xml:space="preserve"> </w:t>
      </w:r>
      <w:r w:rsidR="005A4EA7">
        <w:rPr>
          <w:rFonts w:eastAsia="Times New Roman"/>
          <w:szCs w:val="20"/>
        </w:rPr>
        <w:t>influencing the discharges and may be proposed by</w:t>
      </w:r>
      <w:r w:rsidR="000B57BE">
        <w:rPr>
          <w:rFonts w:eastAsia="Times New Roman"/>
          <w:szCs w:val="20"/>
        </w:rPr>
        <w:t xml:space="preserve"> the applicant and </w:t>
      </w:r>
      <w:r w:rsidR="00FD3DF3">
        <w:rPr>
          <w:rFonts w:eastAsia="Times New Roman"/>
          <w:szCs w:val="20"/>
        </w:rPr>
        <w:t xml:space="preserve">is </w:t>
      </w:r>
      <w:r w:rsidR="003B0A5A">
        <w:rPr>
          <w:rFonts w:eastAsia="Times New Roman"/>
          <w:szCs w:val="20"/>
        </w:rPr>
        <w:t xml:space="preserve">subject to </w:t>
      </w:r>
      <w:r w:rsidR="000B57BE">
        <w:rPr>
          <w:rFonts w:eastAsia="Times New Roman"/>
          <w:szCs w:val="20"/>
        </w:rPr>
        <w:t>approv</w:t>
      </w:r>
      <w:r w:rsidR="003B0A5A">
        <w:rPr>
          <w:rFonts w:eastAsia="Times New Roman"/>
          <w:szCs w:val="20"/>
        </w:rPr>
        <w:t>al</w:t>
      </w:r>
      <w:r w:rsidR="000B57BE">
        <w:rPr>
          <w:rFonts w:eastAsia="Times New Roman"/>
          <w:szCs w:val="20"/>
        </w:rPr>
        <w:t xml:space="preserve"> by the regulatory body</w:t>
      </w:r>
      <w:r w:rsidRPr="00C10D10">
        <w:rPr>
          <w:rFonts w:eastAsia="Times New Roman"/>
          <w:szCs w:val="20"/>
        </w:rPr>
        <w:t>.</w:t>
      </w:r>
    </w:p>
    <w:p w:rsidR="00305AAF" w:rsidRPr="00C10D10" w:rsidRDefault="00305AAF" w:rsidP="0091132F">
      <w:pPr>
        <w:pStyle w:val="ListParagraph"/>
        <w:numPr>
          <w:ilvl w:val="0"/>
          <w:numId w:val="20"/>
        </w:numPr>
        <w:tabs>
          <w:tab w:val="left" w:pos="851"/>
        </w:tabs>
        <w:autoSpaceDE w:val="0"/>
        <w:autoSpaceDN w:val="0"/>
        <w:adjustRightInd w:val="0"/>
        <w:contextualSpacing w:val="0"/>
        <w:jc w:val="both"/>
        <w:rPr>
          <w:rFonts w:eastAsia="Times New Roman"/>
          <w:szCs w:val="20"/>
        </w:rPr>
      </w:pPr>
      <w:r w:rsidRPr="00C10D10">
        <w:rPr>
          <w:rFonts w:eastAsia="Times New Roman"/>
          <w:szCs w:val="20"/>
        </w:rPr>
        <w:t>Fig</w:t>
      </w:r>
      <w:r w:rsidR="00F82C0C" w:rsidRPr="00C10D10">
        <w:rPr>
          <w:rFonts w:eastAsia="Times New Roman"/>
          <w:szCs w:val="20"/>
        </w:rPr>
        <w:t>ure</w:t>
      </w:r>
      <w:r w:rsidRPr="00C10D10">
        <w:rPr>
          <w:rFonts w:eastAsia="Times New Roman"/>
          <w:szCs w:val="20"/>
        </w:rPr>
        <w:t xml:space="preserve"> </w:t>
      </w:r>
      <w:r w:rsidR="00F82C0C" w:rsidRPr="00C10D10">
        <w:rPr>
          <w:rFonts w:eastAsia="Times New Roman"/>
          <w:szCs w:val="20"/>
        </w:rPr>
        <w:t>I-2</w:t>
      </w:r>
      <w:r w:rsidRPr="00C10D10">
        <w:rPr>
          <w:rFonts w:eastAsia="Times New Roman"/>
          <w:szCs w:val="20"/>
        </w:rPr>
        <w:t xml:space="preserve"> also </w:t>
      </w:r>
      <w:r w:rsidR="0056301D" w:rsidRPr="00C10D10">
        <w:rPr>
          <w:rFonts w:eastAsia="Times New Roman"/>
          <w:szCs w:val="20"/>
        </w:rPr>
        <w:t xml:space="preserve">indicates </w:t>
      </w:r>
      <w:r w:rsidR="00BD31A3">
        <w:rPr>
          <w:rFonts w:eastAsia="Times New Roman"/>
          <w:szCs w:val="20"/>
        </w:rPr>
        <w:t xml:space="preserve">with an arrow </w:t>
      </w:r>
      <w:r w:rsidR="0056301D" w:rsidRPr="00C10D10">
        <w:rPr>
          <w:rFonts w:eastAsia="Times New Roman"/>
          <w:szCs w:val="20"/>
        </w:rPr>
        <w:t xml:space="preserve">the </w:t>
      </w:r>
      <w:r w:rsidRPr="00C10D10">
        <w:rPr>
          <w:rFonts w:eastAsia="Times New Roman"/>
          <w:szCs w:val="20"/>
        </w:rPr>
        <w:t xml:space="preserve">region below the specific dose constraint </w:t>
      </w:r>
      <w:r w:rsidR="005F45C9">
        <w:rPr>
          <w:rFonts w:eastAsia="Times New Roman"/>
          <w:szCs w:val="20"/>
        </w:rPr>
        <w:t>that is considered</w:t>
      </w:r>
      <w:r w:rsidRPr="00C10D10">
        <w:rPr>
          <w:rFonts w:eastAsia="Times New Roman"/>
          <w:szCs w:val="20"/>
        </w:rPr>
        <w:t xml:space="preserve"> for the optimization process</w:t>
      </w:r>
      <w:r w:rsidR="00C702B9">
        <w:rPr>
          <w:rFonts w:eastAsia="Times New Roman"/>
          <w:szCs w:val="20"/>
        </w:rPr>
        <w:t>, in which best available techniques</w:t>
      </w:r>
      <w:r w:rsidR="0056301D" w:rsidRPr="00C10D10">
        <w:rPr>
          <w:rFonts w:eastAsia="Times New Roman"/>
          <w:szCs w:val="20"/>
        </w:rPr>
        <w:t xml:space="preserve"> could </w:t>
      </w:r>
      <w:r w:rsidR="00C12F18">
        <w:rPr>
          <w:rFonts w:eastAsia="Times New Roman"/>
          <w:szCs w:val="20"/>
        </w:rPr>
        <w:t xml:space="preserve">also </w:t>
      </w:r>
      <w:r w:rsidR="0056301D" w:rsidRPr="00C10D10">
        <w:rPr>
          <w:rFonts w:eastAsia="Times New Roman"/>
          <w:szCs w:val="20"/>
        </w:rPr>
        <w:t xml:space="preserve">be used </w:t>
      </w:r>
      <w:r w:rsidRPr="00C10D10">
        <w:rPr>
          <w:rFonts w:eastAsia="Times New Roman"/>
          <w:szCs w:val="20"/>
        </w:rPr>
        <w:t>to find the optimal discharge limit</w:t>
      </w:r>
      <w:r w:rsidR="0056301D" w:rsidRPr="00C10D10">
        <w:rPr>
          <w:rFonts w:eastAsia="Times New Roman"/>
          <w:szCs w:val="20"/>
        </w:rPr>
        <w:t>.</w:t>
      </w:r>
      <w:r w:rsidRPr="00C10D10">
        <w:rPr>
          <w:rFonts w:eastAsia="Times New Roman"/>
          <w:szCs w:val="20"/>
        </w:rPr>
        <w:t xml:space="preserve"> </w:t>
      </w:r>
      <w:r w:rsidR="00463B3F">
        <w:rPr>
          <w:rFonts w:eastAsia="Times New Roman"/>
          <w:szCs w:val="20"/>
        </w:rPr>
        <w:t xml:space="preserve">Optimization and best available techniques are </w:t>
      </w:r>
      <w:r w:rsidR="00DE3AE9">
        <w:rPr>
          <w:rFonts w:eastAsia="Times New Roman"/>
          <w:szCs w:val="20"/>
        </w:rPr>
        <w:t>addressed</w:t>
      </w:r>
      <w:r w:rsidR="00463B3F">
        <w:rPr>
          <w:rFonts w:eastAsia="Times New Roman"/>
          <w:szCs w:val="20"/>
        </w:rPr>
        <w:t xml:space="preserve"> below. </w:t>
      </w:r>
    </w:p>
    <w:p w:rsidR="008C60BE" w:rsidRPr="00C10D10" w:rsidRDefault="008C60BE" w:rsidP="008C60BE">
      <w:pPr>
        <w:tabs>
          <w:tab w:val="left" w:pos="851"/>
        </w:tabs>
        <w:autoSpaceDE w:val="0"/>
        <w:autoSpaceDN w:val="0"/>
        <w:adjustRightInd w:val="0"/>
        <w:spacing w:after="120" w:line="360" w:lineRule="auto"/>
        <w:jc w:val="center"/>
        <w:rPr>
          <w:rFonts w:ascii="Times New Roman" w:hAnsi="Times New Roman"/>
          <w:sz w:val="24"/>
          <w:szCs w:val="24"/>
        </w:rPr>
      </w:pPr>
    </w:p>
    <w:p w:rsidR="00305AAF" w:rsidRPr="00C10D10" w:rsidRDefault="003A3C43" w:rsidP="008C60BE">
      <w:pPr>
        <w:tabs>
          <w:tab w:val="left" w:pos="851"/>
        </w:tabs>
        <w:autoSpaceDE w:val="0"/>
        <w:autoSpaceDN w:val="0"/>
        <w:adjustRightInd w:val="0"/>
        <w:spacing w:after="120" w:line="360" w:lineRule="auto"/>
        <w:jc w:val="center"/>
        <w:rPr>
          <w:rFonts w:ascii="Times New Roman" w:hAnsi="Times New Roman"/>
          <w:sz w:val="24"/>
          <w:szCs w:val="24"/>
        </w:rPr>
      </w:pPr>
      <w:r>
        <w:rPr>
          <w:rFonts w:ascii="Times New Roman" w:hAnsi="Times New Roman"/>
          <w:noProof/>
          <w:sz w:val="24"/>
          <w:szCs w:val="24"/>
          <w:lang w:eastAsia="en-GB"/>
        </w:rPr>
        <w:drawing>
          <wp:inline distT="0" distB="0" distL="0" distR="0" wp14:anchorId="129B325D" wp14:editId="66E7E7A2">
            <wp:extent cx="4849212" cy="25952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0103" cy="2601125"/>
                    </a:xfrm>
                    <a:prstGeom prst="rect">
                      <a:avLst/>
                    </a:prstGeom>
                    <a:noFill/>
                  </pic:spPr>
                </pic:pic>
              </a:graphicData>
            </a:graphic>
          </wp:inline>
        </w:drawing>
      </w:r>
    </w:p>
    <w:p w:rsidR="00305AAF" w:rsidRPr="00C10D10" w:rsidRDefault="001924B2" w:rsidP="008C60BE">
      <w:pPr>
        <w:tabs>
          <w:tab w:val="left" w:pos="851"/>
        </w:tabs>
        <w:autoSpaceDE w:val="0"/>
        <w:autoSpaceDN w:val="0"/>
        <w:adjustRightInd w:val="0"/>
        <w:spacing w:after="120" w:line="360" w:lineRule="auto"/>
        <w:jc w:val="center"/>
        <w:rPr>
          <w:rFonts w:ascii="Times New Roman" w:hAnsi="Times New Roman"/>
          <w:i/>
          <w:sz w:val="24"/>
          <w:szCs w:val="24"/>
        </w:rPr>
      </w:pPr>
      <w:proofErr w:type="gramStart"/>
      <w:r w:rsidRPr="00C10D10">
        <w:rPr>
          <w:rFonts w:ascii="Times New Roman" w:hAnsi="Times New Roman"/>
          <w:i/>
          <w:sz w:val="24"/>
          <w:szCs w:val="24"/>
        </w:rPr>
        <w:t>F</w:t>
      </w:r>
      <w:r w:rsidR="00F82C0C" w:rsidRPr="00C10D10">
        <w:rPr>
          <w:rFonts w:ascii="Times New Roman" w:hAnsi="Times New Roman"/>
          <w:i/>
          <w:sz w:val="24"/>
          <w:szCs w:val="24"/>
        </w:rPr>
        <w:t>IG</w:t>
      </w:r>
      <w:r w:rsidRPr="00C10D10">
        <w:rPr>
          <w:rFonts w:ascii="Times New Roman" w:hAnsi="Times New Roman"/>
          <w:i/>
          <w:sz w:val="24"/>
          <w:szCs w:val="24"/>
        </w:rPr>
        <w:t>.</w:t>
      </w:r>
      <w:proofErr w:type="gramEnd"/>
      <w:r w:rsidR="00305AAF" w:rsidRPr="00C10D10">
        <w:rPr>
          <w:rFonts w:ascii="Times New Roman" w:hAnsi="Times New Roman"/>
          <w:i/>
          <w:sz w:val="24"/>
          <w:szCs w:val="24"/>
        </w:rPr>
        <w:t xml:space="preserve"> </w:t>
      </w:r>
      <w:proofErr w:type="gramStart"/>
      <w:r w:rsidR="00F82C0C" w:rsidRPr="00C10D10">
        <w:rPr>
          <w:rFonts w:ascii="Times New Roman" w:hAnsi="Times New Roman"/>
          <w:i/>
          <w:sz w:val="24"/>
          <w:szCs w:val="24"/>
        </w:rPr>
        <w:t>I-2.</w:t>
      </w:r>
      <w:proofErr w:type="gramEnd"/>
      <w:r w:rsidR="00305AAF" w:rsidRPr="00C10D10">
        <w:rPr>
          <w:rFonts w:ascii="Times New Roman" w:hAnsi="Times New Roman"/>
          <w:i/>
          <w:sz w:val="24"/>
          <w:szCs w:val="24"/>
        </w:rPr>
        <w:t xml:space="preserve"> </w:t>
      </w:r>
      <w:proofErr w:type="gramStart"/>
      <w:r w:rsidR="00305AAF" w:rsidRPr="00C10D10">
        <w:rPr>
          <w:rFonts w:ascii="Times New Roman" w:hAnsi="Times New Roman"/>
          <w:i/>
          <w:sz w:val="24"/>
          <w:szCs w:val="24"/>
        </w:rPr>
        <w:t xml:space="preserve">Dose to be used </w:t>
      </w:r>
      <w:r w:rsidR="005A02AC">
        <w:rPr>
          <w:rFonts w:ascii="Times New Roman" w:hAnsi="Times New Roman"/>
          <w:i/>
          <w:sz w:val="24"/>
          <w:szCs w:val="24"/>
        </w:rPr>
        <w:t>for</w:t>
      </w:r>
      <w:r w:rsidR="005A02AC" w:rsidRPr="00C10D10">
        <w:rPr>
          <w:rFonts w:ascii="Times New Roman" w:hAnsi="Times New Roman"/>
          <w:i/>
          <w:sz w:val="24"/>
          <w:szCs w:val="24"/>
        </w:rPr>
        <w:t xml:space="preserve"> </w:t>
      </w:r>
      <w:r w:rsidR="00305AAF" w:rsidRPr="00C10D10">
        <w:rPr>
          <w:rFonts w:ascii="Times New Roman" w:hAnsi="Times New Roman"/>
          <w:i/>
          <w:sz w:val="24"/>
          <w:szCs w:val="24"/>
        </w:rPr>
        <w:t>set</w:t>
      </w:r>
      <w:r w:rsidR="005A02AC">
        <w:rPr>
          <w:rFonts w:ascii="Times New Roman" w:hAnsi="Times New Roman"/>
          <w:i/>
          <w:sz w:val="24"/>
          <w:szCs w:val="24"/>
        </w:rPr>
        <w:t>ting</w:t>
      </w:r>
      <w:r w:rsidR="00305AAF" w:rsidRPr="00C10D10">
        <w:rPr>
          <w:rFonts w:ascii="Times New Roman" w:hAnsi="Times New Roman"/>
          <w:i/>
          <w:sz w:val="24"/>
          <w:szCs w:val="24"/>
        </w:rPr>
        <w:t xml:space="preserve"> discharge limits.</w:t>
      </w:r>
      <w:proofErr w:type="gramEnd"/>
    </w:p>
    <w:p w:rsidR="008C60BE" w:rsidRPr="00C10D10" w:rsidRDefault="008C60BE" w:rsidP="008C60BE">
      <w:pPr>
        <w:tabs>
          <w:tab w:val="left" w:pos="851"/>
        </w:tabs>
        <w:autoSpaceDE w:val="0"/>
        <w:autoSpaceDN w:val="0"/>
        <w:adjustRightInd w:val="0"/>
        <w:spacing w:after="120" w:line="360" w:lineRule="auto"/>
        <w:jc w:val="center"/>
        <w:rPr>
          <w:rFonts w:ascii="Times New Roman" w:hAnsi="Times New Roman"/>
          <w:i/>
          <w:sz w:val="24"/>
          <w:szCs w:val="24"/>
        </w:rPr>
      </w:pPr>
    </w:p>
    <w:p w:rsidR="00C56E7A" w:rsidRDefault="00DB0F8A" w:rsidP="0091132F">
      <w:pPr>
        <w:pStyle w:val="ListParagraph"/>
        <w:numPr>
          <w:ilvl w:val="0"/>
          <w:numId w:val="20"/>
        </w:numPr>
        <w:tabs>
          <w:tab w:val="left" w:pos="851"/>
        </w:tabs>
        <w:autoSpaceDE w:val="0"/>
        <w:autoSpaceDN w:val="0"/>
        <w:adjustRightInd w:val="0"/>
        <w:contextualSpacing w:val="0"/>
        <w:jc w:val="both"/>
        <w:rPr>
          <w:szCs w:val="24"/>
        </w:rPr>
      </w:pPr>
      <w:r>
        <w:rPr>
          <w:szCs w:val="24"/>
        </w:rPr>
        <w:t>I-12.</w:t>
      </w:r>
      <w:r>
        <w:rPr>
          <w:szCs w:val="24"/>
        </w:rPr>
        <w:tab/>
      </w:r>
      <w:r w:rsidR="00C56E7A" w:rsidRPr="00C10D10">
        <w:rPr>
          <w:szCs w:val="24"/>
        </w:rPr>
        <w:t>Considering the technical characteristic</w:t>
      </w:r>
      <w:r w:rsidR="00B826C7">
        <w:rPr>
          <w:szCs w:val="24"/>
        </w:rPr>
        <w:t>s</w:t>
      </w:r>
      <w:r w:rsidR="00C56E7A" w:rsidRPr="00C10D10">
        <w:rPr>
          <w:szCs w:val="24"/>
        </w:rPr>
        <w:t xml:space="preserve"> of certain facilities and activities with respect to retention of radionuclides </w:t>
      </w:r>
      <w:r w:rsidR="001D575B" w:rsidRPr="00C10D10">
        <w:rPr>
          <w:szCs w:val="24"/>
        </w:rPr>
        <w:t>(for example</w:t>
      </w:r>
      <w:r w:rsidR="00C702B9">
        <w:rPr>
          <w:szCs w:val="24"/>
        </w:rPr>
        <w:t>,</w:t>
      </w:r>
      <w:r w:rsidR="001D575B" w:rsidRPr="00C10D10">
        <w:rPr>
          <w:szCs w:val="24"/>
        </w:rPr>
        <w:t xml:space="preserve"> </w:t>
      </w:r>
      <w:r w:rsidR="000B57BE">
        <w:rPr>
          <w:szCs w:val="24"/>
        </w:rPr>
        <w:t>high efficiency</w:t>
      </w:r>
      <w:r w:rsidR="00C505DE">
        <w:rPr>
          <w:szCs w:val="24"/>
        </w:rPr>
        <w:t xml:space="preserve"> </w:t>
      </w:r>
      <w:r w:rsidR="001D575B" w:rsidRPr="00C10D10">
        <w:rPr>
          <w:szCs w:val="24"/>
        </w:rPr>
        <w:t>containment and filtering systems</w:t>
      </w:r>
      <w:r w:rsidR="005A4EA7">
        <w:rPr>
          <w:szCs w:val="24"/>
        </w:rPr>
        <w:t xml:space="preserve"> in nuclear installations</w:t>
      </w:r>
      <w:r w:rsidR="000D615D">
        <w:rPr>
          <w:szCs w:val="24"/>
        </w:rPr>
        <w:t xml:space="preserve"> </w:t>
      </w:r>
      <w:r w:rsidR="00694B14">
        <w:rPr>
          <w:szCs w:val="24"/>
        </w:rPr>
        <w:t>such as</w:t>
      </w:r>
      <w:r w:rsidR="000D615D">
        <w:rPr>
          <w:szCs w:val="24"/>
        </w:rPr>
        <w:t xml:space="preserve"> nuclear power plants</w:t>
      </w:r>
      <w:r w:rsidR="001D575B" w:rsidRPr="00C10D10">
        <w:rPr>
          <w:szCs w:val="24"/>
        </w:rPr>
        <w:t xml:space="preserve">) </w:t>
      </w:r>
      <w:r w:rsidR="00C56E7A" w:rsidRPr="00C10D10">
        <w:rPr>
          <w:szCs w:val="24"/>
        </w:rPr>
        <w:t xml:space="preserve">and, particularly when </w:t>
      </w:r>
      <w:r w:rsidR="001D575B" w:rsidRPr="00C10D10">
        <w:rPr>
          <w:szCs w:val="24"/>
        </w:rPr>
        <w:t xml:space="preserve">best available techniques </w:t>
      </w:r>
      <w:r w:rsidR="00C56E7A" w:rsidRPr="00C10D10">
        <w:rPr>
          <w:szCs w:val="24"/>
        </w:rPr>
        <w:t xml:space="preserve">for the </w:t>
      </w:r>
      <w:r w:rsidR="00C702B9">
        <w:rPr>
          <w:szCs w:val="24"/>
        </w:rPr>
        <w:t>confinement</w:t>
      </w:r>
      <w:r w:rsidR="00C702B9" w:rsidRPr="00C10D10">
        <w:rPr>
          <w:szCs w:val="24"/>
        </w:rPr>
        <w:t xml:space="preserve"> </w:t>
      </w:r>
      <w:r w:rsidR="00C56E7A" w:rsidRPr="00C10D10">
        <w:rPr>
          <w:szCs w:val="24"/>
        </w:rPr>
        <w:t xml:space="preserve">and abatement </w:t>
      </w:r>
      <w:r w:rsidR="008024B8">
        <w:rPr>
          <w:szCs w:val="24"/>
        </w:rPr>
        <w:t>techniques for</w:t>
      </w:r>
      <w:r w:rsidR="00C56E7A" w:rsidRPr="00C10D10">
        <w:rPr>
          <w:szCs w:val="24"/>
        </w:rPr>
        <w:t xml:space="preserve"> radionuclides are used, it is possible</w:t>
      </w:r>
      <w:r w:rsidR="00AB3634" w:rsidRPr="00C10D10">
        <w:rPr>
          <w:szCs w:val="24"/>
        </w:rPr>
        <w:t xml:space="preserve"> that the estimated discharges </w:t>
      </w:r>
      <w:r w:rsidR="00C56E7A" w:rsidRPr="00C10D10">
        <w:rPr>
          <w:szCs w:val="24"/>
        </w:rPr>
        <w:t xml:space="preserve">result in </w:t>
      </w:r>
      <w:r w:rsidR="00C702B9">
        <w:rPr>
          <w:szCs w:val="24"/>
        </w:rPr>
        <w:t xml:space="preserve">assessed </w:t>
      </w:r>
      <w:r w:rsidR="00C56E7A" w:rsidRPr="00C10D10">
        <w:rPr>
          <w:szCs w:val="24"/>
        </w:rPr>
        <w:t xml:space="preserve">doses below </w:t>
      </w:r>
      <w:r w:rsidR="000B57BE">
        <w:rPr>
          <w:szCs w:val="24"/>
        </w:rPr>
        <w:t xml:space="preserve">the order of </w:t>
      </w:r>
      <w:r w:rsidR="00C56E7A" w:rsidRPr="00C10D10">
        <w:rPr>
          <w:szCs w:val="24"/>
        </w:rPr>
        <w:t>10</w:t>
      </w:r>
      <w:r w:rsidR="005A4EA7">
        <w:rPr>
          <w:szCs w:val="24"/>
        </w:rPr>
        <w:t xml:space="preserve"> </w:t>
      </w:r>
      <w:r w:rsidR="00C56E7A" w:rsidRPr="00C10D10">
        <w:rPr>
          <w:szCs w:val="24"/>
        </w:rPr>
        <w:t>µ</w:t>
      </w:r>
      <w:proofErr w:type="spellStart"/>
      <w:r w:rsidR="00C56E7A" w:rsidRPr="00C10D10">
        <w:rPr>
          <w:szCs w:val="24"/>
        </w:rPr>
        <w:t>Sv</w:t>
      </w:r>
      <w:proofErr w:type="spellEnd"/>
      <w:r w:rsidR="00C56E7A" w:rsidRPr="00C10D10">
        <w:rPr>
          <w:szCs w:val="24"/>
        </w:rPr>
        <w:t xml:space="preserve"> </w:t>
      </w:r>
      <w:r w:rsidR="00AB3634" w:rsidRPr="00C10D10">
        <w:rPr>
          <w:szCs w:val="24"/>
        </w:rPr>
        <w:t>per</w:t>
      </w:r>
      <w:r w:rsidR="00C56E7A" w:rsidRPr="00C10D10">
        <w:rPr>
          <w:szCs w:val="24"/>
        </w:rPr>
        <w:t xml:space="preserve"> year</w:t>
      </w:r>
      <w:r w:rsidR="00AB3634" w:rsidRPr="00C10D10">
        <w:rPr>
          <w:szCs w:val="24"/>
        </w:rPr>
        <w:t>.</w:t>
      </w:r>
      <w:r w:rsidR="000D615D">
        <w:rPr>
          <w:szCs w:val="24"/>
        </w:rPr>
        <w:t xml:space="preserve"> </w:t>
      </w:r>
      <w:r w:rsidR="00463B3F">
        <w:rPr>
          <w:szCs w:val="24"/>
        </w:rPr>
        <w:t xml:space="preserve">In </w:t>
      </w:r>
      <w:r w:rsidR="00C702B9">
        <w:rPr>
          <w:szCs w:val="24"/>
        </w:rPr>
        <w:t>such</w:t>
      </w:r>
      <w:r w:rsidR="00463B3F">
        <w:rPr>
          <w:szCs w:val="24"/>
        </w:rPr>
        <w:t xml:space="preserve"> cases, the regulatory body could consider not requiring </w:t>
      </w:r>
      <w:r w:rsidR="003B20E0">
        <w:rPr>
          <w:szCs w:val="24"/>
        </w:rPr>
        <w:t xml:space="preserve">that </w:t>
      </w:r>
      <w:r w:rsidR="00463B3F">
        <w:rPr>
          <w:szCs w:val="24"/>
        </w:rPr>
        <w:t xml:space="preserve">a formal </w:t>
      </w:r>
      <w:r w:rsidR="003B20E0">
        <w:rPr>
          <w:szCs w:val="24"/>
        </w:rPr>
        <w:t>process</w:t>
      </w:r>
      <w:r w:rsidR="00463B3F">
        <w:rPr>
          <w:szCs w:val="24"/>
        </w:rPr>
        <w:t xml:space="preserve"> of optimization, as </w:t>
      </w:r>
      <w:r w:rsidR="00DE3AE9">
        <w:rPr>
          <w:szCs w:val="24"/>
        </w:rPr>
        <w:t>described</w:t>
      </w:r>
      <w:r w:rsidR="00463B3F">
        <w:rPr>
          <w:szCs w:val="24"/>
        </w:rPr>
        <w:t xml:space="preserve"> in Section 5</w:t>
      </w:r>
      <w:r w:rsidR="003B20E0">
        <w:rPr>
          <w:szCs w:val="24"/>
        </w:rPr>
        <w:t>, be applied</w:t>
      </w:r>
      <w:r w:rsidR="008024B8">
        <w:rPr>
          <w:szCs w:val="24"/>
        </w:rPr>
        <w:t>.</w:t>
      </w:r>
    </w:p>
    <w:p w:rsidR="005D51DE" w:rsidRPr="00C10D10" w:rsidRDefault="00F82C0C" w:rsidP="008C60BE">
      <w:pPr>
        <w:tabs>
          <w:tab w:val="left" w:pos="851"/>
        </w:tabs>
        <w:autoSpaceDE w:val="0"/>
        <w:autoSpaceDN w:val="0"/>
        <w:adjustRightInd w:val="0"/>
        <w:spacing w:after="120" w:line="360" w:lineRule="auto"/>
        <w:jc w:val="both"/>
        <w:rPr>
          <w:rFonts w:ascii="Times New Roman" w:hAnsi="Times New Roman"/>
          <w:sz w:val="24"/>
          <w:szCs w:val="24"/>
        </w:rPr>
      </w:pPr>
      <w:r w:rsidRPr="00C10D10">
        <w:rPr>
          <w:rFonts w:ascii="Times New Roman" w:hAnsi="Times New Roman"/>
          <w:sz w:val="24"/>
          <w:szCs w:val="24"/>
        </w:rPr>
        <w:t>OPTIMIZATION</w:t>
      </w:r>
    </w:p>
    <w:p w:rsidR="008A59FB" w:rsidRPr="00C10D10" w:rsidRDefault="00554DBB" w:rsidP="0091132F">
      <w:pPr>
        <w:pStyle w:val="ListParagraph"/>
        <w:numPr>
          <w:ilvl w:val="0"/>
          <w:numId w:val="20"/>
        </w:numPr>
        <w:tabs>
          <w:tab w:val="left" w:pos="851"/>
        </w:tabs>
        <w:autoSpaceDE w:val="0"/>
        <w:autoSpaceDN w:val="0"/>
        <w:adjustRightInd w:val="0"/>
        <w:contextualSpacing w:val="0"/>
        <w:jc w:val="both"/>
        <w:rPr>
          <w:szCs w:val="24"/>
        </w:rPr>
      </w:pPr>
      <w:r>
        <w:rPr>
          <w:szCs w:val="24"/>
        </w:rPr>
        <w:t>T</w:t>
      </w:r>
      <w:r w:rsidR="008A59FB" w:rsidRPr="00C10D10">
        <w:rPr>
          <w:szCs w:val="24"/>
        </w:rPr>
        <w:t xml:space="preserve">he extent to which </w:t>
      </w:r>
      <w:r w:rsidR="00486A73">
        <w:rPr>
          <w:szCs w:val="24"/>
        </w:rPr>
        <w:t xml:space="preserve">a </w:t>
      </w:r>
      <w:r w:rsidR="008A59FB" w:rsidRPr="00C10D10">
        <w:rPr>
          <w:szCs w:val="24"/>
        </w:rPr>
        <w:t xml:space="preserve">formal </w:t>
      </w:r>
      <w:r w:rsidR="00486A73">
        <w:rPr>
          <w:szCs w:val="24"/>
        </w:rPr>
        <w:t xml:space="preserve">process of </w:t>
      </w:r>
      <w:r w:rsidR="008A59FB" w:rsidRPr="00C10D10">
        <w:rPr>
          <w:szCs w:val="24"/>
        </w:rPr>
        <w:t xml:space="preserve">optimization </w:t>
      </w:r>
      <w:r w:rsidR="00486A73">
        <w:rPr>
          <w:szCs w:val="24"/>
        </w:rPr>
        <w:t>is</w:t>
      </w:r>
      <w:r w:rsidR="00486A73" w:rsidRPr="00C10D10">
        <w:rPr>
          <w:szCs w:val="24"/>
        </w:rPr>
        <w:t xml:space="preserve"> </w:t>
      </w:r>
      <w:r w:rsidR="008A59FB" w:rsidRPr="00C10D10">
        <w:rPr>
          <w:szCs w:val="24"/>
        </w:rPr>
        <w:t xml:space="preserve">applied depends upon the operational status of the facility involved and the doses and risks </w:t>
      </w:r>
      <w:r w:rsidR="00374556" w:rsidRPr="00C10D10">
        <w:rPr>
          <w:szCs w:val="24"/>
        </w:rPr>
        <w:t xml:space="preserve">that could potentially be </w:t>
      </w:r>
      <w:r w:rsidR="008A59FB" w:rsidRPr="00C10D10">
        <w:rPr>
          <w:szCs w:val="24"/>
        </w:rPr>
        <w:t xml:space="preserve">involved. </w:t>
      </w:r>
      <w:r w:rsidR="00AB3634" w:rsidRPr="00C10D10">
        <w:rPr>
          <w:szCs w:val="24"/>
        </w:rPr>
        <w:t xml:space="preserve">As </w:t>
      </w:r>
      <w:r w:rsidR="00DE3AE9">
        <w:rPr>
          <w:szCs w:val="24"/>
        </w:rPr>
        <w:t>described</w:t>
      </w:r>
      <w:r w:rsidR="00DE3AE9" w:rsidRPr="00C10D10">
        <w:rPr>
          <w:szCs w:val="24"/>
        </w:rPr>
        <w:t xml:space="preserve"> </w:t>
      </w:r>
      <w:r w:rsidR="00AB3634" w:rsidRPr="00C10D10">
        <w:rPr>
          <w:szCs w:val="24"/>
        </w:rPr>
        <w:t>in Section 5 in this Safety Guide, m</w:t>
      </w:r>
      <w:r w:rsidR="008A59FB" w:rsidRPr="00C10D10">
        <w:rPr>
          <w:szCs w:val="24"/>
        </w:rPr>
        <w:t xml:space="preserve">any options </w:t>
      </w:r>
      <w:r w:rsidR="00295269">
        <w:rPr>
          <w:szCs w:val="24"/>
        </w:rPr>
        <w:t>for</w:t>
      </w:r>
      <w:r w:rsidR="00B32770">
        <w:rPr>
          <w:szCs w:val="24"/>
        </w:rPr>
        <w:t xml:space="preserve"> minimiz</w:t>
      </w:r>
      <w:r w:rsidR="00295269">
        <w:rPr>
          <w:szCs w:val="24"/>
        </w:rPr>
        <w:t>ing</w:t>
      </w:r>
      <w:r w:rsidR="00B32770">
        <w:rPr>
          <w:szCs w:val="24"/>
        </w:rPr>
        <w:t xml:space="preserve"> discharges </w:t>
      </w:r>
      <w:r w:rsidR="008A59FB" w:rsidRPr="00C10D10">
        <w:rPr>
          <w:szCs w:val="24"/>
        </w:rPr>
        <w:t xml:space="preserve">may lead to increased </w:t>
      </w:r>
      <w:r w:rsidR="00486A73">
        <w:rPr>
          <w:szCs w:val="24"/>
        </w:rPr>
        <w:t>generation</w:t>
      </w:r>
      <w:r w:rsidR="00486A73" w:rsidRPr="00C10D10">
        <w:rPr>
          <w:szCs w:val="24"/>
        </w:rPr>
        <w:t xml:space="preserve"> </w:t>
      </w:r>
      <w:r w:rsidR="008A59FB" w:rsidRPr="00C10D10">
        <w:rPr>
          <w:szCs w:val="24"/>
        </w:rPr>
        <w:t xml:space="preserve">of solid radioactive waste and a corresponding </w:t>
      </w:r>
      <w:r w:rsidR="008A59FB" w:rsidRPr="00C10D10">
        <w:rPr>
          <w:szCs w:val="24"/>
        </w:rPr>
        <w:lastRenderedPageBreak/>
        <w:t xml:space="preserve">trade-off between reduced public </w:t>
      </w:r>
      <w:r w:rsidR="00726443" w:rsidRPr="00C10D10">
        <w:rPr>
          <w:szCs w:val="24"/>
        </w:rPr>
        <w:t xml:space="preserve">exposures </w:t>
      </w:r>
      <w:r w:rsidR="008A59FB" w:rsidRPr="00C10D10">
        <w:rPr>
          <w:szCs w:val="24"/>
        </w:rPr>
        <w:t xml:space="preserve">and </w:t>
      </w:r>
      <w:r w:rsidR="00486A73" w:rsidRPr="00C10D10">
        <w:rPr>
          <w:szCs w:val="24"/>
        </w:rPr>
        <w:t xml:space="preserve">reduced </w:t>
      </w:r>
      <w:r w:rsidR="008A59FB" w:rsidRPr="00C10D10">
        <w:rPr>
          <w:szCs w:val="24"/>
        </w:rPr>
        <w:t xml:space="preserve">occupational </w:t>
      </w:r>
      <w:r w:rsidR="00726443" w:rsidRPr="00C10D10">
        <w:rPr>
          <w:szCs w:val="24"/>
        </w:rPr>
        <w:t>exposures</w:t>
      </w:r>
      <w:r w:rsidR="008A59FB" w:rsidRPr="00C10D10">
        <w:rPr>
          <w:szCs w:val="24"/>
        </w:rPr>
        <w:t>. There could also be safety considerations</w:t>
      </w:r>
      <w:r w:rsidR="00486A73">
        <w:rPr>
          <w:szCs w:val="24"/>
        </w:rPr>
        <w:t>,</w:t>
      </w:r>
      <w:r w:rsidR="008A59FB" w:rsidRPr="00C10D10">
        <w:rPr>
          <w:szCs w:val="24"/>
        </w:rPr>
        <w:t xml:space="preserve"> such as an increased risk of accidental </w:t>
      </w:r>
      <w:r w:rsidR="00B32770">
        <w:rPr>
          <w:szCs w:val="24"/>
        </w:rPr>
        <w:t xml:space="preserve">spillages or </w:t>
      </w:r>
      <w:r w:rsidR="008A59FB" w:rsidRPr="00C10D10">
        <w:rPr>
          <w:szCs w:val="24"/>
        </w:rPr>
        <w:t xml:space="preserve">releases </w:t>
      </w:r>
      <w:r w:rsidR="00B32770">
        <w:rPr>
          <w:szCs w:val="24"/>
        </w:rPr>
        <w:t xml:space="preserve">from storage tanks </w:t>
      </w:r>
      <w:r w:rsidR="008A59FB" w:rsidRPr="00C10D10">
        <w:rPr>
          <w:szCs w:val="24"/>
        </w:rPr>
        <w:t>[</w:t>
      </w:r>
      <w:r w:rsidR="00E1361F" w:rsidRPr="00C10D10">
        <w:rPr>
          <w:szCs w:val="24"/>
        </w:rPr>
        <w:t>I-</w:t>
      </w:r>
      <w:r w:rsidR="00F46AE6">
        <w:rPr>
          <w:szCs w:val="24"/>
        </w:rPr>
        <w:t>7</w:t>
      </w:r>
      <w:r w:rsidR="008A59FB" w:rsidRPr="00C10D10">
        <w:rPr>
          <w:szCs w:val="24"/>
        </w:rPr>
        <w:t xml:space="preserve">]. </w:t>
      </w:r>
    </w:p>
    <w:p w:rsidR="008A59FB" w:rsidRPr="00862EA6" w:rsidRDefault="008A59FB"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Different considerations will also be involved in </w:t>
      </w:r>
      <w:r w:rsidR="00554DBB">
        <w:rPr>
          <w:szCs w:val="24"/>
        </w:rPr>
        <w:t xml:space="preserve">the </w:t>
      </w:r>
      <w:r w:rsidRPr="00C10D10">
        <w:rPr>
          <w:szCs w:val="24"/>
        </w:rPr>
        <w:t>optimization of</w:t>
      </w:r>
      <w:r w:rsidR="00486A73">
        <w:rPr>
          <w:szCs w:val="24"/>
        </w:rPr>
        <w:t xml:space="preserve"> protection and safety for</w:t>
      </w:r>
      <w:r w:rsidRPr="00C10D10">
        <w:rPr>
          <w:szCs w:val="24"/>
        </w:rPr>
        <w:t xml:space="preserve"> proposed and existing facilities</w:t>
      </w:r>
      <w:r w:rsidR="00AB3634" w:rsidRPr="00C10D10">
        <w:rPr>
          <w:szCs w:val="24"/>
        </w:rPr>
        <w:t xml:space="preserve"> or activities</w:t>
      </w:r>
      <w:r w:rsidRPr="00C10D10">
        <w:rPr>
          <w:szCs w:val="24"/>
        </w:rPr>
        <w:t xml:space="preserve">. The design stage of a new facility </w:t>
      </w:r>
      <w:r w:rsidR="00AB3634" w:rsidRPr="00C10D10">
        <w:rPr>
          <w:szCs w:val="24"/>
        </w:rPr>
        <w:t xml:space="preserve">or activity </w:t>
      </w:r>
      <w:r w:rsidRPr="00C10D10">
        <w:rPr>
          <w:szCs w:val="24"/>
        </w:rPr>
        <w:t xml:space="preserve">is likely to involve complex </w:t>
      </w:r>
      <w:r w:rsidR="003373D4" w:rsidRPr="00C10D10">
        <w:rPr>
          <w:szCs w:val="24"/>
        </w:rPr>
        <w:t xml:space="preserve">technical </w:t>
      </w:r>
      <w:r w:rsidRPr="00C10D10">
        <w:rPr>
          <w:szCs w:val="24"/>
        </w:rPr>
        <w:t>decisions that may require formal decision</w:t>
      </w:r>
      <w:r w:rsidR="00486A73">
        <w:rPr>
          <w:szCs w:val="24"/>
        </w:rPr>
        <w:t xml:space="preserve"> </w:t>
      </w:r>
      <w:r w:rsidRPr="00C10D10">
        <w:rPr>
          <w:szCs w:val="24"/>
        </w:rPr>
        <w:t xml:space="preserve">aiding techniques to be used. At this stage, there may be a broad range of possible designs and there is the potential </w:t>
      </w:r>
      <w:r w:rsidR="00F46AE6">
        <w:rPr>
          <w:szCs w:val="24"/>
        </w:rPr>
        <w:t xml:space="preserve">for </w:t>
      </w:r>
      <w:r w:rsidR="00486A73">
        <w:rPr>
          <w:szCs w:val="24"/>
        </w:rPr>
        <w:t>design</w:t>
      </w:r>
      <w:r w:rsidR="00F46AE6">
        <w:rPr>
          <w:szCs w:val="24"/>
        </w:rPr>
        <w:t>ing</w:t>
      </w:r>
      <w:r w:rsidR="00486A73">
        <w:rPr>
          <w:szCs w:val="24"/>
        </w:rPr>
        <w:t xml:space="preserve"> </w:t>
      </w:r>
      <w:r w:rsidRPr="00C10D10">
        <w:rPr>
          <w:szCs w:val="24"/>
        </w:rPr>
        <w:t xml:space="preserve">the facility </w:t>
      </w:r>
      <w:r w:rsidR="00486A73">
        <w:rPr>
          <w:szCs w:val="24"/>
        </w:rPr>
        <w:t xml:space="preserve">such that </w:t>
      </w:r>
      <w:r w:rsidRPr="00C10D10">
        <w:rPr>
          <w:szCs w:val="24"/>
        </w:rPr>
        <w:t xml:space="preserve"> waste </w:t>
      </w:r>
      <w:r w:rsidR="00554DBB">
        <w:rPr>
          <w:szCs w:val="24"/>
        </w:rPr>
        <w:t xml:space="preserve">and </w:t>
      </w:r>
      <w:r w:rsidRPr="00C10D10">
        <w:rPr>
          <w:szCs w:val="24"/>
        </w:rPr>
        <w:t xml:space="preserve">discharges </w:t>
      </w:r>
      <w:r w:rsidR="00554DBB">
        <w:rPr>
          <w:szCs w:val="24"/>
        </w:rPr>
        <w:t>arising from its operation</w:t>
      </w:r>
      <w:r w:rsidR="00486A73">
        <w:rPr>
          <w:szCs w:val="24"/>
        </w:rPr>
        <w:t xml:space="preserve"> are reduced,</w:t>
      </w:r>
      <w:r w:rsidRPr="00C10D10">
        <w:rPr>
          <w:szCs w:val="24"/>
        </w:rPr>
        <w:t xml:space="preserve"> thereby reduc</w:t>
      </w:r>
      <w:r w:rsidR="00486A73">
        <w:rPr>
          <w:szCs w:val="24"/>
        </w:rPr>
        <w:t>ing</w:t>
      </w:r>
      <w:r w:rsidRPr="00C10D10">
        <w:rPr>
          <w:szCs w:val="24"/>
        </w:rPr>
        <w:t xml:space="preserve"> </w:t>
      </w:r>
      <w:r w:rsidR="00486A73">
        <w:rPr>
          <w:szCs w:val="24"/>
        </w:rPr>
        <w:t xml:space="preserve">both </w:t>
      </w:r>
      <w:r w:rsidRPr="00C10D10">
        <w:rPr>
          <w:szCs w:val="24"/>
        </w:rPr>
        <w:t xml:space="preserve">occupational </w:t>
      </w:r>
      <w:r w:rsidR="00374556" w:rsidRPr="00C10D10">
        <w:rPr>
          <w:szCs w:val="24"/>
        </w:rPr>
        <w:t xml:space="preserve">exposure </w:t>
      </w:r>
      <w:r w:rsidRPr="00C10D10">
        <w:rPr>
          <w:szCs w:val="24"/>
        </w:rPr>
        <w:t xml:space="preserve">and public </w:t>
      </w:r>
      <w:r w:rsidR="00374556" w:rsidRPr="00C10D10">
        <w:rPr>
          <w:szCs w:val="24"/>
        </w:rPr>
        <w:t>exposure</w:t>
      </w:r>
      <w:r w:rsidRPr="00C10D10">
        <w:rPr>
          <w:szCs w:val="24"/>
        </w:rPr>
        <w:t>. However, during the operational stage, the options for reducing public exposures are more restricted</w:t>
      </w:r>
      <w:r w:rsidR="003373D4" w:rsidRPr="00C10D10">
        <w:rPr>
          <w:szCs w:val="24"/>
        </w:rPr>
        <w:t xml:space="preserve"> than during design</w:t>
      </w:r>
      <w:r w:rsidRPr="00C10D10">
        <w:rPr>
          <w:szCs w:val="24"/>
        </w:rPr>
        <w:t xml:space="preserve">, </w:t>
      </w:r>
      <w:r w:rsidR="00486A73">
        <w:rPr>
          <w:szCs w:val="24"/>
        </w:rPr>
        <w:t>owing</w:t>
      </w:r>
      <w:r w:rsidR="00486A73" w:rsidRPr="00C10D10">
        <w:rPr>
          <w:szCs w:val="24"/>
        </w:rPr>
        <w:t xml:space="preserve"> </w:t>
      </w:r>
      <w:r w:rsidRPr="00C10D10">
        <w:rPr>
          <w:szCs w:val="24"/>
        </w:rPr>
        <w:t xml:space="preserve">to the more limited possibilities of </w:t>
      </w:r>
      <w:r w:rsidR="00AB3634" w:rsidRPr="00C10D10">
        <w:rPr>
          <w:szCs w:val="24"/>
        </w:rPr>
        <w:t>introducing changes in</w:t>
      </w:r>
      <w:r w:rsidRPr="00C10D10">
        <w:rPr>
          <w:szCs w:val="24"/>
        </w:rPr>
        <w:t xml:space="preserve"> the </w:t>
      </w:r>
      <w:r w:rsidR="00164360">
        <w:rPr>
          <w:szCs w:val="24"/>
        </w:rPr>
        <w:t xml:space="preserve">systems and </w:t>
      </w:r>
      <w:r w:rsidRPr="00C10D10">
        <w:rPr>
          <w:szCs w:val="24"/>
        </w:rPr>
        <w:t>process</w:t>
      </w:r>
      <w:r w:rsidR="003373D4" w:rsidRPr="00C10D10">
        <w:rPr>
          <w:szCs w:val="24"/>
        </w:rPr>
        <w:t>es</w:t>
      </w:r>
      <w:r w:rsidRPr="00C10D10">
        <w:rPr>
          <w:szCs w:val="24"/>
        </w:rPr>
        <w:t xml:space="preserve"> </w:t>
      </w:r>
      <w:r w:rsidR="00486A73">
        <w:rPr>
          <w:szCs w:val="24"/>
        </w:rPr>
        <w:t>for</w:t>
      </w:r>
      <w:r w:rsidR="00486A73" w:rsidRPr="00C10D10">
        <w:rPr>
          <w:szCs w:val="24"/>
        </w:rPr>
        <w:t xml:space="preserve"> </w:t>
      </w:r>
      <w:r w:rsidRPr="00C10D10">
        <w:rPr>
          <w:szCs w:val="24"/>
        </w:rPr>
        <w:t>reduc</w:t>
      </w:r>
      <w:r w:rsidR="00486A73">
        <w:rPr>
          <w:szCs w:val="24"/>
        </w:rPr>
        <w:t>ing</w:t>
      </w:r>
      <w:r w:rsidRPr="00C10D10">
        <w:rPr>
          <w:szCs w:val="24"/>
        </w:rPr>
        <w:t xml:space="preserve"> radioactive waste </w:t>
      </w:r>
      <w:r w:rsidR="003373D4" w:rsidRPr="00C10D10">
        <w:rPr>
          <w:szCs w:val="24"/>
        </w:rPr>
        <w:t xml:space="preserve">and </w:t>
      </w:r>
      <w:r w:rsidRPr="00C10D10">
        <w:rPr>
          <w:szCs w:val="24"/>
        </w:rPr>
        <w:t>effluents</w:t>
      </w:r>
      <w:r w:rsidR="003373D4" w:rsidRPr="00C10D10">
        <w:rPr>
          <w:szCs w:val="24"/>
        </w:rPr>
        <w:t>.</w:t>
      </w:r>
      <w:r w:rsidRPr="00C10D10">
        <w:rPr>
          <w:szCs w:val="24"/>
        </w:rPr>
        <w:t xml:space="preserve"> Optimization of public protection for ongoing discharges is often undertaken </w:t>
      </w:r>
      <w:r w:rsidR="00F46AE6">
        <w:rPr>
          <w:szCs w:val="24"/>
        </w:rPr>
        <w:t xml:space="preserve">by </w:t>
      </w:r>
      <w:r w:rsidR="003373D4" w:rsidRPr="00C10D10">
        <w:rPr>
          <w:szCs w:val="24"/>
        </w:rPr>
        <w:t xml:space="preserve">considering the </w:t>
      </w:r>
      <w:r w:rsidR="00262CB3">
        <w:rPr>
          <w:szCs w:val="24"/>
        </w:rPr>
        <w:t>configurations of</w:t>
      </w:r>
      <w:r w:rsidR="00164360">
        <w:rPr>
          <w:szCs w:val="24"/>
        </w:rPr>
        <w:t xml:space="preserve"> the</w:t>
      </w:r>
      <w:r w:rsidR="003373D4" w:rsidRPr="00C10D10">
        <w:rPr>
          <w:szCs w:val="24"/>
        </w:rPr>
        <w:t xml:space="preserve"> available </w:t>
      </w:r>
      <w:r w:rsidR="00164360">
        <w:rPr>
          <w:szCs w:val="24"/>
        </w:rPr>
        <w:t>technical options and the associated procedures</w:t>
      </w:r>
      <w:r w:rsidR="00262CB3">
        <w:rPr>
          <w:szCs w:val="24"/>
        </w:rPr>
        <w:t>,</w:t>
      </w:r>
      <w:r w:rsidR="00164360">
        <w:rPr>
          <w:szCs w:val="24"/>
        </w:rPr>
        <w:t xml:space="preserve"> based on the operational experience</w:t>
      </w:r>
      <w:r w:rsidR="00262CB3">
        <w:rPr>
          <w:szCs w:val="24"/>
        </w:rPr>
        <w:t>,</w:t>
      </w:r>
      <w:r w:rsidR="00164360">
        <w:rPr>
          <w:szCs w:val="24"/>
        </w:rPr>
        <w:t xml:space="preserve"> </w:t>
      </w:r>
      <w:r w:rsidRPr="00C10D10">
        <w:rPr>
          <w:szCs w:val="24"/>
        </w:rPr>
        <w:t xml:space="preserve">in an interactive </w:t>
      </w:r>
      <w:r w:rsidR="00F163AB">
        <w:rPr>
          <w:szCs w:val="24"/>
        </w:rPr>
        <w:t>manner</w:t>
      </w:r>
      <w:r w:rsidR="00F163AB" w:rsidRPr="00C10D10">
        <w:rPr>
          <w:szCs w:val="24"/>
        </w:rPr>
        <w:t xml:space="preserve"> </w:t>
      </w:r>
      <w:r w:rsidRPr="00C10D10">
        <w:rPr>
          <w:szCs w:val="24"/>
        </w:rPr>
        <w:t xml:space="preserve">between the </w:t>
      </w:r>
      <w:r w:rsidRPr="00995ADE">
        <w:rPr>
          <w:szCs w:val="24"/>
        </w:rPr>
        <w:t xml:space="preserve">regulatory body and the </w:t>
      </w:r>
      <w:r w:rsidR="005A3563" w:rsidRPr="006A20D3">
        <w:rPr>
          <w:szCs w:val="24"/>
        </w:rPr>
        <w:t>operating organization</w:t>
      </w:r>
      <w:r w:rsidRPr="00B30513">
        <w:rPr>
          <w:szCs w:val="24"/>
        </w:rPr>
        <w:t xml:space="preserve"> </w:t>
      </w:r>
      <w:r w:rsidR="00703FE4" w:rsidRPr="00995ADE">
        <w:rPr>
          <w:szCs w:val="24"/>
        </w:rPr>
        <w:t>[</w:t>
      </w:r>
      <w:r w:rsidR="00E1361F" w:rsidRPr="001B2920">
        <w:rPr>
          <w:szCs w:val="24"/>
        </w:rPr>
        <w:t>I-8</w:t>
      </w:r>
      <w:r w:rsidR="00703FE4" w:rsidRPr="00047AF0">
        <w:rPr>
          <w:szCs w:val="24"/>
        </w:rPr>
        <w:t>]</w:t>
      </w:r>
      <w:r w:rsidRPr="005F4803">
        <w:rPr>
          <w:szCs w:val="24"/>
        </w:rPr>
        <w:t xml:space="preserve">. </w:t>
      </w:r>
    </w:p>
    <w:p w:rsidR="008A59FB" w:rsidRPr="00C10D10" w:rsidRDefault="008A59FB"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Consideration of management options </w:t>
      </w:r>
      <w:r w:rsidR="00351D56">
        <w:rPr>
          <w:szCs w:val="24"/>
        </w:rPr>
        <w:t xml:space="preserve">for radioactive waste and effluents </w:t>
      </w:r>
      <w:r w:rsidRPr="00C10D10">
        <w:rPr>
          <w:szCs w:val="24"/>
        </w:rPr>
        <w:t>includes the evaluation of requirements for design and operational features, storage and treatment</w:t>
      </w:r>
      <w:r w:rsidR="00FE73DB">
        <w:rPr>
          <w:szCs w:val="24"/>
        </w:rPr>
        <w:t xml:space="preserve"> (including </w:t>
      </w:r>
      <w:r w:rsidR="003E6271">
        <w:rPr>
          <w:szCs w:val="24"/>
        </w:rPr>
        <w:t xml:space="preserve">radionuclides </w:t>
      </w:r>
      <w:r w:rsidR="00FE73DB">
        <w:rPr>
          <w:szCs w:val="24"/>
        </w:rPr>
        <w:t>abatement techniques)</w:t>
      </w:r>
      <w:r w:rsidRPr="00C10D10">
        <w:rPr>
          <w:szCs w:val="24"/>
        </w:rPr>
        <w:t xml:space="preserve">, and prevention of spills. For new facilities protection </w:t>
      </w:r>
      <w:r w:rsidR="00727CA6">
        <w:rPr>
          <w:szCs w:val="24"/>
        </w:rPr>
        <w:t xml:space="preserve">and safety </w:t>
      </w:r>
      <w:r w:rsidRPr="00C10D10">
        <w:rPr>
          <w:szCs w:val="24"/>
        </w:rPr>
        <w:t>can be optimized through the design</w:t>
      </w:r>
      <w:r w:rsidR="009B2D24">
        <w:rPr>
          <w:szCs w:val="24"/>
        </w:rPr>
        <w:t>. B</w:t>
      </w:r>
      <w:r w:rsidR="00727CA6">
        <w:rPr>
          <w:szCs w:val="24"/>
        </w:rPr>
        <w:t>efore decommissioning is commenced, protection and safety can be optimized</w:t>
      </w:r>
      <w:r w:rsidR="009B2D24">
        <w:rPr>
          <w:szCs w:val="24"/>
        </w:rPr>
        <w:t xml:space="preserve"> through the selection of appropriate options for decommissioning</w:t>
      </w:r>
      <w:r w:rsidR="003E6271">
        <w:rPr>
          <w:szCs w:val="24"/>
        </w:rPr>
        <w:t xml:space="preserve">. </w:t>
      </w:r>
      <w:r w:rsidR="00727CA6">
        <w:rPr>
          <w:szCs w:val="24"/>
        </w:rPr>
        <w:t>In</w:t>
      </w:r>
      <w:r w:rsidR="00727CA6" w:rsidRPr="00C10D10">
        <w:rPr>
          <w:szCs w:val="24"/>
        </w:rPr>
        <w:t xml:space="preserve"> </w:t>
      </w:r>
      <w:r w:rsidRPr="00C10D10">
        <w:rPr>
          <w:szCs w:val="24"/>
        </w:rPr>
        <w:t>the operational and decommissioning stages of the facility</w:t>
      </w:r>
      <w:r w:rsidR="003E6271">
        <w:rPr>
          <w:szCs w:val="24"/>
        </w:rPr>
        <w:t xml:space="preserve"> there may be </w:t>
      </w:r>
      <w:r w:rsidRPr="00C10D10">
        <w:rPr>
          <w:szCs w:val="24"/>
        </w:rPr>
        <w:t>fewer options available to optimize</w:t>
      </w:r>
      <w:r w:rsidR="009B2D24">
        <w:rPr>
          <w:szCs w:val="24"/>
        </w:rPr>
        <w:t xml:space="preserve"> protection and safety</w:t>
      </w:r>
      <w:r w:rsidR="003E6271">
        <w:rPr>
          <w:szCs w:val="24"/>
        </w:rPr>
        <w:t>. However, d</w:t>
      </w:r>
      <w:r w:rsidRPr="00C10D10">
        <w:rPr>
          <w:szCs w:val="24"/>
        </w:rPr>
        <w:t>uring operation there may be opportunities to review options for the management of</w:t>
      </w:r>
      <w:r w:rsidR="009B2D24">
        <w:rPr>
          <w:szCs w:val="24"/>
        </w:rPr>
        <w:t xml:space="preserve"> discharges</w:t>
      </w:r>
      <w:r w:rsidRPr="00C10D10">
        <w:rPr>
          <w:szCs w:val="24"/>
        </w:rPr>
        <w:t xml:space="preserve">. The management option may then consist of </w:t>
      </w:r>
      <w:r w:rsidR="00164360">
        <w:rPr>
          <w:szCs w:val="24"/>
        </w:rPr>
        <w:t xml:space="preserve">reconfiguring </w:t>
      </w:r>
      <w:r w:rsidR="00315811">
        <w:rPr>
          <w:szCs w:val="24"/>
        </w:rPr>
        <w:t xml:space="preserve">the </w:t>
      </w:r>
      <w:r w:rsidRPr="00C10D10">
        <w:rPr>
          <w:szCs w:val="24"/>
        </w:rPr>
        <w:t>storage</w:t>
      </w:r>
      <w:r w:rsidR="00FE73DB">
        <w:rPr>
          <w:szCs w:val="24"/>
        </w:rPr>
        <w:t xml:space="preserve"> </w:t>
      </w:r>
      <w:proofErr w:type="gramStart"/>
      <w:r w:rsidR="00FE73DB">
        <w:rPr>
          <w:szCs w:val="24"/>
        </w:rPr>
        <w:t xml:space="preserve">and </w:t>
      </w:r>
      <w:r w:rsidRPr="00C10D10">
        <w:rPr>
          <w:szCs w:val="24"/>
        </w:rPr>
        <w:t xml:space="preserve"> </w:t>
      </w:r>
      <w:r w:rsidR="00315811">
        <w:rPr>
          <w:szCs w:val="24"/>
        </w:rPr>
        <w:t>radionuclide</w:t>
      </w:r>
      <w:proofErr w:type="gramEnd"/>
      <w:r w:rsidR="00315811">
        <w:rPr>
          <w:szCs w:val="24"/>
        </w:rPr>
        <w:t xml:space="preserve"> </w:t>
      </w:r>
      <w:r w:rsidRPr="00C10D10">
        <w:rPr>
          <w:szCs w:val="24"/>
        </w:rPr>
        <w:t xml:space="preserve">abatement </w:t>
      </w:r>
      <w:r w:rsidR="00FE73DB">
        <w:rPr>
          <w:szCs w:val="24"/>
        </w:rPr>
        <w:t xml:space="preserve">systems </w:t>
      </w:r>
      <w:r w:rsidRPr="00C10D10">
        <w:rPr>
          <w:szCs w:val="24"/>
        </w:rPr>
        <w:t xml:space="preserve">of the facility, or </w:t>
      </w:r>
      <w:r w:rsidR="00530A0E" w:rsidRPr="00C10D10">
        <w:rPr>
          <w:szCs w:val="24"/>
        </w:rPr>
        <w:t>back-fit</w:t>
      </w:r>
      <w:r w:rsidR="00F46AE6">
        <w:rPr>
          <w:szCs w:val="24"/>
        </w:rPr>
        <w:t>ting</w:t>
      </w:r>
      <w:r w:rsidRPr="00C10D10">
        <w:rPr>
          <w:szCs w:val="24"/>
        </w:rPr>
        <w:t xml:space="preserve"> or upgrad</w:t>
      </w:r>
      <w:r w:rsidR="00F46AE6">
        <w:rPr>
          <w:szCs w:val="24"/>
        </w:rPr>
        <w:t>ing</w:t>
      </w:r>
      <w:r w:rsidRPr="00C10D10">
        <w:rPr>
          <w:szCs w:val="24"/>
        </w:rPr>
        <w:t xml:space="preserve"> the existing system</w:t>
      </w:r>
      <w:r w:rsidR="00C505DE">
        <w:rPr>
          <w:szCs w:val="24"/>
        </w:rPr>
        <w:t xml:space="preserve"> </w:t>
      </w:r>
      <w:r w:rsidRPr="00C10D10">
        <w:rPr>
          <w:szCs w:val="24"/>
        </w:rPr>
        <w:t xml:space="preserve">features. Possible abatement techniques </w:t>
      </w:r>
      <w:r w:rsidR="00246E97">
        <w:rPr>
          <w:szCs w:val="24"/>
        </w:rPr>
        <w:t xml:space="preserve">for removal of radionuclides </w:t>
      </w:r>
      <w:r w:rsidRPr="00C10D10">
        <w:rPr>
          <w:szCs w:val="24"/>
        </w:rPr>
        <w:t xml:space="preserve">and control methods </w:t>
      </w:r>
      <w:r w:rsidR="00AC4EE9">
        <w:rPr>
          <w:szCs w:val="24"/>
        </w:rPr>
        <w:t xml:space="preserve">for effluents </w:t>
      </w:r>
      <w:r w:rsidRPr="00C10D10">
        <w:rPr>
          <w:szCs w:val="24"/>
        </w:rPr>
        <w:t xml:space="preserve">are </w:t>
      </w:r>
      <w:r w:rsidR="00315811">
        <w:rPr>
          <w:szCs w:val="24"/>
        </w:rPr>
        <w:t>described</w:t>
      </w:r>
      <w:r w:rsidR="00DE3AE9" w:rsidRPr="00C10D10">
        <w:rPr>
          <w:szCs w:val="24"/>
        </w:rPr>
        <w:t xml:space="preserve"> </w:t>
      </w:r>
      <w:r w:rsidR="000E21E1" w:rsidRPr="00C10D10">
        <w:rPr>
          <w:szCs w:val="24"/>
        </w:rPr>
        <w:t xml:space="preserve">elsewhere </w:t>
      </w:r>
      <w:r w:rsidR="00703FE4" w:rsidRPr="00C10D10">
        <w:rPr>
          <w:szCs w:val="24"/>
        </w:rPr>
        <w:t>[</w:t>
      </w:r>
      <w:r w:rsidR="00E1361F" w:rsidRPr="00C10D10">
        <w:rPr>
          <w:szCs w:val="24"/>
        </w:rPr>
        <w:t>I-8</w:t>
      </w:r>
      <w:r w:rsidR="00703FE4" w:rsidRPr="00C10D10">
        <w:rPr>
          <w:szCs w:val="24"/>
        </w:rPr>
        <w:t>]</w:t>
      </w:r>
      <w:r w:rsidRPr="00C10D10">
        <w:rPr>
          <w:szCs w:val="24"/>
        </w:rPr>
        <w:t xml:space="preserve">. </w:t>
      </w:r>
    </w:p>
    <w:p w:rsidR="008A59FB" w:rsidRPr="00C10D10" w:rsidRDefault="003E6271" w:rsidP="0091132F">
      <w:pPr>
        <w:pStyle w:val="ListParagraph"/>
        <w:numPr>
          <w:ilvl w:val="0"/>
          <w:numId w:val="20"/>
        </w:numPr>
        <w:tabs>
          <w:tab w:val="left" w:pos="851"/>
        </w:tabs>
        <w:autoSpaceDE w:val="0"/>
        <w:autoSpaceDN w:val="0"/>
        <w:adjustRightInd w:val="0"/>
        <w:contextualSpacing w:val="0"/>
        <w:jc w:val="both"/>
        <w:rPr>
          <w:szCs w:val="24"/>
        </w:rPr>
      </w:pPr>
      <w:r>
        <w:rPr>
          <w:szCs w:val="24"/>
        </w:rPr>
        <w:t>Different d</w:t>
      </w:r>
      <w:r w:rsidR="00050A9D" w:rsidRPr="00C10D10">
        <w:rPr>
          <w:szCs w:val="24"/>
        </w:rPr>
        <w:t>ecision</w:t>
      </w:r>
      <w:r w:rsidR="00315811">
        <w:rPr>
          <w:szCs w:val="24"/>
        </w:rPr>
        <w:t xml:space="preserve"> </w:t>
      </w:r>
      <w:r w:rsidR="008A59FB" w:rsidRPr="00C10D10">
        <w:rPr>
          <w:szCs w:val="24"/>
        </w:rPr>
        <w:t xml:space="preserve">aiding techniques </w:t>
      </w:r>
      <w:r>
        <w:rPr>
          <w:szCs w:val="24"/>
        </w:rPr>
        <w:t>may</w:t>
      </w:r>
      <w:r w:rsidR="008A59FB" w:rsidRPr="00C10D10">
        <w:rPr>
          <w:szCs w:val="24"/>
        </w:rPr>
        <w:t xml:space="preserve"> be employed to facilitate the optimization process.</w:t>
      </w:r>
      <w:r w:rsidR="00C505DE">
        <w:rPr>
          <w:szCs w:val="24"/>
        </w:rPr>
        <w:t xml:space="preserve"> </w:t>
      </w:r>
      <w:r w:rsidR="008A59FB" w:rsidRPr="00C10D10">
        <w:rPr>
          <w:szCs w:val="24"/>
        </w:rPr>
        <w:t>The most common decision</w:t>
      </w:r>
      <w:r w:rsidR="00315811">
        <w:rPr>
          <w:szCs w:val="24"/>
        </w:rPr>
        <w:t xml:space="preserve"> </w:t>
      </w:r>
      <w:r w:rsidR="008A59FB" w:rsidRPr="00C10D10">
        <w:rPr>
          <w:szCs w:val="24"/>
        </w:rPr>
        <w:t xml:space="preserve">aiding techniques </w:t>
      </w:r>
      <w:r w:rsidR="00DE3AE9">
        <w:rPr>
          <w:szCs w:val="24"/>
        </w:rPr>
        <w:t>addressed</w:t>
      </w:r>
      <w:r w:rsidR="00DE3AE9" w:rsidRPr="00C10D10">
        <w:rPr>
          <w:szCs w:val="24"/>
        </w:rPr>
        <w:t xml:space="preserve"> </w:t>
      </w:r>
      <w:r w:rsidR="008A59FB" w:rsidRPr="00C10D10">
        <w:rPr>
          <w:szCs w:val="24"/>
        </w:rPr>
        <w:t xml:space="preserve">in the literature are cost benefit analysis and multi-attribute </w:t>
      </w:r>
      <w:r w:rsidR="006437BA" w:rsidRPr="00C10D10">
        <w:rPr>
          <w:szCs w:val="24"/>
        </w:rPr>
        <w:t>analysis,</w:t>
      </w:r>
      <w:r w:rsidR="008A59FB" w:rsidRPr="00C10D10">
        <w:rPr>
          <w:szCs w:val="24"/>
        </w:rPr>
        <w:t xml:space="preserve"> although other</w:t>
      </w:r>
      <w:r w:rsidR="00315811">
        <w:rPr>
          <w:szCs w:val="24"/>
        </w:rPr>
        <w:t xml:space="preserve"> technique</w:t>
      </w:r>
      <w:r w:rsidR="008A59FB" w:rsidRPr="00C10D10">
        <w:rPr>
          <w:szCs w:val="24"/>
        </w:rPr>
        <w:t>s</w:t>
      </w:r>
      <w:r w:rsidR="00315811">
        <w:rPr>
          <w:szCs w:val="24"/>
        </w:rPr>
        <w:t xml:space="preserve"> also exist</w:t>
      </w:r>
      <w:r w:rsidR="008A59FB" w:rsidRPr="00C10D10">
        <w:rPr>
          <w:szCs w:val="24"/>
        </w:rPr>
        <w:t xml:space="preserve">. </w:t>
      </w:r>
      <w:r w:rsidR="00315811">
        <w:rPr>
          <w:szCs w:val="24"/>
        </w:rPr>
        <w:t>I</w:t>
      </w:r>
      <w:r w:rsidR="00DE3AE9">
        <w:rPr>
          <w:szCs w:val="24"/>
        </w:rPr>
        <w:t>nformation on</w:t>
      </w:r>
      <w:r w:rsidR="00DE3AE9" w:rsidRPr="00C10D10">
        <w:rPr>
          <w:szCs w:val="24"/>
        </w:rPr>
        <w:t xml:space="preserve"> </w:t>
      </w:r>
      <w:r w:rsidR="008A59FB" w:rsidRPr="00C10D10">
        <w:rPr>
          <w:szCs w:val="24"/>
        </w:rPr>
        <w:t>decision</w:t>
      </w:r>
      <w:r w:rsidR="00315811">
        <w:rPr>
          <w:szCs w:val="24"/>
        </w:rPr>
        <w:t xml:space="preserve"> </w:t>
      </w:r>
      <w:r w:rsidR="008A59FB" w:rsidRPr="00C10D10">
        <w:rPr>
          <w:szCs w:val="24"/>
        </w:rPr>
        <w:t xml:space="preserve">aiding techniques </w:t>
      </w:r>
      <w:r w:rsidR="00315811">
        <w:rPr>
          <w:szCs w:val="24"/>
        </w:rPr>
        <w:t>is provided in Ref.</w:t>
      </w:r>
      <w:r w:rsidR="008A59FB" w:rsidRPr="00C10D10">
        <w:rPr>
          <w:szCs w:val="24"/>
        </w:rPr>
        <w:t xml:space="preserve"> [</w:t>
      </w:r>
      <w:r w:rsidR="00E1361F" w:rsidRPr="00C10D10">
        <w:rPr>
          <w:szCs w:val="24"/>
        </w:rPr>
        <w:t>I-</w:t>
      </w:r>
      <w:r w:rsidR="00F46AE6">
        <w:rPr>
          <w:szCs w:val="24"/>
        </w:rPr>
        <w:t>9</w:t>
      </w:r>
      <w:r w:rsidR="008A59FB" w:rsidRPr="00C10D10">
        <w:rPr>
          <w:szCs w:val="24"/>
        </w:rPr>
        <w:t xml:space="preserve">] and further information is given in </w:t>
      </w:r>
      <w:r w:rsidR="00E1361F" w:rsidRPr="00C10D10">
        <w:rPr>
          <w:szCs w:val="24"/>
        </w:rPr>
        <w:t xml:space="preserve">Ref. </w:t>
      </w:r>
      <w:r w:rsidR="00703FE4" w:rsidRPr="00C10D10">
        <w:rPr>
          <w:szCs w:val="24"/>
        </w:rPr>
        <w:t>[</w:t>
      </w:r>
      <w:r w:rsidR="00E1361F" w:rsidRPr="00C10D10">
        <w:rPr>
          <w:szCs w:val="24"/>
        </w:rPr>
        <w:t>I-8</w:t>
      </w:r>
      <w:r w:rsidR="00703FE4" w:rsidRPr="00C10D10">
        <w:rPr>
          <w:szCs w:val="24"/>
        </w:rPr>
        <w:t>]</w:t>
      </w:r>
      <w:r w:rsidR="008A59FB" w:rsidRPr="00C10D10">
        <w:rPr>
          <w:szCs w:val="24"/>
        </w:rPr>
        <w:t xml:space="preserve"> in relation to the control of discharges</w:t>
      </w:r>
    </w:p>
    <w:p w:rsidR="00502DCA" w:rsidRPr="00C10D10" w:rsidRDefault="003964D9" w:rsidP="0091132F">
      <w:pPr>
        <w:pStyle w:val="ListParagraph"/>
        <w:numPr>
          <w:ilvl w:val="0"/>
          <w:numId w:val="20"/>
        </w:numPr>
        <w:tabs>
          <w:tab w:val="left" w:pos="851"/>
        </w:tabs>
        <w:autoSpaceDE w:val="0"/>
        <w:autoSpaceDN w:val="0"/>
        <w:adjustRightInd w:val="0"/>
        <w:contextualSpacing w:val="0"/>
        <w:jc w:val="both"/>
        <w:rPr>
          <w:szCs w:val="24"/>
        </w:rPr>
      </w:pPr>
      <w:r w:rsidRPr="001910EB">
        <w:rPr>
          <w:szCs w:val="24"/>
        </w:rPr>
        <w:lastRenderedPageBreak/>
        <w:t xml:space="preserve">There are a number of </w:t>
      </w:r>
      <w:r w:rsidR="00CA770F" w:rsidRPr="001910EB">
        <w:rPr>
          <w:szCs w:val="24"/>
        </w:rPr>
        <w:t>soci</w:t>
      </w:r>
      <w:r w:rsidR="00315811">
        <w:rPr>
          <w:szCs w:val="24"/>
        </w:rPr>
        <w:t>et</w:t>
      </w:r>
      <w:r w:rsidR="00CA770F" w:rsidRPr="001910EB">
        <w:rPr>
          <w:szCs w:val="24"/>
        </w:rPr>
        <w:t xml:space="preserve">al and economic </w:t>
      </w:r>
      <w:r w:rsidRPr="001910EB">
        <w:rPr>
          <w:szCs w:val="24"/>
        </w:rPr>
        <w:t xml:space="preserve">factors that </w:t>
      </w:r>
      <w:r w:rsidR="001910EB">
        <w:rPr>
          <w:szCs w:val="24"/>
        </w:rPr>
        <w:t>may</w:t>
      </w:r>
      <w:r w:rsidRPr="001910EB">
        <w:rPr>
          <w:szCs w:val="24"/>
        </w:rPr>
        <w:t xml:space="preserve"> influence the decision on the optimized level of discharge. The effects on future generations, the ability to control </w:t>
      </w:r>
      <w:r w:rsidR="00157C49" w:rsidRPr="001910EB">
        <w:rPr>
          <w:szCs w:val="24"/>
        </w:rPr>
        <w:t>exposures</w:t>
      </w:r>
      <w:r w:rsidR="00CA770F" w:rsidRPr="001910EB">
        <w:rPr>
          <w:szCs w:val="24"/>
        </w:rPr>
        <w:t>,</w:t>
      </w:r>
      <w:r w:rsidRPr="00516AC2">
        <w:rPr>
          <w:szCs w:val="24"/>
        </w:rPr>
        <w:t xml:space="preserve"> the amount of information available for making informed decisions</w:t>
      </w:r>
      <w:r w:rsidR="00CA770F" w:rsidRPr="00601A1C">
        <w:rPr>
          <w:szCs w:val="24"/>
        </w:rPr>
        <w:t>, and the views of interested parties</w:t>
      </w:r>
      <w:r w:rsidRPr="00601A1C">
        <w:rPr>
          <w:szCs w:val="24"/>
        </w:rPr>
        <w:t xml:space="preserve"> may also be considered. The need to accommodate and balance the requirements of </w:t>
      </w:r>
      <w:r w:rsidR="00554DBB" w:rsidRPr="00601A1C">
        <w:rPr>
          <w:szCs w:val="24"/>
        </w:rPr>
        <w:t xml:space="preserve">different </w:t>
      </w:r>
      <w:r w:rsidR="007D1309">
        <w:rPr>
          <w:szCs w:val="24"/>
        </w:rPr>
        <w:t>strategies</w:t>
      </w:r>
      <w:r w:rsidR="007D1309" w:rsidRPr="00601A1C">
        <w:rPr>
          <w:szCs w:val="24"/>
        </w:rPr>
        <w:t xml:space="preserve"> </w:t>
      </w:r>
      <w:r w:rsidR="00315811" w:rsidRPr="00601A1C">
        <w:rPr>
          <w:szCs w:val="24"/>
        </w:rPr>
        <w:t xml:space="preserve">also </w:t>
      </w:r>
      <w:r w:rsidR="00A47128" w:rsidRPr="00601A1C">
        <w:rPr>
          <w:szCs w:val="24"/>
        </w:rPr>
        <w:t>needs</w:t>
      </w:r>
      <w:r w:rsidRPr="00601A1C">
        <w:rPr>
          <w:szCs w:val="24"/>
        </w:rPr>
        <w:t xml:space="preserve"> </w:t>
      </w:r>
      <w:r w:rsidR="00A47128" w:rsidRPr="00601A1C">
        <w:rPr>
          <w:szCs w:val="24"/>
        </w:rPr>
        <w:t>to</w:t>
      </w:r>
      <w:r w:rsidRPr="00601A1C">
        <w:rPr>
          <w:szCs w:val="24"/>
        </w:rPr>
        <w:t xml:space="preserve"> be considered (for example</w:t>
      </w:r>
      <w:r w:rsidR="00315811">
        <w:rPr>
          <w:szCs w:val="24"/>
        </w:rPr>
        <w:t>,</w:t>
      </w:r>
      <w:r w:rsidRPr="00601A1C">
        <w:rPr>
          <w:szCs w:val="24"/>
        </w:rPr>
        <w:t xml:space="preserve"> the requirements to </w:t>
      </w:r>
      <w:r w:rsidR="00574BD0" w:rsidRPr="00601A1C">
        <w:rPr>
          <w:szCs w:val="24"/>
        </w:rPr>
        <w:t>reduce</w:t>
      </w:r>
      <w:r w:rsidRPr="00601A1C">
        <w:rPr>
          <w:szCs w:val="24"/>
        </w:rPr>
        <w:t xml:space="preserve"> discharges</w:t>
      </w:r>
      <w:r w:rsidR="00315811">
        <w:rPr>
          <w:szCs w:val="24"/>
        </w:rPr>
        <w:t>,</w:t>
      </w:r>
      <w:r w:rsidRPr="00601A1C">
        <w:rPr>
          <w:szCs w:val="24"/>
        </w:rPr>
        <w:t xml:space="preserve"> with associated requirements for waste treatment measures that will increase the </w:t>
      </w:r>
      <w:r w:rsidR="00315811">
        <w:rPr>
          <w:szCs w:val="24"/>
        </w:rPr>
        <w:t>generation</w:t>
      </w:r>
      <w:r w:rsidR="00315811" w:rsidRPr="00601A1C">
        <w:rPr>
          <w:szCs w:val="24"/>
        </w:rPr>
        <w:t xml:space="preserve"> </w:t>
      </w:r>
      <w:r w:rsidRPr="00601A1C">
        <w:rPr>
          <w:szCs w:val="24"/>
        </w:rPr>
        <w:t>of solid waste</w:t>
      </w:r>
      <w:r w:rsidR="00315811">
        <w:rPr>
          <w:szCs w:val="24"/>
        </w:rPr>
        <w:t>,</w:t>
      </w:r>
      <w:r w:rsidRPr="00315811">
        <w:rPr>
          <w:szCs w:val="24"/>
        </w:rPr>
        <w:t xml:space="preserve"> and the principle of waste minimization). </w:t>
      </w:r>
    </w:p>
    <w:p w:rsidR="003964D9" w:rsidRPr="001910EB" w:rsidRDefault="002B4CF2" w:rsidP="0091132F">
      <w:pPr>
        <w:pStyle w:val="ListParagraph"/>
        <w:numPr>
          <w:ilvl w:val="0"/>
          <w:numId w:val="20"/>
        </w:numPr>
        <w:tabs>
          <w:tab w:val="left" w:pos="851"/>
        </w:tabs>
        <w:autoSpaceDE w:val="0"/>
        <w:autoSpaceDN w:val="0"/>
        <w:adjustRightInd w:val="0"/>
        <w:contextualSpacing w:val="0"/>
        <w:jc w:val="both"/>
        <w:rPr>
          <w:szCs w:val="24"/>
        </w:rPr>
      </w:pPr>
      <w:r>
        <w:rPr>
          <w:szCs w:val="24"/>
        </w:rPr>
        <w:t>S</w:t>
      </w:r>
      <w:r w:rsidR="001910EB">
        <w:rPr>
          <w:szCs w:val="24"/>
        </w:rPr>
        <w:t>oci</w:t>
      </w:r>
      <w:r w:rsidR="00315811">
        <w:rPr>
          <w:szCs w:val="24"/>
        </w:rPr>
        <w:t>et</w:t>
      </w:r>
      <w:r w:rsidR="001910EB">
        <w:rPr>
          <w:szCs w:val="24"/>
        </w:rPr>
        <w:t xml:space="preserve">al and economic </w:t>
      </w:r>
      <w:r w:rsidR="003964D9" w:rsidRPr="001910EB">
        <w:rPr>
          <w:szCs w:val="24"/>
        </w:rPr>
        <w:t>factor</w:t>
      </w:r>
      <w:r w:rsidR="00050A9D">
        <w:rPr>
          <w:szCs w:val="24"/>
        </w:rPr>
        <w:t>s</w:t>
      </w:r>
      <w:r w:rsidR="003964D9" w:rsidRPr="001910EB">
        <w:rPr>
          <w:szCs w:val="24"/>
        </w:rPr>
        <w:t xml:space="preserve"> that </w:t>
      </w:r>
      <w:r w:rsidR="001910EB">
        <w:rPr>
          <w:szCs w:val="24"/>
        </w:rPr>
        <w:t>need to be considered</w:t>
      </w:r>
      <w:r w:rsidR="00C505DE">
        <w:rPr>
          <w:szCs w:val="24"/>
        </w:rPr>
        <w:t xml:space="preserve"> </w:t>
      </w:r>
      <w:r w:rsidR="00050A9D">
        <w:rPr>
          <w:szCs w:val="24"/>
        </w:rPr>
        <w:t xml:space="preserve">are </w:t>
      </w:r>
      <w:r w:rsidR="003964D9" w:rsidRPr="001910EB">
        <w:rPr>
          <w:szCs w:val="24"/>
        </w:rPr>
        <w:t xml:space="preserve">dependent on </w:t>
      </w:r>
      <w:r w:rsidR="00050A9D">
        <w:rPr>
          <w:szCs w:val="24"/>
        </w:rPr>
        <w:t xml:space="preserve">the characteristics of the activity or facility under consideration and </w:t>
      </w:r>
      <w:r w:rsidR="003964D9" w:rsidRPr="001910EB">
        <w:rPr>
          <w:szCs w:val="24"/>
        </w:rPr>
        <w:t>site</w:t>
      </w:r>
      <w:r w:rsidR="00315811">
        <w:rPr>
          <w:szCs w:val="24"/>
        </w:rPr>
        <w:t xml:space="preserve"> </w:t>
      </w:r>
      <w:r w:rsidR="003964D9" w:rsidRPr="001910EB">
        <w:rPr>
          <w:szCs w:val="24"/>
        </w:rPr>
        <w:t>specific attributes</w:t>
      </w:r>
      <w:r w:rsidR="007D1309">
        <w:rPr>
          <w:szCs w:val="24"/>
        </w:rPr>
        <w:t>,</w:t>
      </w:r>
      <w:r w:rsidR="003964D9" w:rsidRPr="001910EB">
        <w:rPr>
          <w:szCs w:val="24"/>
        </w:rPr>
        <w:t xml:space="preserve"> and also on the political and social pressures within a </w:t>
      </w:r>
      <w:r w:rsidR="00F46AE6">
        <w:rPr>
          <w:szCs w:val="24"/>
        </w:rPr>
        <w:t>State</w:t>
      </w:r>
      <w:r w:rsidR="003964D9" w:rsidRPr="001910EB">
        <w:rPr>
          <w:szCs w:val="24"/>
        </w:rPr>
        <w:t xml:space="preserve">. A list of such considerations is </w:t>
      </w:r>
      <w:r w:rsidR="00315811">
        <w:rPr>
          <w:szCs w:val="24"/>
        </w:rPr>
        <w:t>provided</w:t>
      </w:r>
      <w:r w:rsidR="00315811" w:rsidRPr="001910EB">
        <w:rPr>
          <w:szCs w:val="24"/>
        </w:rPr>
        <w:t xml:space="preserve"> </w:t>
      </w:r>
      <w:r w:rsidR="003964D9" w:rsidRPr="001910EB">
        <w:rPr>
          <w:szCs w:val="24"/>
        </w:rPr>
        <w:t xml:space="preserve">in </w:t>
      </w:r>
      <w:r w:rsidR="00315811">
        <w:rPr>
          <w:szCs w:val="24"/>
        </w:rPr>
        <w:t>Ref.</w:t>
      </w:r>
      <w:r w:rsidR="00B42D70" w:rsidRPr="001910EB">
        <w:rPr>
          <w:szCs w:val="24"/>
        </w:rPr>
        <w:t xml:space="preserve"> </w:t>
      </w:r>
      <w:r w:rsidR="00703FE4" w:rsidRPr="001910EB">
        <w:rPr>
          <w:szCs w:val="24"/>
        </w:rPr>
        <w:t>[</w:t>
      </w:r>
      <w:r w:rsidR="00E1361F" w:rsidRPr="001910EB">
        <w:rPr>
          <w:szCs w:val="24"/>
        </w:rPr>
        <w:t>I-8</w:t>
      </w:r>
      <w:r w:rsidR="00703FE4" w:rsidRPr="001910EB">
        <w:rPr>
          <w:szCs w:val="24"/>
        </w:rPr>
        <w:t>]</w:t>
      </w:r>
      <w:r w:rsidR="003964D9" w:rsidRPr="001910EB">
        <w:rPr>
          <w:szCs w:val="24"/>
        </w:rPr>
        <w:t xml:space="preserve">. </w:t>
      </w:r>
    </w:p>
    <w:p w:rsidR="00951FAF" w:rsidRPr="00C10D10" w:rsidRDefault="003964D9" w:rsidP="0091132F">
      <w:pPr>
        <w:pStyle w:val="ListParagraph"/>
        <w:numPr>
          <w:ilvl w:val="0"/>
          <w:numId w:val="20"/>
        </w:numPr>
        <w:autoSpaceDE w:val="0"/>
        <w:autoSpaceDN w:val="0"/>
        <w:adjustRightInd w:val="0"/>
        <w:contextualSpacing w:val="0"/>
        <w:jc w:val="both"/>
        <w:rPr>
          <w:szCs w:val="24"/>
        </w:rPr>
      </w:pPr>
      <w:r w:rsidRPr="00C10D10">
        <w:rPr>
          <w:szCs w:val="24"/>
        </w:rPr>
        <w:t xml:space="preserve">An important aspect </w:t>
      </w:r>
      <w:r w:rsidR="005A7B8E" w:rsidRPr="00C10D10">
        <w:rPr>
          <w:szCs w:val="24"/>
        </w:rPr>
        <w:t xml:space="preserve">that </w:t>
      </w:r>
      <w:r w:rsidR="00E315C1" w:rsidRPr="00C10D10">
        <w:rPr>
          <w:szCs w:val="24"/>
        </w:rPr>
        <w:t>has to</w:t>
      </w:r>
      <w:r w:rsidR="005A7B8E" w:rsidRPr="00C10D10">
        <w:rPr>
          <w:szCs w:val="24"/>
        </w:rPr>
        <w:t xml:space="preserve"> be taken into account </w:t>
      </w:r>
      <w:r w:rsidRPr="00C10D10">
        <w:rPr>
          <w:szCs w:val="24"/>
        </w:rPr>
        <w:t xml:space="preserve">is </w:t>
      </w:r>
      <w:r w:rsidR="0035654B">
        <w:rPr>
          <w:szCs w:val="24"/>
        </w:rPr>
        <w:t>international obligations of the State established through binding</w:t>
      </w:r>
      <w:r w:rsidRPr="00C10D10">
        <w:rPr>
          <w:szCs w:val="24"/>
        </w:rPr>
        <w:t xml:space="preserve"> </w:t>
      </w:r>
      <w:r w:rsidR="00157C49" w:rsidRPr="00C10D10">
        <w:rPr>
          <w:szCs w:val="24"/>
        </w:rPr>
        <w:t xml:space="preserve">regional </w:t>
      </w:r>
      <w:r w:rsidRPr="00C10D10">
        <w:rPr>
          <w:szCs w:val="24"/>
        </w:rPr>
        <w:t xml:space="preserve">and </w:t>
      </w:r>
      <w:r w:rsidR="00157C49" w:rsidRPr="00C10D10">
        <w:rPr>
          <w:szCs w:val="24"/>
        </w:rPr>
        <w:t>international conventions</w:t>
      </w:r>
      <w:r w:rsidR="00931E48">
        <w:rPr>
          <w:szCs w:val="24"/>
        </w:rPr>
        <w:t xml:space="preserve"> relat</w:t>
      </w:r>
      <w:r w:rsidR="0035654B">
        <w:rPr>
          <w:szCs w:val="24"/>
        </w:rPr>
        <w:t>ing</w:t>
      </w:r>
      <w:r w:rsidR="00931E48">
        <w:rPr>
          <w:szCs w:val="24"/>
        </w:rPr>
        <w:t xml:space="preserve"> to the protection of people and </w:t>
      </w:r>
      <w:r w:rsidR="0035654B">
        <w:rPr>
          <w:szCs w:val="24"/>
        </w:rPr>
        <w:t xml:space="preserve">protection of </w:t>
      </w:r>
      <w:r w:rsidR="00931E48">
        <w:rPr>
          <w:szCs w:val="24"/>
        </w:rPr>
        <w:t>the environment</w:t>
      </w:r>
      <w:r w:rsidR="00516AC2">
        <w:rPr>
          <w:szCs w:val="24"/>
        </w:rPr>
        <w:t>. C</w:t>
      </w:r>
      <w:r w:rsidR="00157C49" w:rsidRPr="00C10D10">
        <w:rPr>
          <w:szCs w:val="24"/>
        </w:rPr>
        <w:t xml:space="preserve">onventions </w:t>
      </w:r>
      <w:r w:rsidR="0035654B">
        <w:rPr>
          <w:szCs w:val="24"/>
        </w:rPr>
        <w:t>for</w:t>
      </w:r>
      <w:r w:rsidR="0035654B" w:rsidRPr="00C10D10">
        <w:rPr>
          <w:szCs w:val="24"/>
        </w:rPr>
        <w:t xml:space="preserve"> </w:t>
      </w:r>
      <w:r w:rsidRPr="00C10D10">
        <w:rPr>
          <w:szCs w:val="24"/>
        </w:rPr>
        <w:t>prevent</w:t>
      </w:r>
      <w:r w:rsidR="0035654B">
        <w:rPr>
          <w:szCs w:val="24"/>
        </w:rPr>
        <w:t>ion of</w:t>
      </w:r>
      <w:r w:rsidRPr="00C10D10">
        <w:rPr>
          <w:szCs w:val="24"/>
        </w:rPr>
        <w:t xml:space="preserve"> marine environment pollution</w:t>
      </w:r>
      <w:r w:rsidR="00516AC2">
        <w:rPr>
          <w:szCs w:val="24"/>
        </w:rPr>
        <w:t>, such as</w:t>
      </w:r>
      <w:r w:rsidRPr="00C10D10">
        <w:rPr>
          <w:szCs w:val="24"/>
        </w:rPr>
        <w:t xml:space="preserve"> </w:t>
      </w:r>
      <w:r w:rsidR="00516AC2">
        <w:rPr>
          <w:szCs w:val="24"/>
        </w:rPr>
        <w:t>the</w:t>
      </w:r>
      <w:r w:rsidR="00601A1C" w:rsidRPr="00601A1C">
        <w:rPr>
          <w:szCs w:val="24"/>
        </w:rPr>
        <w:t xml:space="preserve"> Convention for the Protection of the Marine Environment of the North-East Atlantic </w:t>
      </w:r>
      <w:r w:rsidR="00601A1C">
        <w:rPr>
          <w:szCs w:val="24"/>
        </w:rPr>
        <w:t>(</w:t>
      </w:r>
      <w:r w:rsidR="0035654B">
        <w:rPr>
          <w:szCs w:val="24"/>
        </w:rPr>
        <w:t xml:space="preserve">the </w:t>
      </w:r>
      <w:r w:rsidRPr="00C10D10">
        <w:rPr>
          <w:szCs w:val="24"/>
        </w:rPr>
        <w:t>OSPAR</w:t>
      </w:r>
      <w:r w:rsidR="00516AC2">
        <w:rPr>
          <w:szCs w:val="24"/>
        </w:rPr>
        <w:t xml:space="preserve"> Convention</w:t>
      </w:r>
      <w:r w:rsidR="00601A1C">
        <w:rPr>
          <w:szCs w:val="24"/>
        </w:rPr>
        <w:t>)</w:t>
      </w:r>
      <w:r w:rsidRPr="00C10D10">
        <w:rPr>
          <w:szCs w:val="24"/>
        </w:rPr>
        <w:t xml:space="preserve">, </w:t>
      </w:r>
      <w:r w:rsidR="00516AC2" w:rsidRPr="00601A1C">
        <w:rPr>
          <w:szCs w:val="24"/>
        </w:rPr>
        <w:t xml:space="preserve">the </w:t>
      </w:r>
      <w:r w:rsidR="00516AC2" w:rsidRPr="00601A1C">
        <w:rPr>
          <w:bCs/>
          <w:lang w:val="en"/>
        </w:rPr>
        <w:t>Convention on the Protection of the Marine Environment of the Baltic Sea Area</w:t>
      </w:r>
      <w:r w:rsidRPr="00C10D10">
        <w:rPr>
          <w:szCs w:val="24"/>
        </w:rPr>
        <w:t xml:space="preserve"> </w:t>
      </w:r>
      <w:r w:rsidR="00162D00">
        <w:rPr>
          <w:szCs w:val="24"/>
        </w:rPr>
        <w:t xml:space="preserve">and the </w:t>
      </w:r>
      <w:r w:rsidR="00601A1C" w:rsidRPr="00601A1C">
        <w:rPr>
          <w:szCs w:val="24"/>
        </w:rPr>
        <w:t xml:space="preserve">Convention on the Prevention of Marine Pollution by Dumping of Wastes and Other Matter </w:t>
      </w:r>
      <w:r w:rsidR="00601A1C">
        <w:rPr>
          <w:szCs w:val="24"/>
        </w:rPr>
        <w:t>(</w:t>
      </w:r>
      <w:r w:rsidR="0035654B">
        <w:rPr>
          <w:szCs w:val="24"/>
        </w:rPr>
        <w:t xml:space="preserve">the </w:t>
      </w:r>
      <w:r w:rsidRPr="00C10D10">
        <w:rPr>
          <w:szCs w:val="24"/>
        </w:rPr>
        <w:t xml:space="preserve">London </w:t>
      </w:r>
      <w:r w:rsidR="00601A1C">
        <w:rPr>
          <w:szCs w:val="24"/>
        </w:rPr>
        <w:t>Convention</w:t>
      </w:r>
      <w:r w:rsidRPr="00C10D10">
        <w:rPr>
          <w:szCs w:val="24"/>
        </w:rPr>
        <w:t>)</w:t>
      </w:r>
      <w:r w:rsidR="00524D3C">
        <w:rPr>
          <w:szCs w:val="24"/>
        </w:rPr>
        <w:t>,</w:t>
      </w:r>
      <w:r w:rsidRPr="00C10D10">
        <w:rPr>
          <w:szCs w:val="24"/>
        </w:rPr>
        <w:t xml:space="preserve"> may </w:t>
      </w:r>
      <w:r w:rsidR="00917BD1">
        <w:rPr>
          <w:szCs w:val="24"/>
        </w:rPr>
        <w:t>impose</w:t>
      </w:r>
      <w:r w:rsidR="00917BD1" w:rsidRPr="00C10D10">
        <w:rPr>
          <w:szCs w:val="24"/>
        </w:rPr>
        <w:t xml:space="preserve"> </w:t>
      </w:r>
      <w:r w:rsidR="00E315C1" w:rsidRPr="00C10D10">
        <w:rPr>
          <w:szCs w:val="24"/>
        </w:rPr>
        <w:t>additional requirements that have to be</w:t>
      </w:r>
      <w:r w:rsidRPr="00C10D10">
        <w:rPr>
          <w:szCs w:val="24"/>
        </w:rPr>
        <w:t xml:space="preserve"> included as part of the optimization process. </w:t>
      </w:r>
      <w:r w:rsidR="00516AC2">
        <w:rPr>
          <w:szCs w:val="24"/>
        </w:rPr>
        <w:t xml:space="preserve">For </w:t>
      </w:r>
      <w:r w:rsidRPr="00C10D10">
        <w:rPr>
          <w:szCs w:val="24"/>
        </w:rPr>
        <w:t>example</w:t>
      </w:r>
      <w:r w:rsidR="00917BD1">
        <w:rPr>
          <w:szCs w:val="24"/>
        </w:rPr>
        <w:t>,</w:t>
      </w:r>
      <w:r w:rsidR="00951FAF" w:rsidRPr="00C10D10">
        <w:rPr>
          <w:szCs w:val="24"/>
        </w:rPr>
        <w:t xml:space="preserve"> Contracting Parties </w:t>
      </w:r>
      <w:r w:rsidR="00601A1C" w:rsidRPr="00C10D10">
        <w:rPr>
          <w:szCs w:val="24"/>
        </w:rPr>
        <w:t xml:space="preserve">to the OSPAR </w:t>
      </w:r>
      <w:r w:rsidR="00F46AE6">
        <w:rPr>
          <w:szCs w:val="24"/>
        </w:rPr>
        <w:t>C</w:t>
      </w:r>
      <w:r w:rsidR="00601A1C" w:rsidRPr="00C10D10">
        <w:rPr>
          <w:szCs w:val="24"/>
        </w:rPr>
        <w:t xml:space="preserve">onvention </w:t>
      </w:r>
      <w:r w:rsidR="00951FAF" w:rsidRPr="00C10D10">
        <w:rPr>
          <w:szCs w:val="24"/>
        </w:rPr>
        <w:t xml:space="preserve">are committed to apply </w:t>
      </w:r>
      <w:r w:rsidR="00726443" w:rsidRPr="00C10D10">
        <w:rPr>
          <w:szCs w:val="24"/>
        </w:rPr>
        <w:t>best available techniques</w:t>
      </w:r>
      <w:r w:rsidR="00951FAF" w:rsidRPr="00C10D10">
        <w:rPr>
          <w:szCs w:val="24"/>
        </w:rPr>
        <w:t xml:space="preserve"> and </w:t>
      </w:r>
      <w:r w:rsidR="00726443" w:rsidRPr="00C10D10">
        <w:rPr>
          <w:szCs w:val="24"/>
        </w:rPr>
        <w:t>best environmental practice</w:t>
      </w:r>
      <w:r w:rsidR="00951FAF" w:rsidRPr="00C10D10">
        <w:rPr>
          <w:szCs w:val="24"/>
        </w:rPr>
        <w:t xml:space="preserve"> including, where appropriate, clean technology, in their efforts to prevent and eliminate marine pollution</w:t>
      </w:r>
      <w:r w:rsidR="00425291" w:rsidRPr="00C10D10">
        <w:rPr>
          <w:szCs w:val="24"/>
        </w:rPr>
        <w:t xml:space="preserve"> due to </w:t>
      </w:r>
      <w:r w:rsidR="0035654B">
        <w:rPr>
          <w:szCs w:val="24"/>
        </w:rPr>
        <w:t xml:space="preserve">discharges from </w:t>
      </w:r>
      <w:r w:rsidR="00425291" w:rsidRPr="00C10D10">
        <w:rPr>
          <w:szCs w:val="24"/>
        </w:rPr>
        <w:t xml:space="preserve">land based installations </w:t>
      </w:r>
      <w:r w:rsidR="00FD41C5" w:rsidRPr="00C10D10">
        <w:rPr>
          <w:szCs w:val="24"/>
        </w:rPr>
        <w:t>[I-1</w:t>
      </w:r>
      <w:r w:rsidR="00F46AE6">
        <w:rPr>
          <w:szCs w:val="24"/>
        </w:rPr>
        <w:t>0</w:t>
      </w:r>
      <w:r w:rsidR="00FD41C5" w:rsidRPr="00C10D10">
        <w:rPr>
          <w:szCs w:val="24"/>
        </w:rPr>
        <w:t>].</w:t>
      </w:r>
    </w:p>
    <w:p w:rsidR="006437BA" w:rsidRPr="00C10D10" w:rsidRDefault="002B4CF2" w:rsidP="008C60BE">
      <w:pPr>
        <w:tabs>
          <w:tab w:val="left" w:pos="851"/>
        </w:tabs>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 xml:space="preserve">USE OF </w:t>
      </w:r>
      <w:r w:rsidR="00F70819" w:rsidRPr="00C10D10">
        <w:rPr>
          <w:rFonts w:ascii="Times New Roman" w:hAnsi="Times New Roman"/>
          <w:sz w:val="24"/>
          <w:szCs w:val="24"/>
        </w:rPr>
        <w:t>BEST AVAILABLE TECHNIQUES</w:t>
      </w:r>
    </w:p>
    <w:p w:rsidR="007B4680" w:rsidRPr="00C10D10" w:rsidRDefault="007B4680"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When properly specified, </w:t>
      </w:r>
      <w:r w:rsidR="00917BD1">
        <w:rPr>
          <w:szCs w:val="24"/>
        </w:rPr>
        <w:t xml:space="preserve">the use of </w:t>
      </w:r>
      <w:r w:rsidRPr="00C10D10">
        <w:rPr>
          <w:szCs w:val="24"/>
        </w:rPr>
        <w:t xml:space="preserve">best available techniques </w:t>
      </w:r>
      <w:r>
        <w:rPr>
          <w:szCs w:val="24"/>
        </w:rPr>
        <w:t>is</w:t>
      </w:r>
      <w:r w:rsidRPr="00C10D10">
        <w:rPr>
          <w:szCs w:val="24"/>
        </w:rPr>
        <w:t xml:space="preserve"> </w:t>
      </w:r>
      <w:r w:rsidR="00F46AE6">
        <w:rPr>
          <w:szCs w:val="24"/>
        </w:rPr>
        <w:t>a</w:t>
      </w:r>
      <w:r w:rsidR="003F041E">
        <w:rPr>
          <w:szCs w:val="24"/>
        </w:rPr>
        <w:t>n</w:t>
      </w:r>
      <w:r w:rsidR="00F46AE6">
        <w:rPr>
          <w:szCs w:val="24"/>
        </w:rPr>
        <w:t xml:space="preserve"> </w:t>
      </w:r>
      <w:r w:rsidR="00BC2626">
        <w:rPr>
          <w:szCs w:val="24"/>
        </w:rPr>
        <w:t xml:space="preserve">effective </w:t>
      </w:r>
      <w:r w:rsidRPr="00C10D10">
        <w:rPr>
          <w:szCs w:val="24"/>
        </w:rPr>
        <w:t>approach to optimization that focuses on techniques and technology</w:t>
      </w:r>
      <w:r w:rsidR="00BC2626">
        <w:rPr>
          <w:szCs w:val="24"/>
        </w:rPr>
        <w:t xml:space="preserve"> for protection</w:t>
      </w:r>
      <w:r w:rsidRPr="00C10D10">
        <w:rPr>
          <w:szCs w:val="24"/>
        </w:rPr>
        <w:t xml:space="preserve">. </w:t>
      </w:r>
      <w:r w:rsidR="009460F9">
        <w:rPr>
          <w:szCs w:val="24"/>
        </w:rPr>
        <w:t xml:space="preserve">The </w:t>
      </w:r>
      <w:r w:rsidRPr="00C10D10">
        <w:t>ICRP recognize</w:t>
      </w:r>
      <w:r w:rsidR="00BC2626">
        <w:t>s</w:t>
      </w:r>
      <w:r w:rsidRPr="00C10D10">
        <w:t xml:space="preserve"> that for the control of radioactive emissions to the environment</w:t>
      </w:r>
      <w:r w:rsidR="00917BD1">
        <w:t>,</w:t>
      </w:r>
      <w:r w:rsidRPr="00C10D10">
        <w:t xml:space="preserve"> best available techniques not entailing excessive cost may be used</w:t>
      </w:r>
      <w:r w:rsidR="00917BD1">
        <w:t xml:space="preserve"> </w:t>
      </w:r>
      <w:r w:rsidR="00F46AE6">
        <w:t>[I-7</w:t>
      </w:r>
      <w:r w:rsidR="00917BD1" w:rsidRPr="00C10D10">
        <w:t>]</w:t>
      </w:r>
      <w:r w:rsidRPr="00C10D10">
        <w:t>.</w:t>
      </w:r>
    </w:p>
    <w:p w:rsidR="005A76C0" w:rsidRPr="00C10D10" w:rsidRDefault="00493883"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lastRenderedPageBreak/>
        <w:t>W</w:t>
      </w:r>
      <w:r w:rsidR="005A76C0" w:rsidRPr="00C10D10">
        <w:rPr>
          <w:szCs w:val="24"/>
        </w:rPr>
        <w:t xml:space="preserve">ithin the context of </w:t>
      </w:r>
      <w:r w:rsidR="00917BD1">
        <w:rPr>
          <w:szCs w:val="24"/>
        </w:rPr>
        <w:t xml:space="preserve">the European Directive on </w:t>
      </w:r>
      <w:r w:rsidR="00917BD1">
        <w:t>i</w:t>
      </w:r>
      <w:r w:rsidR="00601A1C" w:rsidRPr="00C10D10">
        <w:t xml:space="preserve">ntegrated </w:t>
      </w:r>
      <w:r w:rsidR="00917BD1">
        <w:t>p</w:t>
      </w:r>
      <w:r w:rsidR="00601A1C" w:rsidRPr="00C10D10">
        <w:t xml:space="preserve">ollution </w:t>
      </w:r>
      <w:r w:rsidR="00917BD1">
        <w:t>p</w:t>
      </w:r>
      <w:r w:rsidR="00601A1C" w:rsidRPr="00C10D10">
        <w:t xml:space="preserve">revention and </w:t>
      </w:r>
      <w:r w:rsidR="00917BD1">
        <w:t>c</w:t>
      </w:r>
      <w:r w:rsidR="00601A1C" w:rsidRPr="00C10D10">
        <w:t>ontrol</w:t>
      </w:r>
      <w:r w:rsidR="002C71F9">
        <w:t xml:space="preserve"> [I-11]</w:t>
      </w:r>
      <w:r w:rsidR="007B4680">
        <w:rPr>
          <w:rStyle w:val="FootnoteReference"/>
        </w:rPr>
        <w:footnoteReference w:id="27"/>
      </w:r>
      <w:r w:rsidR="00601A1C">
        <w:t xml:space="preserve"> </w:t>
      </w:r>
      <w:r w:rsidR="005A76C0" w:rsidRPr="00C10D10">
        <w:rPr>
          <w:szCs w:val="24"/>
        </w:rPr>
        <w:t xml:space="preserve">, </w:t>
      </w:r>
      <w:r w:rsidR="00A35A58">
        <w:rPr>
          <w:szCs w:val="24"/>
        </w:rPr>
        <w:t>the term ‘</w:t>
      </w:r>
      <w:r w:rsidR="00E315C1" w:rsidRPr="00C10D10">
        <w:rPr>
          <w:szCs w:val="24"/>
        </w:rPr>
        <w:t>best available techniques</w:t>
      </w:r>
      <w:r w:rsidR="00A35A58">
        <w:rPr>
          <w:szCs w:val="24"/>
        </w:rPr>
        <w:t>’</w:t>
      </w:r>
      <w:r w:rsidR="00E315C1" w:rsidRPr="00C10D10">
        <w:rPr>
          <w:szCs w:val="24"/>
        </w:rPr>
        <w:t xml:space="preserve"> is</w:t>
      </w:r>
      <w:r w:rsidR="005A76C0" w:rsidRPr="00C10D10">
        <w:rPr>
          <w:szCs w:val="24"/>
        </w:rPr>
        <w:t xml:space="preserve"> </w:t>
      </w:r>
      <w:r w:rsidR="00FD41C5">
        <w:rPr>
          <w:szCs w:val="24"/>
        </w:rPr>
        <w:t>defined</w:t>
      </w:r>
      <w:r w:rsidR="00162D00">
        <w:rPr>
          <w:szCs w:val="24"/>
        </w:rPr>
        <w:t xml:space="preserve"> </w:t>
      </w:r>
      <w:r w:rsidR="005A76C0" w:rsidRPr="00C10D10">
        <w:rPr>
          <w:szCs w:val="24"/>
        </w:rPr>
        <w:t>as follows:</w:t>
      </w:r>
    </w:p>
    <w:p w:rsidR="005A76C0" w:rsidRPr="00C10D10" w:rsidRDefault="005A76C0" w:rsidP="0091132F">
      <w:pPr>
        <w:pStyle w:val="ListParagraph"/>
        <w:numPr>
          <w:ilvl w:val="0"/>
          <w:numId w:val="21"/>
        </w:numPr>
        <w:autoSpaceDE w:val="0"/>
        <w:autoSpaceDN w:val="0"/>
        <w:adjustRightInd w:val="0"/>
        <w:ind w:left="567" w:hanging="567"/>
        <w:contextualSpacing w:val="0"/>
        <w:jc w:val="both"/>
        <w:rPr>
          <w:szCs w:val="24"/>
        </w:rPr>
      </w:pPr>
      <w:r w:rsidRPr="00C10D10">
        <w:rPr>
          <w:szCs w:val="24"/>
        </w:rPr>
        <w:t>‘best’</w:t>
      </w:r>
      <w:r w:rsidR="00917BD1">
        <w:rPr>
          <w:szCs w:val="24"/>
        </w:rPr>
        <w:t>,</w:t>
      </w:r>
      <w:r w:rsidRPr="00C10D10">
        <w:rPr>
          <w:szCs w:val="24"/>
        </w:rPr>
        <w:t xml:space="preserve"> </w:t>
      </w:r>
      <w:r w:rsidR="00917BD1">
        <w:rPr>
          <w:szCs w:val="24"/>
        </w:rPr>
        <w:t xml:space="preserve">as used </w:t>
      </w:r>
      <w:r w:rsidRPr="00C10D10">
        <w:rPr>
          <w:szCs w:val="24"/>
        </w:rPr>
        <w:t>in relation to techniques, means the most effective in achieving a high general level of protection of the environment as a whole;</w:t>
      </w:r>
    </w:p>
    <w:p w:rsidR="005A76C0" w:rsidRPr="00C10D10" w:rsidRDefault="005A76C0" w:rsidP="0091132F">
      <w:pPr>
        <w:pStyle w:val="ListParagraph"/>
        <w:numPr>
          <w:ilvl w:val="0"/>
          <w:numId w:val="21"/>
        </w:numPr>
        <w:autoSpaceDE w:val="0"/>
        <w:autoSpaceDN w:val="0"/>
        <w:adjustRightInd w:val="0"/>
        <w:ind w:left="567" w:hanging="567"/>
        <w:contextualSpacing w:val="0"/>
        <w:jc w:val="both"/>
        <w:rPr>
          <w:szCs w:val="24"/>
        </w:rPr>
      </w:pPr>
      <w:r w:rsidRPr="00C10D10">
        <w:rPr>
          <w:szCs w:val="24"/>
        </w:rPr>
        <w:t>‘available techniques’ mean</w:t>
      </w:r>
      <w:r w:rsidR="003B5840">
        <w:rPr>
          <w:szCs w:val="24"/>
        </w:rPr>
        <w:t>s</w:t>
      </w:r>
      <w:r w:rsidRPr="00C10D10">
        <w:rPr>
          <w:szCs w:val="24"/>
        </w:rPr>
        <w:t xml:space="preserve"> those techniques developed on a scale </w:t>
      </w:r>
      <w:r w:rsidR="00917BD1">
        <w:rPr>
          <w:szCs w:val="24"/>
        </w:rPr>
        <w:t>that</w:t>
      </w:r>
      <w:r w:rsidR="00917BD1" w:rsidRPr="00C10D10">
        <w:rPr>
          <w:szCs w:val="24"/>
        </w:rPr>
        <w:t xml:space="preserve"> </w:t>
      </w:r>
      <w:r w:rsidRPr="00C10D10">
        <w:rPr>
          <w:szCs w:val="24"/>
        </w:rPr>
        <w:t>allows implementation in the relevant class of activity under economically and technically viable conditions, taking into consideration the costs and advantages, whether or not the techniques are used or produced within the State, as long as they are reasonably accessible to the person carrying out the activity;</w:t>
      </w:r>
    </w:p>
    <w:p w:rsidR="005A76C0" w:rsidRPr="00C10D10" w:rsidRDefault="005A76C0" w:rsidP="0091132F">
      <w:pPr>
        <w:pStyle w:val="ListParagraph"/>
        <w:numPr>
          <w:ilvl w:val="0"/>
          <w:numId w:val="21"/>
        </w:numPr>
        <w:tabs>
          <w:tab w:val="clear" w:pos="567"/>
          <w:tab w:val="clear" w:pos="1134"/>
        </w:tabs>
        <w:autoSpaceDE w:val="0"/>
        <w:autoSpaceDN w:val="0"/>
        <w:adjustRightInd w:val="0"/>
        <w:ind w:left="567" w:hanging="567"/>
        <w:contextualSpacing w:val="0"/>
        <w:jc w:val="both"/>
        <w:rPr>
          <w:szCs w:val="24"/>
        </w:rPr>
      </w:pPr>
      <w:r w:rsidRPr="00C10D10">
        <w:rPr>
          <w:szCs w:val="24"/>
        </w:rPr>
        <w:t>‘techniques’ includes both the technology used and the way in which the installation is designed, built, managed, maintained, operated and decommissioned.</w:t>
      </w:r>
    </w:p>
    <w:p w:rsidR="0054201E" w:rsidRPr="00C10D10" w:rsidRDefault="0054201E" w:rsidP="0054201E">
      <w:pPr>
        <w:tabs>
          <w:tab w:val="left" w:pos="851"/>
        </w:tabs>
        <w:autoSpaceDE w:val="0"/>
        <w:autoSpaceDN w:val="0"/>
        <w:adjustRightInd w:val="0"/>
        <w:spacing w:after="120" w:line="360" w:lineRule="auto"/>
        <w:jc w:val="both"/>
        <w:rPr>
          <w:rFonts w:ascii="Times New Roman" w:hAnsi="Times New Roman"/>
          <w:sz w:val="24"/>
          <w:szCs w:val="24"/>
        </w:rPr>
      </w:pPr>
      <w:r w:rsidRPr="00C10D10">
        <w:rPr>
          <w:rFonts w:ascii="Times New Roman" w:hAnsi="Times New Roman"/>
          <w:sz w:val="24"/>
          <w:szCs w:val="24"/>
        </w:rPr>
        <w:t>CHARACTERIZATION OF DISCHARGES</w:t>
      </w:r>
    </w:p>
    <w:p w:rsidR="0054201E" w:rsidRPr="00C10D10" w:rsidRDefault="0054201E" w:rsidP="0054201E">
      <w:pPr>
        <w:pStyle w:val="ListParagraph"/>
        <w:numPr>
          <w:ilvl w:val="0"/>
          <w:numId w:val="20"/>
        </w:numPr>
        <w:tabs>
          <w:tab w:val="left" w:pos="851"/>
        </w:tabs>
        <w:autoSpaceDE w:val="0"/>
        <w:autoSpaceDN w:val="0"/>
        <w:adjustRightInd w:val="0"/>
        <w:contextualSpacing w:val="0"/>
        <w:jc w:val="both"/>
        <w:rPr>
          <w:szCs w:val="24"/>
        </w:rPr>
      </w:pPr>
      <w:r w:rsidRPr="00C10D10">
        <w:rPr>
          <w:szCs w:val="24"/>
        </w:rPr>
        <w:t>As outlined in para</w:t>
      </w:r>
      <w:r w:rsidR="00917BD1">
        <w:rPr>
          <w:szCs w:val="24"/>
        </w:rPr>
        <w:t>s</w:t>
      </w:r>
      <w:r w:rsidRPr="00C10D10">
        <w:rPr>
          <w:szCs w:val="24"/>
        </w:rPr>
        <w:t xml:space="preserve"> 5.</w:t>
      </w:r>
      <w:r w:rsidR="0097701C">
        <w:rPr>
          <w:szCs w:val="24"/>
        </w:rPr>
        <w:t>20</w:t>
      </w:r>
      <w:r w:rsidRPr="00C10D10">
        <w:rPr>
          <w:szCs w:val="24"/>
        </w:rPr>
        <w:t xml:space="preserve"> to 5.</w:t>
      </w:r>
      <w:r w:rsidR="0097701C">
        <w:rPr>
          <w:szCs w:val="24"/>
        </w:rPr>
        <w:t>24</w:t>
      </w:r>
      <w:r w:rsidR="00463B3F">
        <w:rPr>
          <w:szCs w:val="24"/>
        </w:rPr>
        <w:t xml:space="preserve"> </w:t>
      </w:r>
      <w:r w:rsidRPr="00C10D10">
        <w:rPr>
          <w:szCs w:val="24"/>
        </w:rPr>
        <w:t xml:space="preserve">of this Safety Guide, once the need </w:t>
      </w:r>
      <w:r w:rsidR="00917BD1">
        <w:rPr>
          <w:szCs w:val="24"/>
        </w:rPr>
        <w:t>for</w:t>
      </w:r>
      <w:r w:rsidR="00917BD1" w:rsidRPr="00C10D10">
        <w:rPr>
          <w:szCs w:val="24"/>
        </w:rPr>
        <w:t xml:space="preserve"> </w:t>
      </w:r>
      <w:r w:rsidRPr="00C10D10">
        <w:rPr>
          <w:szCs w:val="24"/>
        </w:rPr>
        <w:t xml:space="preserve">an authorization </w:t>
      </w:r>
      <w:r w:rsidR="0097701C">
        <w:rPr>
          <w:szCs w:val="24"/>
        </w:rPr>
        <w:t>has been</w:t>
      </w:r>
      <w:r w:rsidR="0097701C" w:rsidRPr="00C10D10">
        <w:rPr>
          <w:szCs w:val="24"/>
        </w:rPr>
        <w:t xml:space="preserve"> </w:t>
      </w:r>
      <w:r w:rsidRPr="00C10D10">
        <w:rPr>
          <w:szCs w:val="24"/>
        </w:rPr>
        <w:t>confirmed</w:t>
      </w:r>
      <w:r w:rsidR="00917BD1">
        <w:rPr>
          <w:szCs w:val="24"/>
        </w:rPr>
        <w:t>,</w:t>
      </w:r>
      <w:r w:rsidRPr="00C10D10">
        <w:rPr>
          <w:szCs w:val="24"/>
        </w:rPr>
        <w:t xml:space="preserve"> the applicant should characterize the nature of </w:t>
      </w:r>
      <w:r w:rsidR="0097701C">
        <w:rPr>
          <w:szCs w:val="24"/>
        </w:rPr>
        <w:t>the</w:t>
      </w:r>
      <w:r w:rsidR="0097701C" w:rsidRPr="00C10D10">
        <w:rPr>
          <w:szCs w:val="24"/>
        </w:rPr>
        <w:t xml:space="preserve"> </w:t>
      </w:r>
      <w:r w:rsidRPr="00C10D10">
        <w:rPr>
          <w:szCs w:val="24"/>
        </w:rPr>
        <w:t>discharge</w:t>
      </w:r>
      <w:r w:rsidR="0097701C">
        <w:rPr>
          <w:szCs w:val="24"/>
        </w:rPr>
        <w:t>s</w:t>
      </w:r>
      <w:r w:rsidRPr="00C10D10">
        <w:rPr>
          <w:szCs w:val="24"/>
        </w:rPr>
        <w:t>. For instance, this would be in terms of:</w:t>
      </w:r>
    </w:p>
    <w:p w:rsidR="0054201E" w:rsidRPr="00340415" w:rsidRDefault="0097701C" w:rsidP="0054201E">
      <w:pPr>
        <w:pStyle w:val="ListParagraph"/>
        <w:numPr>
          <w:ilvl w:val="0"/>
          <w:numId w:val="4"/>
        </w:numPr>
        <w:autoSpaceDE w:val="0"/>
        <w:autoSpaceDN w:val="0"/>
        <w:adjustRightInd w:val="0"/>
        <w:ind w:left="567" w:hanging="567"/>
        <w:contextualSpacing w:val="0"/>
        <w:jc w:val="both"/>
        <w:rPr>
          <w:szCs w:val="24"/>
        </w:rPr>
      </w:pPr>
      <w:r w:rsidRPr="00340415">
        <w:rPr>
          <w:szCs w:val="24"/>
        </w:rPr>
        <w:t>The i</w:t>
      </w:r>
      <w:r w:rsidR="0054201E" w:rsidRPr="00340415">
        <w:rPr>
          <w:szCs w:val="24"/>
        </w:rPr>
        <w:t>ndustrial process or activity and assumptions</w:t>
      </w:r>
      <w:r w:rsidR="00340415" w:rsidRPr="00340415">
        <w:rPr>
          <w:szCs w:val="24"/>
        </w:rPr>
        <w:t xml:space="preserve"> made </w:t>
      </w:r>
      <w:r w:rsidR="00340415">
        <w:rPr>
          <w:szCs w:val="24"/>
        </w:rPr>
        <w:t>about the discharges it generates</w:t>
      </w:r>
      <w:r w:rsidR="0054201E" w:rsidRPr="00340415">
        <w:rPr>
          <w:szCs w:val="24"/>
        </w:rPr>
        <w:t>;</w:t>
      </w:r>
    </w:p>
    <w:p w:rsidR="0054201E" w:rsidRPr="00C10D10" w:rsidRDefault="0097701C" w:rsidP="0054201E">
      <w:pPr>
        <w:pStyle w:val="ListParagraph"/>
        <w:numPr>
          <w:ilvl w:val="0"/>
          <w:numId w:val="4"/>
        </w:numPr>
        <w:autoSpaceDE w:val="0"/>
        <w:autoSpaceDN w:val="0"/>
        <w:adjustRightInd w:val="0"/>
        <w:ind w:left="567" w:hanging="567"/>
        <w:contextualSpacing w:val="0"/>
        <w:jc w:val="both"/>
        <w:rPr>
          <w:szCs w:val="24"/>
        </w:rPr>
      </w:pPr>
      <w:r>
        <w:rPr>
          <w:szCs w:val="24"/>
        </w:rPr>
        <w:t>The r</w:t>
      </w:r>
      <w:r w:rsidR="0054201E" w:rsidRPr="00C10D10">
        <w:rPr>
          <w:szCs w:val="24"/>
        </w:rPr>
        <w:t>adionuclide composition;</w:t>
      </w:r>
    </w:p>
    <w:p w:rsidR="0054201E" w:rsidRPr="00C10D10" w:rsidRDefault="0097701C" w:rsidP="0054201E">
      <w:pPr>
        <w:pStyle w:val="ListParagraph"/>
        <w:numPr>
          <w:ilvl w:val="0"/>
          <w:numId w:val="4"/>
        </w:numPr>
        <w:autoSpaceDE w:val="0"/>
        <w:autoSpaceDN w:val="0"/>
        <w:adjustRightInd w:val="0"/>
        <w:ind w:left="567" w:hanging="567"/>
        <w:contextualSpacing w:val="0"/>
        <w:jc w:val="both"/>
        <w:rPr>
          <w:szCs w:val="24"/>
        </w:rPr>
      </w:pPr>
      <w:r>
        <w:rPr>
          <w:szCs w:val="24"/>
        </w:rPr>
        <w:t>The c</w:t>
      </w:r>
      <w:r w:rsidR="0054201E" w:rsidRPr="00C10D10">
        <w:rPr>
          <w:szCs w:val="24"/>
        </w:rPr>
        <w:t>hemical and physical form of the radionuclides (related to behaviour in the environment);</w:t>
      </w:r>
    </w:p>
    <w:p w:rsidR="0054201E" w:rsidRPr="00C10D10" w:rsidRDefault="0054201E" w:rsidP="0054201E">
      <w:pPr>
        <w:pStyle w:val="ListParagraph"/>
        <w:numPr>
          <w:ilvl w:val="0"/>
          <w:numId w:val="4"/>
        </w:numPr>
        <w:autoSpaceDE w:val="0"/>
        <w:autoSpaceDN w:val="0"/>
        <w:adjustRightInd w:val="0"/>
        <w:ind w:left="567" w:hanging="567"/>
        <w:contextualSpacing w:val="0"/>
        <w:jc w:val="both"/>
        <w:rPr>
          <w:szCs w:val="24"/>
        </w:rPr>
      </w:pPr>
      <w:r w:rsidRPr="00C10D10">
        <w:rPr>
          <w:szCs w:val="24"/>
        </w:rPr>
        <w:t xml:space="preserve">Routes of discharge and discharge points, including </w:t>
      </w:r>
      <w:r w:rsidR="00340415">
        <w:rPr>
          <w:szCs w:val="24"/>
        </w:rPr>
        <w:t xml:space="preserve">aspects </w:t>
      </w:r>
      <w:r w:rsidRPr="00C10D10">
        <w:rPr>
          <w:szCs w:val="24"/>
        </w:rPr>
        <w:t>such as stack height, exit velocity, exit temperature, maximum and average discharge rates;</w:t>
      </w:r>
    </w:p>
    <w:p w:rsidR="0054201E" w:rsidRPr="00C10D10" w:rsidRDefault="0054201E" w:rsidP="0054201E">
      <w:pPr>
        <w:pStyle w:val="ListParagraph"/>
        <w:numPr>
          <w:ilvl w:val="0"/>
          <w:numId w:val="4"/>
        </w:numPr>
        <w:autoSpaceDE w:val="0"/>
        <w:autoSpaceDN w:val="0"/>
        <w:adjustRightInd w:val="0"/>
        <w:ind w:left="567" w:hanging="567"/>
        <w:contextualSpacing w:val="0"/>
        <w:jc w:val="both"/>
        <w:rPr>
          <w:szCs w:val="24"/>
        </w:rPr>
      </w:pPr>
      <w:r w:rsidRPr="00C10D10">
        <w:rPr>
          <w:szCs w:val="24"/>
        </w:rPr>
        <w:t>T</w:t>
      </w:r>
      <w:r w:rsidR="0097701C">
        <w:rPr>
          <w:szCs w:val="24"/>
        </w:rPr>
        <w:t>he t</w:t>
      </w:r>
      <w:r w:rsidRPr="00C10D10">
        <w:rPr>
          <w:szCs w:val="24"/>
        </w:rPr>
        <w:t xml:space="preserve">otal amount of </w:t>
      </w:r>
      <w:r w:rsidR="0097701C">
        <w:rPr>
          <w:szCs w:val="24"/>
        </w:rPr>
        <w:t xml:space="preserve">the </w:t>
      </w:r>
      <w:r w:rsidRPr="00C10D10">
        <w:rPr>
          <w:szCs w:val="24"/>
        </w:rPr>
        <w:t xml:space="preserve">various radionuclides expected to be discharged in one year; </w:t>
      </w:r>
    </w:p>
    <w:p w:rsidR="0054201E" w:rsidRPr="00C10D10" w:rsidRDefault="0054201E" w:rsidP="0054201E">
      <w:pPr>
        <w:pStyle w:val="ListParagraph"/>
        <w:numPr>
          <w:ilvl w:val="0"/>
          <w:numId w:val="4"/>
        </w:numPr>
        <w:autoSpaceDE w:val="0"/>
        <w:autoSpaceDN w:val="0"/>
        <w:adjustRightInd w:val="0"/>
        <w:ind w:left="567" w:hanging="567"/>
        <w:contextualSpacing w:val="0"/>
        <w:jc w:val="both"/>
        <w:rPr>
          <w:szCs w:val="24"/>
        </w:rPr>
      </w:pPr>
      <w:r w:rsidRPr="00C10D10">
        <w:rPr>
          <w:szCs w:val="24"/>
        </w:rPr>
        <w:t xml:space="preserve">Expected time pattern of discharge, including the need for and likelihood of </w:t>
      </w:r>
      <w:r w:rsidR="00340415">
        <w:rPr>
          <w:szCs w:val="24"/>
        </w:rPr>
        <w:t>increased</w:t>
      </w:r>
      <w:r w:rsidR="00340415" w:rsidRPr="00C10D10">
        <w:rPr>
          <w:szCs w:val="24"/>
        </w:rPr>
        <w:t xml:space="preserve"> </w:t>
      </w:r>
      <w:r w:rsidRPr="00C10D10">
        <w:rPr>
          <w:szCs w:val="24"/>
        </w:rPr>
        <w:t>short</w:t>
      </w:r>
      <w:r w:rsidR="0097701C">
        <w:rPr>
          <w:szCs w:val="24"/>
        </w:rPr>
        <w:t xml:space="preserve"> </w:t>
      </w:r>
      <w:r w:rsidRPr="00C10D10">
        <w:rPr>
          <w:szCs w:val="24"/>
        </w:rPr>
        <w:t>term discharges</w:t>
      </w:r>
      <w:r w:rsidR="000808C8">
        <w:rPr>
          <w:szCs w:val="24"/>
        </w:rPr>
        <w:t xml:space="preserve"> if </w:t>
      </w:r>
      <w:r w:rsidR="00295269">
        <w:rPr>
          <w:szCs w:val="24"/>
        </w:rPr>
        <w:t xml:space="preserve">a </w:t>
      </w:r>
      <w:r w:rsidR="000808C8">
        <w:rPr>
          <w:szCs w:val="24"/>
        </w:rPr>
        <w:t>constant release rate cannot be assumed.</w:t>
      </w:r>
    </w:p>
    <w:p w:rsidR="0054201E" w:rsidRPr="00C10D10" w:rsidRDefault="0054201E" w:rsidP="000808C8">
      <w:pPr>
        <w:pStyle w:val="ListParagraph"/>
        <w:autoSpaceDE w:val="0"/>
        <w:autoSpaceDN w:val="0"/>
        <w:adjustRightInd w:val="0"/>
        <w:contextualSpacing w:val="0"/>
        <w:jc w:val="both"/>
        <w:rPr>
          <w:szCs w:val="24"/>
        </w:rPr>
      </w:pPr>
    </w:p>
    <w:p w:rsidR="0054201E" w:rsidRPr="00C10D10" w:rsidRDefault="0054201E" w:rsidP="0054201E">
      <w:pPr>
        <w:pStyle w:val="ListParagraph"/>
        <w:numPr>
          <w:ilvl w:val="0"/>
          <w:numId w:val="20"/>
        </w:numPr>
        <w:tabs>
          <w:tab w:val="left" w:pos="851"/>
        </w:tabs>
        <w:autoSpaceDE w:val="0"/>
        <w:autoSpaceDN w:val="0"/>
        <w:adjustRightInd w:val="0"/>
        <w:contextualSpacing w:val="0"/>
        <w:jc w:val="both"/>
        <w:rPr>
          <w:szCs w:val="24"/>
        </w:rPr>
      </w:pPr>
      <w:r w:rsidRPr="00C10D10">
        <w:rPr>
          <w:szCs w:val="24"/>
        </w:rPr>
        <w:lastRenderedPageBreak/>
        <w:t xml:space="preserve">For existing </w:t>
      </w:r>
      <w:r>
        <w:rPr>
          <w:szCs w:val="24"/>
        </w:rPr>
        <w:t xml:space="preserve">regulated </w:t>
      </w:r>
      <w:r w:rsidRPr="00C10D10">
        <w:rPr>
          <w:szCs w:val="24"/>
        </w:rPr>
        <w:t>facilities, information</w:t>
      </w:r>
      <w:r w:rsidR="00C505DE">
        <w:rPr>
          <w:szCs w:val="24"/>
        </w:rPr>
        <w:t xml:space="preserve"> </w:t>
      </w:r>
      <w:r>
        <w:rPr>
          <w:szCs w:val="24"/>
        </w:rPr>
        <w:t xml:space="preserve">on the characteristics of actual discharges </w:t>
      </w:r>
      <w:r w:rsidR="00340415">
        <w:rPr>
          <w:szCs w:val="24"/>
        </w:rPr>
        <w:t xml:space="preserve">will </w:t>
      </w:r>
      <w:r w:rsidRPr="00C10D10">
        <w:rPr>
          <w:szCs w:val="24"/>
        </w:rPr>
        <w:t xml:space="preserve">already exist </w:t>
      </w:r>
      <w:r w:rsidR="000808C8">
        <w:rPr>
          <w:szCs w:val="24"/>
        </w:rPr>
        <w:t xml:space="preserve">as a result of the monitoring programmes </w:t>
      </w:r>
      <w:r w:rsidR="00340415">
        <w:rPr>
          <w:szCs w:val="24"/>
        </w:rPr>
        <w:t>and these</w:t>
      </w:r>
      <w:r w:rsidR="00340415" w:rsidRPr="00C10D10">
        <w:rPr>
          <w:szCs w:val="24"/>
        </w:rPr>
        <w:t xml:space="preserve"> </w:t>
      </w:r>
      <w:r w:rsidR="00463B3F">
        <w:rPr>
          <w:szCs w:val="24"/>
        </w:rPr>
        <w:t xml:space="preserve">may </w:t>
      </w:r>
      <w:r w:rsidRPr="00C10D10">
        <w:rPr>
          <w:szCs w:val="24"/>
        </w:rPr>
        <w:t xml:space="preserve">be </w:t>
      </w:r>
      <w:r>
        <w:rPr>
          <w:szCs w:val="24"/>
        </w:rPr>
        <w:t xml:space="preserve">considered </w:t>
      </w:r>
      <w:r w:rsidRPr="00C10D10">
        <w:rPr>
          <w:szCs w:val="24"/>
        </w:rPr>
        <w:t>to support th</w:t>
      </w:r>
      <w:r w:rsidR="00D9655F">
        <w:rPr>
          <w:szCs w:val="24"/>
        </w:rPr>
        <w:t>e</w:t>
      </w:r>
      <w:r w:rsidRPr="00C10D10">
        <w:rPr>
          <w:szCs w:val="24"/>
        </w:rPr>
        <w:t xml:space="preserve"> process</w:t>
      </w:r>
      <w:r w:rsidR="00D9655F">
        <w:rPr>
          <w:szCs w:val="24"/>
        </w:rPr>
        <w:t xml:space="preserve"> of periodic safety</w:t>
      </w:r>
      <w:r w:rsidR="00340415">
        <w:rPr>
          <w:szCs w:val="24"/>
        </w:rPr>
        <w:t xml:space="preserve"> review</w:t>
      </w:r>
      <w:r w:rsidR="00D9655F">
        <w:rPr>
          <w:szCs w:val="24"/>
        </w:rPr>
        <w:t xml:space="preserve"> </w:t>
      </w:r>
      <w:r w:rsidRPr="00C10D10">
        <w:rPr>
          <w:szCs w:val="24"/>
        </w:rPr>
        <w:t xml:space="preserve">[I-8]. For new or previously unregulated facilities, it may be possible to </w:t>
      </w:r>
      <w:r>
        <w:rPr>
          <w:szCs w:val="24"/>
        </w:rPr>
        <w:t>characterize the discharges</w:t>
      </w:r>
      <w:r w:rsidRPr="00C10D10">
        <w:rPr>
          <w:szCs w:val="24"/>
        </w:rPr>
        <w:t xml:space="preserve"> on</w:t>
      </w:r>
      <w:r w:rsidR="00340415">
        <w:rPr>
          <w:szCs w:val="24"/>
        </w:rPr>
        <w:t xml:space="preserve"> the basis of</w:t>
      </w:r>
      <w:r w:rsidRPr="00C10D10">
        <w:rPr>
          <w:szCs w:val="24"/>
        </w:rPr>
        <w:t xml:space="preserve"> knowledge of similar facilities elsewhere</w:t>
      </w:r>
      <w:r w:rsidR="000808C8">
        <w:rPr>
          <w:szCs w:val="24"/>
        </w:rPr>
        <w:t xml:space="preserve"> or engineer</w:t>
      </w:r>
      <w:r w:rsidR="00295269">
        <w:rPr>
          <w:szCs w:val="24"/>
        </w:rPr>
        <w:t>ing</w:t>
      </w:r>
      <w:r w:rsidR="000808C8">
        <w:rPr>
          <w:szCs w:val="24"/>
        </w:rPr>
        <w:t xml:space="preserve"> analysis</w:t>
      </w:r>
      <w:r w:rsidRPr="00C10D10">
        <w:rPr>
          <w:szCs w:val="24"/>
        </w:rPr>
        <w:t xml:space="preserve">. In either case, it is generally necessary to understand the way in which particular effluents are produced to </w:t>
      </w:r>
      <w:r>
        <w:rPr>
          <w:szCs w:val="24"/>
        </w:rPr>
        <w:t>determine</w:t>
      </w:r>
      <w:r w:rsidRPr="00C10D10">
        <w:rPr>
          <w:szCs w:val="24"/>
        </w:rPr>
        <w:t xml:space="preserve"> the relationship between </w:t>
      </w:r>
      <w:r w:rsidR="00C50A46">
        <w:rPr>
          <w:szCs w:val="24"/>
        </w:rPr>
        <w:t xml:space="preserve">the </w:t>
      </w:r>
      <w:r w:rsidRPr="00C10D10">
        <w:rPr>
          <w:szCs w:val="24"/>
        </w:rPr>
        <w:t>discharge</w:t>
      </w:r>
      <w:r w:rsidR="00C50A46">
        <w:rPr>
          <w:szCs w:val="24"/>
        </w:rPr>
        <w:t>s</w:t>
      </w:r>
      <w:r w:rsidRPr="00C10D10">
        <w:rPr>
          <w:szCs w:val="24"/>
        </w:rPr>
        <w:t xml:space="preserve"> and operational parameters, such as </w:t>
      </w:r>
      <w:r>
        <w:rPr>
          <w:szCs w:val="24"/>
        </w:rPr>
        <w:t xml:space="preserve">energy </w:t>
      </w:r>
      <w:r w:rsidRPr="00C10D10">
        <w:rPr>
          <w:szCs w:val="24"/>
        </w:rPr>
        <w:t>production figures</w:t>
      </w:r>
      <w:r>
        <w:rPr>
          <w:szCs w:val="24"/>
        </w:rPr>
        <w:t xml:space="preserve"> </w:t>
      </w:r>
      <w:r w:rsidR="00C50A46">
        <w:rPr>
          <w:szCs w:val="24"/>
        </w:rPr>
        <w:t>for</w:t>
      </w:r>
      <w:r>
        <w:rPr>
          <w:szCs w:val="24"/>
        </w:rPr>
        <w:t xml:space="preserve"> nuclear power plants</w:t>
      </w:r>
      <w:r w:rsidRPr="00C10D10">
        <w:rPr>
          <w:szCs w:val="24"/>
        </w:rPr>
        <w:t xml:space="preserve">, and the possible effect that waste treatment or </w:t>
      </w:r>
      <w:r w:rsidR="00C50A46">
        <w:rPr>
          <w:szCs w:val="24"/>
        </w:rPr>
        <w:t xml:space="preserve">waste </w:t>
      </w:r>
      <w:r w:rsidRPr="00C10D10">
        <w:rPr>
          <w:szCs w:val="24"/>
        </w:rPr>
        <w:t>abatement techniques may have on the amount discharged.</w:t>
      </w:r>
    </w:p>
    <w:p w:rsidR="00F82C0C" w:rsidRPr="00C10D10" w:rsidRDefault="00F82C0C" w:rsidP="000808C8">
      <w:pPr>
        <w:pStyle w:val="ListParagraph"/>
        <w:autoSpaceDE w:val="0"/>
        <w:autoSpaceDN w:val="0"/>
        <w:adjustRightInd w:val="0"/>
        <w:contextualSpacing w:val="0"/>
        <w:jc w:val="both"/>
        <w:rPr>
          <w:szCs w:val="24"/>
        </w:rPr>
      </w:pPr>
    </w:p>
    <w:p w:rsidR="003964D9" w:rsidRPr="00C10D10" w:rsidRDefault="00F70819" w:rsidP="008C60BE">
      <w:pPr>
        <w:tabs>
          <w:tab w:val="left" w:pos="567"/>
        </w:tabs>
        <w:autoSpaceDE w:val="0"/>
        <w:autoSpaceDN w:val="0"/>
        <w:adjustRightInd w:val="0"/>
        <w:spacing w:after="120" w:line="360" w:lineRule="auto"/>
        <w:jc w:val="both"/>
        <w:rPr>
          <w:rFonts w:ascii="Times New Roman" w:hAnsi="Times New Roman"/>
          <w:sz w:val="24"/>
          <w:szCs w:val="24"/>
        </w:rPr>
      </w:pPr>
      <w:r w:rsidRPr="00C10D10">
        <w:rPr>
          <w:rFonts w:ascii="Times New Roman" w:hAnsi="Times New Roman"/>
          <w:sz w:val="24"/>
          <w:szCs w:val="24"/>
        </w:rPr>
        <w:t xml:space="preserve">FORMS OF </w:t>
      </w:r>
      <w:r w:rsidR="00C263E9">
        <w:rPr>
          <w:rFonts w:ascii="Times New Roman" w:hAnsi="Times New Roman"/>
          <w:sz w:val="24"/>
          <w:szCs w:val="24"/>
        </w:rPr>
        <w:t xml:space="preserve">THE AUTHORIZATION FOR </w:t>
      </w:r>
      <w:r w:rsidRPr="00C10D10">
        <w:rPr>
          <w:rFonts w:ascii="Times New Roman" w:hAnsi="Times New Roman"/>
          <w:sz w:val="24"/>
          <w:szCs w:val="24"/>
        </w:rPr>
        <w:t>DISCHARGE</w:t>
      </w:r>
      <w:r w:rsidR="00C263E9">
        <w:rPr>
          <w:rFonts w:ascii="Times New Roman" w:hAnsi="Times New Roman"/>
          <w:sz w:val="24"/>
          <w:szCs w:val="24"/>
        </w:rPr>
        <w:t>S</w:t>
      </w:r>
      <w:r w:rsidRPr="00C10D10">
        <w:rPr>
          <w:rFonts w:ascii="Times New Roman" w:hAnsi="Times New Roman"/>
          <w:sz w:val="24"/>
          <w:szCs w:val="24"/>
        </w:rPr>
        <w:t xml:space="preserve"> </w:t>
      </w:r>
    </w:p>
    <w:p w:rsidR="009D0E68" w:rsidRPr="00C10D10" w:rsidRDefault="009D0E68" w:rsidP="0091132F">
      <w:pPr>
        <w:pStyle w:val="ListParagraph"/>
        <w:numPr>
          <w:ilvl w:val="0"/>
          <w:numId w:val="20"/>
        </w:numPr>
        <w:autoSpaceDE w:val="0"/>
        <w:autoSpaceDN w:val="0"/>
        <w:adjustRightInd w:val="0"/>
        <w:contextualSpacing w:val="0"/>
        <w:jc w:val="both"/>
        <w:rPr>
          <w:szCs w:val="24"/>
        </w:rPr>
      </w:pPr>
      <w:r w:rsidRPr="00C10D10">
        <w:rPr>
          <w:szCs w:val="24"/>
        </w:rPr>
        <w:t>There are a number of ways in which authorized discharge limits can be set</w:t>
      </w:r>
      <w:r w:rsidR="00246E97">
        <w:rPr>
          <w:szCs w:val="24"/>
        </w:rPr>
        <w:t>,</w:t>
      </w:r>
      <w:r w:rsidRPr="00C10D10">
        <w:rPr>
          <w:szCs w:val="24"/>
        </w:rPr>
        <w:t xml:space="preserve"> based on limiting either </w:t>
      </w:r>
      <w:r w:rsidR="00F3061B">
        <w:rPr>
          <w:szCs w:val="24"/>
        </w:rPr>
        <w:t xml:space="preserve">the </w:t>
      </w:r>
      <w:r w:rsidRPr="00C10D10">
        <w:rPr>
          <w:szCs w:val="24"/>
        </w:rPr>
        <w:t>dose</w:t>
      </w:r>
      <w:r w:rsidR="00C263E9">
        <w:rPr>
          <w:szCs w:val="24"/>
        </w:rPr>
        <w:t xml:space="preserve"> to the representative person</w:t>
      </w:r>
      <w:r w:rsidR="00D6179D" w:rsidRPr="00C10D10">
        <w:rPr>
          <w:szCs w:val="24"/>
        </w:rPr>
        <w:t>,</w:t>
      </w:r>
      <w:r w:rsidR="003B5840">
        <w:rPr>
          <w:szCs w:val="24"/>
        </w:rPr>
        <w:t xml:space="preserve"> the</w:t>
      </w:r>
      <w:r w:rsidRPr="00C10D10">
        <w:rPr>
          <w:szCs w:val="24"/>
        </w:rPr>
        <w:t xml:space="preserve"> </w:t>
      </w:r>
      <w:r w:rsidR="00530A0E" w:rsidRPr="00C10D10">
        <w:rPr>
          <w:szCs w:val="24"/>
        </w:rPr>
        <w:t>amount</w:t>
      </w:r>
      <w:r w:rsidRPr="00C10D10">
        <w:rPr>
          <w:szCs w:val="24"/>
        </w:rPr>
        <w:t xml:space="preserve"> </w:t>
      </w:r>
      <w:r w:rsidR="0029368E">
        <w:rPr>
          <w:szCs w:val="24"/>
        </w:rPr>
        <w:t xml:space="preserve">of </w:t>
      </w:r>
      <w:r w:rsidR="004041C1">
        <w:rPr>
          <w:szCs w:val="24"/>
        </w:rPr>
        <w:t xml:space="preserve">radionuclides </w:t>
      </w:r>
      <w:r w:rsidR="00C263E9">
        <w:rPr>
          <w:szCs w:val="24"/>
        </w:rPr>
        <w:t xml:space="preserve">discharged </w:t>
      </w:r>
      <w:r w:rsidR="00D6179D" w:rsidRPr="00C10D10">
        <w:rPr>
          <w:szCs w:val="24"/>
        </w:rPr>
        <w:t>or</w:t>
      </w:r>
      <w:r w:rsidR="00C505DE">
        <w:rPr>
          <w:szCs w:val="24"/>
        </w:rPr>
        <w:t xml:space="preserve"> </w:t>
      </w:r>
      <w:r w:rsidR="003B5840">
        <w:rPr>
          <w:szCs w:val="24"/>
        </w:rPr>
        <w:t xml:space="preserve">the </w:t>
      </w:r>
      <w:r w:rsidR="00C263E9">
        <w:rPr>
          <w:szCs w:val="24"/>
        </w:rPr>
        <w:t>activity</w:t>
      </w:r>
      <w:r w:rsidR="00246E97">
        <w:rPr>
          <w:szCs w:val="24"/>
        </w:rPr>
        <w:t xml:space="preserve"> </w:t>
      </w:r>
      <w:r w:rsidR="00D6179D" w:rsidRPr="00C10D10">
        <w:rPr>
          <w:szCs w:val="24"/>
        </w:rPr>
        <w:t>concentration</w:t>
      </w:r>
      <w:r w:rsidR="00C505DE">
        <w:rPr>
          <w:szCs w:val="24"/>
        </w:rPr>
        <w:t xml:space="preserve"> </w:t>
      </w:r>
      <w:r w:rsidR="00C263E9">
        <w:rPr>
          <w:szCs w:val="24"/>
        </w:rPr>
        <w:t>in the</w:t>
      </w:r>
      <w:r w:rsidR="00C263E9" w:rsidRPr="00C263E9">
        <w:rPr>
          <w:szCs w:val="24"/>
        </w:rPr>
        <w:t xml:space="preserve"> liquid and gaseous effluents</w:t>
      </w:r>
      <w:r w:rsidR="00851E0F">
        <w:rPr>
          <w:rStyle w:val="FootnoteReference"/>
          <w:szCs w:val="24"/>
        </w:rPr>
        <w:footnoteReference w:id="28"/>
      </w:r>
      <w:r w:rsidRPr="00C10D10">
        <w:rPr>
          <w:szCs w:val="24"/>
        </w:rPr>
        <w:t xml:space="preserve">. In most cases, the choice is a matter of </w:t>
      </w:r>
      <w:r w:rsidR="00C263E9" w:rsidRPr="00C10D10">
        <w:rPr>
          <w:szCs w:val="24"/>
        </w:rPr>
        <w:t>preference</w:t>
      </w:r>
      <w:r w:rsidR="00C263E9">
        <w:rPr>
          <w:szCs w:val="24"/>
        </w:rPr>
        <w:t xml:space="preserve"> and practicalit</w:t>
      </w:r>
      <w:r w:rsidR="001D0273">
        <w:rPr>
          <w:szCs w:val="24"/>
        </w:rPr>
        <w:t>y</w:t>
      </w:r>
      <w:r w:rsidR="00C263E9" w:rsidRPr="00C10D10">
        <w:rPr>
          <w:szCs w:val="24"/>
        </w:rPr>
        <w:t xml:space="preserve"> </w:t>
      </w:r>
      <w:r w:rsidRPr="00C10D10">
        <w:rPr>
          <w:szCs w:val="24"/>
        </w:rPr>
        <w:t xml:space="preserve">on the part of the regulatory body, as well as the manner in which the regulatory body requires </w:t>
      </w:r>
      <w:r w:rsidR="001D0273">
        <w:rPr>
          <w:szCs w:val="24"/>
        </w:rPr>
        <w:t xml:space="preserve">the </w:t>
      </w:r>
      <w:r w:rsidRPr="00C10D10">
        <w:rPr>
          <w:szCs w:val="24"/>
        </w:rPr>
        <w:t xml:space="preserve">licensee to demonstrate compliance. </w:t>
      </w:r>
    </w:p>
    <w:p w:rsidR="009D0E68" w:rsidRPr="00C10D10" w:rsidRDefault="00EA66D5" w:rsidP="0091132F">
      <w:pPr>
        <w:pStyle w:val="ListParagraph"/>
        <w:numPr>
          <w:ilvl w:val="0"/>
          <w:numId w:val="20"/>
        </w:numPr>
        <w:tabs>
          <w:tab w:val="left" w:pos="851"/>
        </w:tabs>
        <w:autoSpaceDE w:val="0"/>
        <w:autoSpaceDN w:val="0"/>
        <w:adjustRightInd w:val="0"/>
        <w:contextualSpacing w:val="0"/>
        <w:jc w:val="both"/>
        <w:rPr>
          <w:szCs w:val="24"/>
        </w:rPr>
      </w:pPr>
      <w:r w:rsidRPr="00807A37">
        <w:rPr>
          <w:szCs w:val="24"/>
        </w:rPr>
        <w:t>Some regulatory bodies prefer</w:t>
      </w:r>
      <w:r w:rsidR="00807A37">
        <w:rPr>
          <w:szCs w:val="24"/>
        </w:rPr>
        <w:t xml:space="preserve"> to express the limit </w:t>
      </w:r>
      <w:r w:rsidR="001D0273">
        <w:rPr>
          <w:szCs w:val="24"/>
        </w:rPr>
        <w:t xml:space="preserve">in terms of </w:t>
      </w:r>
      <w:r w:rsidR="00807A37">
        <w:rPr>
          <w:szCs w:val="24"/>
        </w:rPr>
        <w:t xml:space="preserve">a </w:t>
      </w:r>
      <w:r w:rsidRPr="00807A37">
        <w:rPr>
          <w:szCs w:val="24"/>
        </w:rPr>
        <w:t>dose</w:t>
      </w:r>
      <w:r w:rsidR="00807A37">
        <w:rPr>
          <w:szCs w:val="24"/>
        </w:rPr>
        <w:t>,</w:t>
      </w:r>
      <w:r w:rsidRPr="00807A37">
        <w:rPr>
          <w:szCs w:val="24"/>
        </w:rPr>
        <w:t xml:space="preserve"> because it </w:t>
      </w:r>
      <w:r w:rsidR="00F3061B">
        <w:rPr>
          <w:szCs w:val="24"/>
        </w:rPr>
        <w:t xml:space="preserve">relates directly to </w:t>
      </w:r>
      <w:r w:rsidRPr="00807A37">
        <w:rPr>
          <w:szCs w:val="24"/>
        </w:rPr>
        <w:t xml:space="preserve">the actual radiological impact </w:t>
      </w:r>
      <w:r w:rsidR="008C5E21" w:rsidRPr="00807A37">
        <w:rPr>
          <w:szCs w:val="24"/>
        </w:rPr>
        <w:t xml:space="preserve">and </w:t>
      </w:r>
      <w:r w:rsidR="001D0273">
        <w:rPr>
          <w:szCs w:val="24"/>
        </w:rPr>
        <w:t>makes evident</w:t>
      </w:r>
      <w:r w:rsidR="001D0273" w:rsidRPr="00807A37">
        <w:rPr>
          <w:szCs w:val="24"/>
        </w:rPr>
        <w:t xml:space="preserve"> </w:t>
      </w:r>
      <w:r w:rsidRPr="00807A37">
        <w:rPr>
          <w:szCs w:val="24"/>
        </w:rPr>
        <w:t>the objective of the system of limitation of discharges.</w:t>
      </w:r>
      <w:r w:rsidRPr="00EA66D5">
        <w:rPr>
          <w:szCs w:val="24"/>
        </w:rPr>
        <w:t xml:space="preserve"> </w:t>
      </w:r>
      <w:r w:rsidR="009D0E68" w:rsidRPr="00EA66D5">
        <w:rPr>
          <w:szCs w:val="24"/>
        </w:rPr>
        <w:t xml:space="preserve">Setting limits in </w:t>
      </w:r>
      <w:r w:rsidR="009D0E68" w:rsidRPr="00C10D10">
        <w:rPr>
          <w:szCs w:val="24"/>
        </w:rPr>
        <w:t xml:space="preserve">terms of </w:t>
      </w:r>
      <w:r w:rsidR="00F3061B">
        <w:rPr>
          <w:szCs w:val="24"/>
        </w:rPr>
        <w:t>amounts</w:t>
      </w:r>
      <w:r w:rsidR="00F3061B" w:rsidRPr="00C10D10">
        <w:rPr>
          <w:szCs w:val="24"/>
        </w:rPr>
        <w:t xml:space="preserve"> </w:t>
      </w:r>
      <w:r w:rsidR="00BC0779">
        <w:rPr>
          <w:szCs w:val="24"/>
        </w:rPr>
        <w:t xml:space="preserve">of activity </w:t>
      </w:r>
      <w:r w:rsidR="00D6179D" w:rsidRPr="00C10D10">
        <w:rPr>
          <w:szCs w:val="24"/>
        </w:rPr>
        <w:t xml:space="preserve">or </w:t>
      </w:r>
      <w:r w:rsidR="00BC0779">
        <w:rPr>
          <w:szCs w:val="24"/>
        </w:rPr>
        <w:t xml:space="preserve">activity </w:t>
      </w:r>
      <w:r w:rsidR="00D6179D" w:rsidRPr="00C10D10">
        <w:rPr>
          <w:szCs w:val="24"/>
        </w:rPr>
        <w:t xml:space="preserve">concentration of radionuclides to be </w:t>
      </w:r>
      <w:r w:rsidR="009D0E68" w:rsidRPr="00C10D10">
        <w:rPr>
          <w:szCs w:val="24"/>
        </w:rPr>
        <w:t xml:space="preserve">discharged, on the other hand, is viewed by other regulatory bodies to reflect more closely the </w:t>
      </w:r>
      <w:r w:rsidR="001D0273">
        <w:rPr>
          <w:szCs w:val="24"/>
        </w:rPr>
        <w:t>quantity</w:t>
      </w:r>
      <w:r w:rsidR="001D0273" w:rsidRPr="00C10D10" w:rsidDel="00D6179D">
        <w:rPr>
          <w:szCs w:val="24"/>
        </w:rPr>
        <w:t xml:space="preserve"> </w:t>
      </w:r>
      <w:r w:rsidR="009D0E68" w:rsidRPr="00C10D10">
        <w:rPr>
          <w:szCs w:val="24"/>
        </w:rPr>
        <w:t xml:space="preserve">that is to be controlled and measured, and is therefore more closely connected to the actions that the </w:t>
      </w:r>
      <w:r w:rsidR="00D1189E">
        <w:rPr>
          <w:color w:val="000000"/>
          <w:szCs w:val="24"/>
        </w:rPr>
        <w:t>operating organization</w:t>
      </w:r>
      <w:r w:rsidR="00D1189E" w:rsidRPr="004B6814">
        <w:rPr>
          <w:color w:val="000000"/>
          <w:szCs w:val="24"/>
        </w:rPr>
        <w:t xml:space="preserve"> </w:t>
      </w:r>
      <w:r w:rsidR="001D0273">
        <w:rPr>
          <w:szCs w:val="24"/>
        </w:rPr>
        <w:t>needs to</w:t>
      </w:r>
      <w:r w:rsidR="001D0273" w:rsidRPr="00C10D10">
        <w:rPr>
          <w:szCs w:val="24"/>
        </w:rPr>
        <w:t xml:space="preserve"> </w:t>
      </w:r>
      <w:r w:rsidR="009D0E68" w:rsidRPr="00C10D10">
        <w:rPr>
          <w:szCs w:val="24"/>
        </w:rPr>
        <w:t xml:space="preserve">take to control discharges. </w:t>
      </w:r>
    </w:p>
    <w:p w:rsidR="009D0E68" w:rsidRPr="00C10D10" w:rsidRDefault="009D0E68"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Expressing limits in terms of</w:t>
      </w:r>
      <w:r w:rsidR="00D701E1" w:rsidRPr="00C10D10">
        <w:rPr>
          <w:szCs w:val="24"/>
        </w:rPr>
        <w:t xml:space="preserve"> a</w:t>
      </w:r>
      <w:r w:rsidRPr="00C10D10">
        <w:rPr>
          <w:szCs w:val="24"/>
        </w:rPr>
        <w:t xml:space="preserve"> dose </w:t>
      </w:r>
      <w:r w:rsidR="00D701E1" w:rsidRPr="00C10D10">
        <w:rPr>
          <w:szCs w:val="24"/>
        </w:rPr>
        <w:t xml:space="preserve">(i.e. in </w:t>
      </w:r>
      <w:proofErr w:type="spellStart"/>
      <w:r w:rsidR="00D701E1" w:rsidRPr="00C10D10">
        <w:rPr>
          <w:szCs w:val="24"/>
        </w:rPr>
        <w:t>mSv</w:t>
      </w:r>
      <w:proofErr w:type="spellEnd"/>
      <w:r w:rsidR="00D701E1" w:rsidRPr="00C10D10">
        <w:rPr>
          <w:szCs w:val="24"/>
        </w:rPr>
        <w:t xml:space="preserve"> per year) </w:t>
      </w:r>
      <w:r w:rsidRPr="00C10D10">
        <w:rPr>
          <w:szCs w:val="24"/>
        </w:rPr>
        <w:t xml:space="preserve">or </w:t>
      </w:r>
      <w:r w:rsidR="00D701E1" w:rsidRPr="00C10D10">
        <w:rPr>
          <w:szCs w:val="24"/>
        </w:rPr>
        <w:t>an amount</w:t>
      </w:r>
      <w:r w:rsidR="00BC0779">
        <w:rPr>
          <w:szCs w:val="24"/>
        </w:rPr>
        <w:t xml:space="preserve"> of</w:t>
      </w:r>
      <w:r w:rsidR="00C505DE">
        <w:rPr>
          <w:szCs w:val="24"/>
        </w:rPr>
        <w:t xml:space="preserve"> </w:t>
      </w:r>
      <w:r w:rsidR="00BC0779">
        <w:rPr>
          <w:szCs w:val="24"/>
        </w:rPr>
        <w:t xml:space="preserve">activity </w:t>
      </w:r>
      <w:r w:rsidR="00BC0779" w:rsidRPr="00C10D10" w:rsidDel="00D701E1">
        <w:rPr>
          <w:szCs w:val="24"/>
        </w:rPr>
        <w:t>or</w:t>
      </w:r>
      <w:r w:rsidR="00B57D8F" w:rsidRPr="00C10D10">
        <w:rPr>
          <w:szCs w:val="24"/>
        </w:rPr>
        <w:t xml:space="preserve"> </w:t>
      </w:r>
      <w:r w:rsidR="00BC0779">
        <w:rPr>
          <w:szCs w:val="24"/>
        </w:rPr>
        <w:t xml:space="preserve">activity </w:t>
      </w:r>
      <w:r w:rsidR="00B57D8F" w:rsidRPr="00C10D10">
        <w:rPr>
          <w:szCs w:val="24"/>
        </w:rPr>
        <w:t xml:space="preserve">concentration </w:t>
      </w:r>
      <w:r w:rsidRPr="00C10D10">
        <w:rPr>
          <w:szCs w:val="24"/>
        </w:rPr>
        <w:t>of</w:t>
      </w:r>
      <w:r w:rsidR="00615245">
        <w:rPr>
          <w:szCs w:val="24"/>
        </w:rPr>
        <w:t xml:space="preserve"> the</w:t>
      </w:r>
      <w:r w:rsidRPr="00C10D10">
        <w:rPr>
          <w:szCs w:val="24"/>
        </w:rPr>
        <w:t xml:space="preserve"> radio</w:t>
      </w:r>
      <w:r w:rsidR="00615245">
        <w:rPr>
          <w:szCs w:val="24"/>
        </w:rPr>
        <w:t>nuclides</w:t>
      </w:r>
      <w:r w:rsidRPr="00C10D10">
        <w:rPr>
          <w:szCs w:val="24"/>
        </w:rPr>
        <w:t xml:space="preserve"> discharged </w:t>
      </w:r>
      <w:r w:rsidR="00D701E1" w:rsidRPr="00C10D10">
        <w:rPr>
          <w:szCs w:val="24"/>
        </w:rPr>
        <w:t xml:space="preserve">(e.g. </w:t>
      </w:r>
      <w:proofErr w:type="spellStart"/>
      <w:r w:rsidR="00D701E1" w:rsidRPr="00C10D10">
        <w:rPr>
          <w:szCs w:val="24"/>
        </w:rPr>
        <w:t>Bq</w:t>
      </w:r>
      <w:proofErr w:type="spellEnd"/>
      <w:r w:rsidR="00D701E1" w:rsidRPr="00C10D10">
        <w:rPr>
          <w:szCs w:val="24"/>
        </w:rPr>
        <w:t xml:space="preserve"> per year or </w:t>
      </w:r>
      <w:proofErr w:type="spellStart"/>
      <w:r w:rsidR="00D701E1" w:rsidRPr="00C10D10">
        <w:rPr>
          <w:szCs w:val="24"/>
        </w:rPr>
        <w:t>Bq</w:t>
      </w:r>
      <w:proofErr w:type="spellEnd"/>
      <w:r w:rsidR="00D701E1" w:rsidRPr="00C10D10">
        <w:rPr>
          <w:szCs w:val="24"/>
        </w:rPr>
        <w:t xml:space="preserve">/L) </w:t>
      </w:r>
      <w:r w:rsidRPr="00C10D10">
        <w:rPr>
          <w:szCs w:val="24"/>
        </w:rPr>
        <w:t>does not represent a fundamental difference</w:t>
      </w:r>
      <w:r w:rsidR="00D701E1" w:rsidRPr="00C10D10">
        <w:rPr>
          <w:szCs w:val="24"/>
        </w:rPr>
        <w:t xml:space="preserve">. </w:t>
      </w:r>
      <w:r w:rsidR="001D0273">
        <w:rPr>
          <w:szCs w:val="24"/>
        </w:rPr>
        <w:t xml:space="preserve">The use of either </w:t>
      </w:r>
      <w:r w:rsidR="0039460B">
        <w:rPr>
          <w:szCs w:val="24"/>
        </w:rPr>
        <w:t xml:space="preserve">approach </w:t>
      </w:r>
      <w:r w:rsidR="00B763A1" w:rsidRPr="00C10D10">
        <w:rPr>
          <w:szCs w:val="24"/>
        </w:rPr>
        <w:t>is justified</w:t>
      </w:r>
      <w:r w:rsidRPr="00C10D10">
        <w:rPr>
          <w:szCs w:val="24"/>
        </w:rPr>
        <w:t xml:space="preserve"> because </w:t>
      </w:r>
      <w:r w:rsidR="00B763A1" w:rsidRPr="00C10D10">
        <w:rPr>
          <w:szCs w:val="24"/>
        </w:rPr>
        <w:t xml:space="preserve">a </w:t>
      </w:r>
      <w:r w:rsidRPr="00C10D10">
        <w:rPr>
          <w:szCs w:val="24"/>
        </w:rPr>
        <w:t xml:space="preserve">dose </w:t>
      </w:r>
      <w:r w:rsidR="0039460B">
        <w:rPr>
          <w:szCs w:val="24"/>
        </w:rPr>
        <w:t xml:space="preserve">to the representative person </w:t>
      </w:r>
      <w:r w:rsidRPr="00C10D10">
        <w:rPr>
          <w:szCs w:val="24"/>
        </w:rPr>
        <w:t xml:space="preserve">and </w:t>
      </w:r>
      <w:r w:rsidR="00B763A1" w:rsidRPr="00C10D10">
        <w:rPr>
          <w:szCs w:val="24"/>
        </w:rPr>
        <w:t xml:space="preserve">an amount of radionuclides (or </w:t>
      </w:r>
      <w:r w:rsidR="0039460B">
        <w:rPr>
          <w:szCs w:val="24"/>
        </w:rPr>
        <w:t xml:space="preserve">activity </w:t>
      </w:r>
      <w:r w:rsidR="00B763A1" w:rsidRPr="00C10D10">
        <w:rPr>
          <w:szCs w:val="24"/>
        </w:rPr>
        <w:t>concentration)</w:t>
      </w:r>
      <w:r w:rsidR="00E7351C" w:rsidRPr="00C10D10">
        <w:rPr>
          <w:szCs w:val="24"/>
        </w:rPr>
        <w:t xml:space="preserve"> </w:t>
      </w:r>
      <w:r w:rsidRPr="00C10D10">
        <w:rPr>
          <w:szCs w:val="24"/>
        </w:rPr>
        <w:t xml:space="preserve">are </w:t>
      </w:r>
      <w:r w:rsidR="00F3061B">
        <w:rPr>
          <w:szCs w:val="24"/>
        </w:rPr>
        <w:t>broadly</w:t>
      </w:r>
      <w:r w:rsidR="00815E1D">
        <w:rPr>
          <w:szCs w:val="24"/>
        </w:rPr>
        <w:t xml:space="preserve"> </w:t>
      </w:r>
      <w:r w:rsidRPr="00C10D10">
        <w:rPr>
          <w:szCs w:val="24"/>
        </w:rPr>
        <w:t xml:space="preserve">proportional, and one can be converted to the other without difficulty. However, while </w:t>
      </w:r>
      <w:r w:rsidR="00530A0E" w:rsidRPr="00C10D10">
        <w:rPr>
          <w:szCs w:val="24"/>
        </w:rPr>
        <w:t>an</w:t>
      </w:r>
      <w:r w:rsidR="00B763A1" w:rsidRPr="00C10D10">
        <w:rPr>
          <w:szCs w:val="24"/>
        </w:rPr>
        <w:t xml:space="preserve"> </w:t>
      </w:r>
      <w:r w:rsidR="00530A0E" w:rsidRPr="00C10D10">
        <w:rPr>
          <w:szCs w:val="24"/>
        </w:rPr>
        <w:t>amount</w:t>
      </w:r>
      <w:r w:rsidR="00901B0B" w:rsidRPr="00C10D10">
        <w:rPr>
          <w:szCs w:val="24"/>
        </w:rPr>
        <w:t xml:space="preserve"> </w:t>
      </w:r>
      <w:r w:rsidR="00530A0E" w:rsidRPr="00C10D10">
        <w:rPr>
          <w:szCs w:val="24"/>
        </w:rPr>
        <w:t xml:space="preserve">or </w:t>
      </w:r>
      <w:r w:rsidR="00901B0B" w:rsidRPr="00C10D10">
        <w:rPr>
          <w:szCs w:val="24"/>
        </w:rPr>
        <w:t xml:space="preserve">a concentration </w:t>
      </w:r>
      <w:r w:rsidRPr="00C10D10">
        <w:rPr>
          <w:szCs w:val="24"/>
        </w:rPr>
        <w:t xml:space="preserve">of </w:t>
      </w:r>
      <w:r w:rsidR="00615245">
        <w:rPr>
          <w:szCs w:val="24"/>
        </w:rPr>
        <w:t>radionuclides</w:t>
      </w:r>
      <w:r w:rsidRPr="00C10D10">
        <w:rPr>
          <w:szCs w:val="24"/>
        </w:rPr>
        <w:t xml:space="preserve"> is </w:t>
      </w:r>
      <w:r w:rsidR="00530A0E" w:rsidRPr="00C10D10">
        <w:rPr>
          <w:szCs w:val="24"/>
        </w:rPr>
        <w:t xml:space="preserve">a </w:t>
      </w:r>
      <w:r w:rsidR="003A6635" w:rsidRPr="00C10D10">
        <w:rPr>
          <w:szCs w:val="24"/>
        </w:rPr>
        <w:t>direct</w:t>
      </w:r>
      <w:r w:rsidR="00530A0E" w:rsidRPr="00C10D10">
        <w:rPr>
          <w:szCs w:val="24"/>
        </w:rPr>
        <w:t>ly</w:t>
      </w:r>
      <w:r w:rsidR="003A6635" w:rsidRPr="00C10D10">
        <w:rPr>
          <w:szCs w:val="24"/>
        </w:rPr>
        <w:t xml:space="preserve"> </w:t>
      </w:r>
      <w:r w:rsidRPr="00C10D10">
        <w:rPr>
          <w:szCs w:val="24"/>
        </w:rPr>
        <w:t xml:space="preserve">measurable </w:t>
      </w:r>
      <w:r w:rsidR="00815E1D">
        <w:rPr>
          <w:szCs w:val="24"/>
        </w:rPr>
        <w:t>quantity</w:t>
      </w:r>
      <w:r w:rsidRPr="00C10D10">
        <w:rPr>
          <w:szCs w:val="24"/>
        </w:rPr>
        <w:t xml:space="preserve">, </w:t>
      </w:r>
      <w:r w:rsidR="00815E1D">
        <w:rPr>
          <w:szCs w:val="24"/>
        </w:rPr>
        <w:t xml:space="preserve">the </w:t>
      </w:r>
      <w:r w:rsidRPr="00C10D10">
        <w:rPr>
          <w:szCs w:val="24"/>
        </w:rPr>
        <w:t>dose to members of the public is</w:t>
      </w:r>
      <w:r w:rsidR="002039EE" w:rsidRPr="00C10D10">
        <w:rPr>
          <w:szCs w:val="24"/>
        </w:rPr>
        <w:t xml:space="preserve"> always based on an assessment </w:t>
      </w:r>
      <w:r w:rsidR="00703FE4" w:rsidRPr="00C10D10">
        <w:rPr>
          <w:szCs w:val="24"/>
        </w:rPr>
        <w:t>[</w:t>
      </w:r>
      <w:r w:rsidR="00E53D21" w:rsidRPr="00C10D10">
        <w:rPr>
          <w:szCs w:val="24"/>
        </w:rPr>
        <w:t>I-8</w:t>
      </w:r>
      <w:r w:rsidR="00703FE4" w:rsidRPr="00C10D10">
        <w:rPr>
          <w:szCs w:val="24"/>
        </w:rPr>
        <w:t>].</w:t>
      </w:r>
    </w:p>
    <w:p w:rsidR="002039EE" w:rsidRPr="00C10D10" w:rsidRDefault="001D0273" w:rsidP="008C60BE">
      <w:pPr>
        <w:tabs>
          <w:tab w:val="left" w:pos="851"/>
        </w:tabs>
        <w:autoSpaceDE w:val="0"/>
        <w:autoSpaceDN w:val="0"/>
        <w:adjustRightInd w:val="0"/>
        <w:spacing w:after="120" w:line="360" w:lineRule="auto"/>
        <w:jc w:val="both"/>
        <w:rPr>
          <w:rFonts w:ascii="Times New Roman" w:hAnsi="Times New Roman"/>
          <w:b/>
          <w:sz w:val="24"/>
          <w:szCs w:val="24"/>
        </w:rPr>
      </w:pPr>
      <w:r>
        <w:rPr>
          <w:rFonts w:ascii="Times New Roman" w:hAnsi="Times New Roman"/>
          <w:b/>
          <w:sz w:val="24"/>
          <w:szCs w:val="24"/>
        </w:rPr>
        <w:lastRenderedPageBreak/>
        <w:t>Grouping of r</w:t>
      </w:r>
      <w:r w:rsidR="002039EE" w:rsidRPr="00C10D10">
        <w:rPr>
          <w:rFonts w:ascii="Times New Roman" w:hAnsi="Times New Roman"/>
          <w:b/>
          <w:sz w:val="24"/>
          <w:szCs w:val="24"/>
        </w:rPr>
        <w:t>adionuclide</w:t>
      </w:r>
      <w:r>
        <w:rPr>
          <w:rFonts w:ascii="Times New Roman" w:hAnsi="Times New Roman"/>
          <w:b/>
          <w:sz w:val="24"/>
          <w:szCs w:val="24"/>
        </w:rPr>
        <w:t>s</w:t>
      </w:r>
      <w:r w:rsidR="002039EE" w:rsidRPr="00C10D10">
        <w:rPr>
          <w:rFonts w:ascii="Times New Roman" w:hAnsi="Times New Roman"/>
          <w:b/>
          <w:sz w:val="24"/>
          <w:szCs w:val="24"/>
        </w:rPr>
        <w:t xml:space="preserve"> </w:t>
      </w:r>
    </w:p>
    <w:p w:rsidR="002039EE" w:rsidRPr="00C10D10" w:rsidRDefault="002039EE"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When discharge limits are specified in terms of </w:t>
      </w:r>
      <w:r w:rsidR="00D9655F">
        <w:rPr>
          <w:szCs w:val="24"/>
        </w:rPr>
        <w:t xml:space="preserve">the </w:t>
      </w:r>
      <w:r w:rsidRPr="00C10D10">
        <w:rPr>
          <w:szCs w:val="24"/>
        </w:rPr>
        <w:t xml:space="preserve">quantity of </w:t>
      </w:r>
      <w:r w:rsidR="00615245">
        <w:rPr>
          <w:szCs w:val="24"/>
        </w:rPr>
        <w:t xml:space="preserve">radionuclides </w:t>
      </w:r>
      <w:r w:rsidRPr="00C10D10">
        <w:rPr>
          <w:szCs w:val="24"/>
        </w:rPr>
        <w:t xml:space="preserve">discharged, separate limits are usually specified for different radionuclides. Exceptions are cases in which the facility discharges only a few radionuclides, such as a hospital using only iodine or Tc-99m. </w:t>
      </w:r>
      <w:r w:rsidR="00A10A5F">
        <w:rPr>
          <w:szCs w:val="24"/>
        </w:rPr>
        <w:t xml:space="preserve">For most facilities and </w:t>
      </w:r>
      <w:proofErr w:type="gramStart"/>
      <w:r w:rsidR="00A10A5F">
        <w:rPr>
          <w:szCs w:val="24"/>
        </w:rPr>
        <w:t xml:space="preserve">activities </w:t>
      </w:r>
      <w:r w:rsidRPr="00C10D10">
        <w:rPr>
          <w:szCs w:val="24"/>
        </w:rPr>
        <w:t xml:space="preserve"> a</w:t>
      </w:r>
      <w:proofErr w:type="gramEnd"/>
      <w:r w:rsidRPr="00C10D10">
        <w:rPr>
          <w:szCs w:val="24"/>
        </w:rPr>
        <w:t xml:space="preserve"> mixture of radionuclides is discharged</w:t>
      </w:r>
      <w:r w:rsidR="00A10A5F">
        <w:rPr>
          <w:szCs w:val="24"/>
        </w:rPr>
        <w:t xml:space="preserve">. In </w:t>
      </w:r>
      <w:r w:rsidR="009C5764">
        <w:rPr>
          <w:szCs w:val="24"/>
        </w:rPr>
        <w:t>such</w:t>
      </w:r>
      <w:r w:rsidR="00A10A5F">
        <w:rPr>
          <w:szCs w:val="24"/>
        </w:rPr>
        <w:t xml:space="preserve"> cases</w:t>
      </w:r>
      <w:r w:rsidRPr="00C10D10">
        <w:rPr>
          <w:szCs w:val="24"/>
        </w:rPr>
        <w:t xml:space="preserve">, it is unusual to set limits </w:t>
      </w:r>
      <w:r w:rsidR="009C5764">
        <w:rPr>
          <w:szCs w:val="24"/>
        </w:rPr>
        <w:t>for</w:t>
      </w:r>
      <w:r w:rsidR="009C5764" w:rsidRPr="00C10D10">
        <w:rPr>
          <w:szCs w:val="24"/>
        </w:rPr>
        <w:t xml:space="preserve"> </w:t>
      </w:r>
      <w:r w:rsidRPr="00C10D10">
        <w:rPr>
          <w:szCs w:val="24"/>
        </w:rPr>
        <w:t xml:space="preserve">each individual radionuclide, because such </w:t>
      </w:r>
      <w:r w:rsidR="0039460B">
        <w:rPr>
          <w:szCs w:val="24"/>
        </w:rPr>
        <w:t>an approach</w:t>
      </w:r>
      <w:r w:rsidRPr="00C10D10">
        <w:rPr>
          <w:szCs w:val="24"/>
        </w:rPr>
        <w:t xml:space="preserve"> </w:t>
      </w:r>
      <w:r w:rsidR="00591B23">
        <w:rPr>
          <w:szCs w:val="24"/>
        </w:rPr>
        <w:t>is considered</w:t>
      </w:r>
      <w:r w:rsidRPr="00C10D10">
        <w:rPr>
          <w:szCs w:val="24"/>
        </w:rPr>
        <w:t xml:space="preserve"> cumbersome and unnecessary</w:t>
      </w:r>
      <w:r w:rsidR="00591B23">
        <w:rPr>
          <w:szCs w:val="24"/>
        </w:rPr>
        <w:t>; instead</w:t>
      </w:r>
      <w:r w:rsidRPr="00C10D10">
        <w:rPr>
          <w:szCs w:val="24"/>
        </w:rPr>
        <w:t xml:space="preserve"> one limit </w:t>
      </w:r>
      <w:r w:rsidR="009C5764">
        <w:rPr>
          <w:szCs w:val="24"/>
        </w:rPr>
        <w:t>for a</w:t>
      </w:r>
      <w:r w:rsidR="00A10A5F">
        <w:rPr>
          <w:szCs w:val="24"/>
        </w:rPr>
        <w:t xml:space="preserve"> group of radionuclides</w:t>
      </w:r>
      <w:r w:rsidRPr="00C10D10">
        <w:rPr>
          <w:szCs w:val="24"/>
        </w:rPr>
        <w:t xml:space="preserve"> may be used. Factors influencing the choice of radionuclide groups include: the feasibility of measuring one or more radionuclides within the group; </w:t>
      </w:r>
      <w:r w:rsidR="0039460B">
        <w:rPr>
          <w:szCs w:val="24"/>
        </w:rPr>
        <w:t xml:space="preserve">their use as </w:t>
      </w:r>
      <w:r w:rsidRPr="00C10D10">
        <w:rPr>
          <w:szCs w:val="24"/>
        </w:rPr>
        <w:t xml:space="preserve">indicators of </w:t>
      </w:r>
      <w:r w:rsidR="0039460B">
        <w:rPr>
          <w:szCs w:val="24"/>
        </w:rPr>
        <w:t xml:space="preserve">the </w:t>
      </w:r>
      <w:r w:rsidRPr="00C10D10">
        <w:rPr>
          <w:szCs w:val="24"/>
        </w:rPr>
        <w:t>performance</w:t>
      </w:r>
      <w:r w:rsidR="00694B14">
        <w:rPr>
          <w:szCs w:val="24"/>
        </w:rPr>
        <w:t xml:space="preserve"> of the facility</w:t>
      </w:r>
      <w:r w:rsidRPr="00C10D10">
        <w:rPr>
          <w:szCs w:val="24"/>
        </w:rPr>
        <w:t xml:space="preserve">; </w:t>
      </w:r>
      <w:r w:rsidR="00D9655F">
        <w:rPr>
          <w:szCs w:val="24"/>
        </w:rPr>
        <w:t xml:space="preserve">and </w:t>
      </w:r>
      <w:r w:rsidR="0039460B">
        <w:rPr>
          <w:szCs w:val="24"/>
        </w:rPr>
        <w:t xml:space="preserve">their </w:t>
      </w:r>
      <w:r w:rsidRPr="00C10D10">
        <w:rPr>
          <w:szCs w:val="24"/>
        </w:rPr>
        <w:t xml:space="preserve">contribution to </w:t>
      </w:r>
      <w:r w:rsidR="0039460B">
        <w:rPr>
          <w:szCs w:val="24"/>
        </w:rPr>
        <w:t xml:space="preserve">the </w:t>
      </w:r>
      <w:r w:rsidRPr="00C10D10">
        <w:rPr>
          <w:szCs w:val="24"/>
        </w:rPr>
        <w:t>dose</w:t>
      </w:r>
      <w:r w:rsidR="0039460B">
        <w:rPr>
          <w:szCs w:val="24"/>
        </w:rPr>
        <w:t xml:space="preserve"> to the representative person</w:t>
      </w:r>
      <w:r w:rsidRPr="00C10D10">
        <w:rPr>
          <w:szCs w:val="24"/>
        </w:rPr>
        <w:t>.</w:t>
      </w:r>
    </w:p>
    <w:p w:rsidR="002039EE" w:rsidRPr="00C10D10" w:rsidRDefault="002039EE"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For larger facilities that discharge a variety of radionuclides, limits are generally imposed on groups of </w:t>
      </w:r>
      <w:r w:rsidR="0039460B">
        <w:rPr>
          <w:szCs w:val="24"/>
        </w:rPr>
        <w:t>radio</w:t>
      </w:r>
      <w:r w:rsidRPr="00C10D10">
        <w:rPr>
          <w:szCs w:val="24"/>
        </w:rPr>
        <w:t xml:space="preserve">nuclides that share </w:t>
      </w:r>
      <w:r w:rsidR="00477183" w:rsidRPr="00C10D10">
        <w:rPr>
          <w:szCs w:val="24"/>
        </w:rPr>
        <w:t>similar</w:t>
      </w:r>
      <w:r w:rsidR="00E7351C" w:rsidRPr="00C10D10">
        <w:rPr>
          <w:szCs w:val="24"/>
        </w:rPr>
        <w:t xml:space="preserve"> </w:t>
      </w:r>
      <w:r w:rsidRPr="00C10D10">
        <w:rPr>
          <w:szCs w:val="24"/>
        </w:rPr>
        <w:t xml:space="preserve">characteristics, although limits may also be imposed on specific radionuclides that are deemed to be of special significance. </w:t>
      </w:r>
      <w:r w:rsidR="001D2189">
        <w:rPr>
          <w:szCs w:val="24"/>
        </w:rPr>
        <w:t>Guidance on the</w:t>
      </w:r>
      <w:r w:rsidR="008605C5">
        <w:rPr>
          <w:szCs w:val="24"/>
        </w:rPr>
        <w:t xml:space="preserve"> grouping </w:t>
      </w:r>
      <w:r w:rsidR="001D2189">
        <w:rPr>
          <w:szCs w:val="24"/>
        </w:rPr>
        <w:t xml:space="preserve">of </w:t>
      </w:r>
      <w:r w:rsidR="008605C5">
        <w:rPr>
          <w:szCs w:val="24"/>
        </w:rPr>
        <w:t xml:space="preserve">radionuclides </w:t>
      </w:r>
      <w:r w:rsidR="001D2189">
        <w:rPr>
          <w:szCs w:val="24"/>
        </w:rPr>
        <w:t>is</w:t>
      </w:r>
      <w:r w:rsidR="008605C5">
        <w:rPr>
          <w:szCs w:val="24"/>
        </w:rPr>
        <w:t xml:space="preserve"> </w:t>
      </w:r>
      <w:r w:rsidR="001D2189">
        <w:rPr>
          <w:szCs w:val="24"/>
        </w:rPr>
        <w:t>provided</w:t>
      </w:r>
      <w:r w:rsidR="008605C5">
        <w:rPr>
          <w:szCs w:val="24"/>
        </w:rPr>
        <w:t xml:space="preserve"> in </w:t>
      </w:r>
      <w:r w:rsidR="00632C31">
        <w:rPr>
          <w:szCs w:val="24"/>
        </w:rPr>
        <w:t>para</w:t>
      </w:r>
      <w:r w:rsidR="001D2189">
        <w:rPr>
          <w:szCs w:val="24"/>
        </w:rPr>
        <w:t>s</w:t>
      </w:r>
      <w:r w:rsidR="008605C5">
        <w:rPr>
          <w:szCs w:val="24"/>
        </w:rPr>
        <w:t xml:space="preserve"> 5.7</w:t>
      </w:r>
      <w:r w:rsidR="001D2189">
        <w:rPr>
          <w:szCs w:val="24"/>
        </w:rPr>
        <w:t>0 to</w:t>
      </w:r>
      <w:r w:rsidR="008605C5">
        <w:rPr>
          <w:szCs w:val="24"/>
        </w:rPr>
        <w:t xml:space="preserve"> 5.7</w:t>
      </w:r>
      <w:r w:rsidR="001D2189">
        <w:rPr>
          <w:szCs w:val="24"/>
        </w:rPr>
        <w:t>2</w:t>
      </w:r>
      <w:r w:rsidR="008605C5">
        <w:rPr>
          <w:szCs w:val="24"/>
        </w:rPr>
        <w:t xml:space="preserve">. </w:t>
      </w:r>
      <w:r w:rsidR="001D2189">
        <w:rPr>
          <w:szCs w:val="24"/>
        </w:rPr>
        <w:t>T</w:t>
      </w:r>
      <w:r w:rsidR="0006150D" w:rsidRPr="00C10D10">
        <w:rPr>
          <w:szCs w:val="24"/>
        </w:rPr>
        <w:t xml:space="preserve">ritium and C-14 </w:t>
      </w:r>
      <w:r w:rsidR="001D2189">
        <w:rPr>
          <w:szCs w:val="24"/>
        </w:rPr>
        <w:t xml:space="preserve">are of special signification and </w:t>
      </w:r>
      <w:r w:rsidR="0050479A" w:rsidRPr="00C10D10">
        <w:rPr>
          <w:szCs w:val="24"/>
        </w:rPr>
        <w:t>should</w:t>
      </w:r>
      <w:r w:rsidR="0006150D" w:rsidRPr="00C10D10">
        <w:rPr>
          <w:szCs w:val="24"/>
        </w:rPr>
        <w:t xml:space="preserve"> be considered</w:t>
      </w:r>
      <w:r w:rsidR="00B42D70" w:rsidRPr="00C10D10">
        <w:rPr>
          <w:szCs w:val="24"/>
        </w:rPr>
        <w:t xml:space="preserve"> </w:t>
      </w:r>
      <w:r w:rsidR="001D2189">
        <w:rPr>
          <w:szCs w:val="24"/>
        </w:rPr>
        <w:t xml:space="preserve">for specific limits and consideration </w:t>
      </w:r>
      <w:r w:rsidR="00B42D70" w:rsidRPr="00C10D10">
        <w:rPr>
          <w:szCs w:val="24"/>
        </w:rPr>
        <w:t>(</w:t>
      </w:r>
      <w:r w:rsidR="001D2189">
        <w:rPr>
          <w:szCs w:val="24"/>
        </w:rPr>
        <w:t>see</w:t>
      </w:r>
      <w:r w:rsidR="00C810D8">
        <w:rPr>
          <w:szCs w:val="24"/>
        </w:rPr>
        <w:t xml:space="preserve"> para. </w:t>
      </w:r>
      <w:r w:rsidR="001D2189">
        <w:rPr>
          <w:szCs w:val="24"/>
        </w:rPr>
        <w:t>5.69</w:t>
      </w:r>
      <w:r w:rsidR="00A15886" w:rsidRPr="00C10D10">
        <w:rPr>
          <w:szCs w:val="24"/>
        </w:rPr>
        <w:t>)</w:t>
      </w:r>
      <w:r w:rsidR="0006150D" w:rsidRPr="00C10D10">
        <w:rPr>
          <w:szCs w:val="24"/>
        </w:rPr>
        <w:t>.</w:t>
      </w:r>
    </w:p>
    <w:p w:rsidR="002039EE" w:rsidRPr="00C10D10" w:rsidRDefault="002039EE"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Grouping of radionuclides is </w:t>
      </w:r>
      <w:r w:rsidR="009C5764">
        <w:rPr>
          <w:szCs w:val="24"/>
        </w:rPr>
        <w:t>appropriate</w:t>
      </w:r>
      <w:r w:rsidRPr="00C10D10">
        <w:rPr>
          <w:szCs w:val="24"/>
        </w:rPr>
        <w:t xml:space="preserve"> in situations in which members of </w:t>
      </w:r>
      <w:r w:rsidR="00003A36" w:rsidRPr="00C10D10">
        <w:rPr>
          <w:szCs w:val="24"/>
        </w:rPr>
        <w:t>s</w:t>
      </w:r>
      <w:r w:rsidR="00003A36">
        <w:rPr>
          <w:szCs w:val="24"/>
        </w:rPr>
        <w:t>ome</w:t>
      </w:r>
      <w:r w:rsidR="00003A36" w:rsidRPr="00C10D10">
        <w:rPr>
          <w:szCs w:val="24"/>
        </w:rPr>
        <w:t xml:space="preserve"> </w:t>
      </w:r>
      <w:r w:rsidRPr="00C10D10">
        <w:rPr>
          <w:szCs w:val="24"/>
        </w:rPr>
        <w:t xml:space="preserve">radionuclide groups </w:t>
      </w:r>
      <w:r w:rsidR="00003A36">
        <w:rPr>
          <w:szCs w:val="24"/>
        </w:rPr>
        <w:t xml:space="preserve">are usually discharged in </w:t>
      </w:r>
      <w:r w:rsidR="00003A36" w:rsidRPr="00C10D10">
        <w:rPr>
          <w:szCs w:val="24"/>
        </w:rPr>
        <w:t>fairly fixed proportions</w:t>
      </w:r>
      <w:r w:rsidRPr="00C10D10">
        <w:rPr>
          <w:szCs w:val="24"/>
        </w:rPr>
        <w:t xml:space="preserve">, and therefore the occurrence of one </w:t>
      </w:r>
      <w:r w:rsidR="001D2189">
        <w:rPr>
          <w:szCs w:val="24"/>
        </w:rPr>
        <w:t xml:space="preserve">radionuclide </w:t>
      </w:r>
      <w:r w:rsidRPr="00C10D10">
        <w:rPr>
          <w:szCs w:val="24"/>
        </w:rPr>
        <w:t xml:space="preserve">indicates the presence of the others in the group. Such grouping has the merit of simplicity in both the formulation of the limits as well as their </w:t>
      </w:r>
      <w:r w:rsidR="001D2189">
        <w:rPr>
          <w:szCs w:val="24"/>
        </w:rPr>
        <w:t>application</w:t>
      </w:r>
      <w:r w:rsidRPr="00C10D10">
        <w:rPr>
          <w:szCs w:val="24"/>
        </w:rPr>
        <w:t>. The radionuclide of the group that is most easily detected at the desired sensitivity is often used in specifying the discharge limit for the group</w:t>
      </w:r>
      <w:r w:rsidR="006A20D3">
        <w:rPr>
          <w:rStyle w:val="FootnoteReference"/>
          <w:szCs w:val="24"/>
        </w:rPr>
        <w:footnoteReference w:id="29"/>
      </w:r>
      <w:r w:rsidRPr="00C10D10">
        <w:rPr>
          <w:szCs w:val="24"/>
        </w:rPr>
        <w:t>.</w:t>
      </w:r>
    </w:p>
    <w:p w:rsidR="002039EE" w:rsidRPr="00C10D10" w:rsidRDefault="002039EE"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In some cases, a regulatory body may </w:t>
      </w:r>
      <w:r w:rsidR="001D2189">
        <w:rPr>
          <w:szCs w:val="24"/>
        </w:rPr>
        <w:t xml:space="preserve">include in the authorization for discharges </w:t>
      </w:r>
      <w:r w:rsidRPr="00C10D10">
        <w:rPr>
          <w:szCs w:val="24"/>
        </w:rPr>
        <w:t>limits on specific radionuclides that provide early indications of changes in the operational status of the facility, or that make an exceptionally high contribution to the total dose</w:t>
      </w:r>
      <w:r w:rsidR="001D2189">
        <w:rPr>
          <w:szCs w:val="24"/>
        </w:rPr>
        <w:t xml:space="preserve"> to the representative person</w:t>
      </w:r>
      <w:r w:rsidRPr="00C10D10">
        <w:rPr>
          <w:szCs w:val="24"/>
        </w:rPr>
        <w:t xml:space="preserve">. When limits are specified for groups of radionuclides, the </w:t>
      </w:r>
      <w:r w:rsidR="001D2189">
        <w:rPr>
          <w:szCs w:val="24"/>
        </w:rPr>
        <w:t>approach</w:t>
      </w:r>
      <w:r w:rsidR="001D2189" w:rsidRPr="00C10D10">
        <w:rPr>
          <w:szCs w:val="24"/>
        </w:rPr>
        <w:t xml:space="preserve"> </w:t>
      </w:r>
      <w:r w:rsidRPr="00C10D10">
        <w:rPr>
          <w:szCs w:val="24"/>
        </w:rPr>
        <w:t>is usually to set the limit for the group on the basis of the characteristics of the most radiotoxic radionuclide of the group.</w:t>
      </w:r>
    </w:p>
    <w:p w:rsidR="002039EE" w:rsidRPr="00C10D10" w:rsidRDefault="002039EE" w:rsidP="008C60BE">
      <w:pPr>
        <w:tabs>
          <w:tab w:val="left" w:pos="851"/>
        </w:tabs>
        <w:autoSpaceDE w:val="0"/>
        <w:autoSpaceDN w:val="0"/>
        <w:adjustRightInd w:val="0"/>
        <w:spacing w:after="120" w:line="360" w:lineRule="auto"/>
        <w:jc w:val="both"/>
        <w:rPr>
          <w:rFonts w:ascii="Times New Roman" w:hAnsi="Times New Roman"/>
          <w:b/>
          <w:sz w:val="24"/>
          <w:szCs w:val="24"/>
        </w:rPr>
      </w:pPr>
      <w:r w:rsidRPr="00C10D10">
        <w:rPr>
          <w:rFonts w:ascii="Times New Roman" w:hAnsi="Times New Roman"/>
          <w:b/>
          <w:sz w:val="24"/>
          <w:szCs w:val="24"/>
        </w:rPr>
        <w:t xml:space="preserve">Site </w:t>
      </w:r>
      <w:r w:rsidR="001D2189">
        <w:rPr>
          <w:rFonts w:ascii="Times New Roman" w:hAnsi="Times New Roman"/>
          <w:b/>
          <w:sz w:val="24"/>
          <w:szCs w:val="24"/>
        </w:rPr>
        <w:t xml:space="preserve">specific </w:t>
      </w:r>
      <w:r w:rsidRPr="00C10D10">
        <w:rPr>
          <w:rFonts w:ascii="Times New Roman" w:hAnsi="Times New Roman"/>
          <w:b/>
          <w:sz w:val="24"/>
          <w:szCs w:val="24"/>
        </w:rPr>
        <w:t>or facility specific limits</w:t>
      </w:r>
    </w:p>
    <w:p w:rsidR="002039EE" w:rsidRPr="00C10D10" w:rsidRDefault="002039EE"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lastRenderedPageBreak/>
        <w:t xml:space="preserve">Discharge limits may be specified either for the whole site, for each unit within </w:t>
      </w:r>
      <w:r w:rsidR="00003A36">
        <w:rPr>
          <w:szCs w:val="24"/>
        </w:rPr>
        <w:t>a</w:t>
      </w:r>
      <w:r w:rsidRPr="00C10D10">
        <w:rPr>
          <w:szCs w:val="24"/>
        </w:rPr>
        <w:t xml:space="preserve"> site, or even for each discharge point, such as </w:t>
      </w:r>
      <w:r w:rsidR="00003A36">
        <w:rPr>
          <w:szCs w:val="24"/>
        </w:rPr>
        <w:t xml:space="preserve">a </w:t>
      </w:r>
      <w:r w:rsidRPr="00C10D10">
        <w:rPr>
          <w:szCs w:val="24"/>
        </w:rPr>
        <w:t xml:space="preserve">stack or </w:t>
      </w:r>
      <w:r w:rsidR="00003A36">
        <w:rPr>
          <w:szCs w:val="24"/>
        </w:rPr>
        <w:t xml:space="preserve">a </w:t>
      </w:r>
      <w:r w:rsidRPr="00C10D10">
        <w:rPr>
          <w:szCs w:val="24"/>
        </w:rPr>
        <w:t xml:space="preserve">pipe. A unit in this context means an identifiable entity that generates airborne or liquid waste. For example, at a large hospital, there may be a nuclear medicine facility, a waste treatment facility, and an incinerator, each of which has its own discharge point and each of which may be considered as a separate and independent unit on which discharge limits may be imposed. At a </w:t>
      </w:r>
      <w:r w:rsidR="00A15886" w:rsidRPr="00C10D10">
        <w:rPr>
          <w:szCs w:val="24"/>
        </w:rPr>
        <w:t>nuclear power plant</w:t>
      </w:r>
      <w:r w:rsidRPr="00C10D10">
        <w:rPr>
          <w:szCs w:val="24"/>
        </w:rPr>
        <w:t xml:space="preserve"> site, each unit may be a nuclear reactor. In </w:t>
      </w:r>
      <w:r w:rsidR="00003A36">
        <w:rPr>
          <w:szCs w:val="24"/>
        </w:rPr>
        <w:t>general</w:t>
      </w:r>
      <w:r w:rsidR="001D2189">
        <w:rPr>
          <w:szCs w:val="24"/>
        </w:rPr>
        <w:t>, the</w:t>
      </w:r>
      <w:r w:rsidRPr="00C10D10">
        <w:rPr>
          <w:szCs w:val="24"/>
        </w:rPr>
        <w:t xml:space="preserve"> regulatory bod</w:t>
      </w:r>
      <w:r w:rsidR="001D2189">
        <w:rPr>
          <w:szCs w:val="24"/>
        </w:rPr>
        <w:t>y</w:t>
      </w:r>
      <w:r w:rsidRPr="00C10D10">
        <w:rPr>
          <w:szCs w:val="24"/>
        </w:rPr>
        <w:t xml:space="preserve"> </w:t>
      </w:r>
      <w:r w:rsidR="001D2189">
        <w:rPr>
          <w:szCs w:val="24"/>
        </w:rPr>
        <w:t xml:space="preserve">will </w:t>
      </w:r>
      <w:r w:rsidRPr="00C10D10">
        <w:rPr>
          <w:szCs w:val="24"/>
        </w:rPr>
        <w:t xml:space="preserve">impose </w:t>
      </w:r>
      <w:r w:rsidR="00003A36">
        <w:rPr>
          <w:szCs w:val="24"/>
        </w:rPr>
        <w:t xml:space="preserve">discharge limits </w:t>
      </w:r>
      <w:r w:rsidR="001D2189">
        <w:rPr>
          <w:szCs w:val="24"/>
        </w:rPr>
        <w:t xml:space="preserve">for </w:t>
      </w:r>
      <w:r w:rsidR="00003A36">
        <w:rPr>
          <w:szCs w:val="24"/>
        </w:rPr>
        <w:t xml:space="preserve">each </w:t>
      </w:r>
      <w:r w:rsidRPr="00C10D10">
        <w:rPr>
          <w:szCs w:val="24"/>
        </w:rPr>
        <w:t xml:space="preserve">individual unit, but in some cases </w:t>
      </w:r>
      <w:r w:rsidR="001D2189">
        <w:rPr>
          <w:szCs w:val="24"/>
        </w:rPr>
        <w:t xml:space="preserve">the </w:t>
      </w:r>
      <w:r w:rsidRPr="00C10D10">
        <w:rPr>
          <w:szCs w:val="24"/>
        </w:rPr>
        <w:t>regulatory bod</w:t>
      </w:r>
      <w:r w:rsidR="001D2189">
        <w:rPr>
          <w:szCs w:val="24"/>
        </w:rPr>
        <w:t>y will</w:t>
      </w:r>
      <w:r w:rsidRPr="00C10D10">
        <w:rPr>
          <w:szCs w:val="24"/>
        </w:rPr>
        <w:t xml:space="preserve"> impose only a site limit, with no limits </w:t>
      </w:r>
      <w:r w:rsidR="001D2189">
        <w:rPr>
          <w:szCs w:val="24"/>
        </w:rPr>
        <w:t>for</w:t>
      </w:r>
      <w:r w:rsidR="001D2189" w:rsidRPr="00C10D10">
        <w:rPr>
          <w:szCs w:val="24"/>
        </w:rPr>
        <w:t xml:space="preserve"> </w:t>
      </w:r>
      <w:r w:rsidRPr="00C10D10">
        <w:rPr>
          <w:szCs w:val="24"/>
        </w:rPr>
        <w:t xml:space="preserve">individual units </w:t>
      </w:r>
      <w:r w:rsidR="00703FE4" w:rsidRPr="00C10D10">
        <w:rPr>
          <w:szCs w:val="24"/>
        </w:rPr>
        <w:t>[</w:t>
      </w:r>
      <w:r w:rsidR="00E53D21" w:rsidRPr="00C10D10">
        <w:rPr>
          <w:szCs w:val="24"/>
        </w:rPr>
        <w:t>I-8</w:t>
      </w:r>
      <w:r w:rsidR="00703FE4" w:rsidRPr="00C10D10">
        <w:rPr>
          <w:szCs w:val="24"/>
        </w:rPr>
        <w:t>]</w:t>
      </w:r>
      <w:r w:rsidRPr="00C10D10">
        <w:rPr>
          <w:szCs w:val="24"/>
        </w:rPr>
        <w:t xml:space="preserve">. </w:t>
      </w:r>
    </w:p>
    <w:p w:rsidR="002039EE" w:rsidRPr="00C10D10" w:rsidRDefault="002039EE" w:rsidP="008C60BE">
      <w:pPr>
        <w:tabs>
          <w:tab w:val="left" w:pos="851"/>
        </w:tabs>
        <w:autoSpaceDE w:val="0"/>
        <w:autoSpaceDN w:val="0"/>
        <w:adjustRightInd w:val="0"/>
        <w:spacing w:after="120" w:line="360" w:lineRule="auto"/>
        <w:jc w:val="both"/>
        <w:rPr>
          <w:rFonts w:ascii="Times New Roman" w:hAnsi="Times New Roman"/>
          <w:b/>
          <w:sz w:val="24"/>
          <w:szCs w:val="24"/>
        </w:rPr>
      </w:pPr>
      <w:r w:rsidRPr="00C10D10">
        <w:rPr>
          <w:rFonts w:ascii="Times New Roman" w:hAnsi="Times New Roman"/>
          <w:b/>
          <w:sz w:val="24"/>
          <w:szCs w:val="24"/>
        </w:rPr>
        <w:t>Time interval for demonstrating compliance</w:t>
      </w:r>
    </w:p>
    <w:p w:rsidR="002039EE" w:rsidRPr="00C10D10" w:rsidRDefault="002039EE"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The basic interval over which compliance is expected to be shown is </w:t>
      </w:r>
      <w:r w:rsidR="00003A36">
        <w:rPr>
          <w:szCs w:val="24"/>
        </w:rPr>
        <w:t>normally</w:t>
      </w:r>
      <w:r w:rsidRPr="00C10D10">
        <w:rPr>
          <w:szCs w:val="24"/>
        </w:rPr>
        <w:t xml:space="preserve"> one year, usually a calendar year, although a rolling 12 month period is also used. The advantage of the latter</w:t>
      </w:r>
      <w:r w:rsidR="001D2189">
        <w:rPr>
          <w:szCs w:val="24"/>
        </w:rPr>
        <w:t xml:space="preserve"> approach</w:t>
      </w:r>
      <w:r w:rsidRPr="00C10D10">
        <w:rPr>
          <w:szCs w:val="24"/>
        </w:rPr>
        <w:t xml:space="preserve"> is that it </w:t>
      </w:r>
      <w:r w:rsidR="001D2189">
        <w:rPr>
          <w:szCs w:val="24"/>
        </w:rPr>
        <w:t>may</w:t>
      </w:r>
      <w:r w:rsidRPr="00C10D10">
        <w:rPr>
          <w:szCs w:val="24"/>
        </w:rPr>
        <w:t xml:space="preserve"> permit closer supervision of the facility by the regulatory body, but it is administratively more cumbersome to </w:t>
      </w:r>
      <w:r w:rsidRPr="00005EF4">
        <w:rPr>
          <w:szCs w:val="24"/>
        </w:rPr>
        <w:t xml:space="preserve">implement. </w:t>
      </w:r>
      <w:r w:rsidR="00005EF4" w:rsidRPr="00047AF0">
        <w:rPr>
          <w:szCs w:val="24"/>
          <w:lang w:val="en-US"/>
        </w:rPr>
        <w:t>In some cases the interval can be tied to operati</w:t>
      </w:r>
      <w:r w:rsidR="001D2189">
        <w:rPr>
          <w:szCs w:val="24"/>
          <w:lang w:val="en-US"/>
        </w:rPr>
        <w:t xml:space="preserve">ng </w:t>
      </w:r>
      <w:r w:rsidR="00005EF4" w:rsidRPr="00047AF0">
        <w:rPr>
          <w:szCs w:val="24"/>
          <w:lang w:val="en-US"/>
        </w:rPr>
        <w:t>cycles of the activity, which may be longer than one year.</w:t>
      </w:r>
    </w:p>
    <w:p w:rsidR="002039EE" w:rsidRPr="00C10D10" w:rsidRDefault="002039EE"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Although annual discharge limits are almost </w:t>
      </w:r>
      <w:r w:rsidR="00787620">
        <w:rPr>
          <w:szCs w:val="24"/>
        </w:rPr>
        <w:t>always</w:t>
      </w:r>
      <w:r w:rsidR="00787620" w:rsidRPr="00C10D10">
        <w:rPr>
          <w:szCs w:val="24"/>
        </w:rPr>
        <w:t xml:space="preserve"> </w:t>
      </w:r>
      <w:r w:rsidRPr="00C10D10">
        <w:rPr>
          <w:szCs w:val="24"/>
        </w:rPr>
        <w:t xml:space="preserve">used and are considered as the primary means of regulatory control, some regulatory bodies </w:t>
      </w:r>
      <w:r w:rsidR="00B763A1" w:rsidRPr="00C10D10">
        <w:rPr>
          <w:szCs w:val="24"/>
        </w:rPr>
        <w:t xml:space="preserve">consider the need to establish </w:t>
      </w:r>
      <w:r w:rsidR="00186B2E">
        <w:rPr>
          <w:szCs w:val="24"/>
        </w:rPr>
        <w:t xml:space="preserve">discharge limits for </w:t>
      </w:r>
      <w:r w:rsidR="00B763A1" w:rsidRPr="00C10D10">
        <w:rPr>
          <w:szCs w:val="24"/>
        </w:rPr>
        <w:t>shorter periods</w:t>
      </w:r>
      <w:r w:rsidRPr="00C10D10">
        <w:rPr>
          <w:szCs w:val="24"/>
        </w:rPr>
        <w:t xml:space="preserve"> </w:t>
      </w:r>
      <w:r w:rsidR="007A074F">
        <w:rPr>
          <w:szCs w:val="24"/>
        </w:rPr>
        <w:t>(e.g</w:t>
      </w:r>
      <w:r w:rsidR="001D2189">
        <w:rPr>
          <w:szCs w:val="24"/>
        </w:rPr>
        <w:t>.</w:t>
      </w:r>
      <w:r w:rsidR="007A074F">
        <w:rPr>
          <w:szCs w:val="24"/>
        </w:rPr>
        <w:t xml:space="preserve"> on a monthly </w:t>
      </w:r>
      <w:r w:rsidR="001D2189">
        <w:rPr>
          <w:szCs w:val="24"/>
        </w:rPr>
        <w:t xml:space="preserve">basis </w:t>
      </w:r>
      <w:r w:rsidR="007A074F">
        <w:rPr>
          <w:szCs w:val="24"/>
        </w:rPr>
        <w:t xml:space="preserve">or </w:t>
      </w:r>
      <w:r w:rsidR="00787620">
        <w:rPr>
          <w:szCs w:val="24"/>
        </w:rPr>
        <w:t xml:space="preserve">a </w:t>
      </w:r>
      <w:r w:rsidR="007A074F">
        <w:rPr>
          <w:szCs w:val="24"/>
        </w:rPr>
        <w:t>quarterly basis)</w:t>
      </w:r>
      <w:r w:rsidRPr="00C10D10">
        <w:rPr>
          <w:szCs w:val="24"/>
        </w:rPr>
        <w:t xml:space="preserve">. </w:t>
      </w:r>
      <w:r w:rsidR="00B763A1" w:rsidRPr="00C10D10">
        <w:rPr>
          <w:szCs w:val="24"/>
        </w:rPr>
        <w:t>This</w:t>
      </w:r>
      <w:r w:rsidR="007A074F">
        <w:rPr>
          <w:szCs w:val="24"/>
        </w:rPr>
        <w:t xml:space="preserve"> could be</w:t>
      </w:r>
      <w:r w:rsidR="00B763A1" w:rsidRPr="00C10D10">
        <w:rPr>
          <w:szCs w:val="24"/>
        </w:rPr>
        <w:t xml:space="preserve"> justified </w:t>
      </w:r>
      <w:r w:rsidR="007A074F">
        <w:rPr>
          <w:szCs w:val="24"/>
        </w:rPr>
        <w:t>if there is</w:t>
      </w:r>
      <w:r w:rsidR="00C505DE">
        <w:rPr>
          <w:szCs w:val="24"/>
        </w:rPr>
        <w:t xml:space="preserve"> </w:t>
      </w:r>
      <w:r w:rsidRPr="00C10D10">
        <w:rPr>
          <w:szCs w:val="24"/>
        </w:rPr>
        <w:t>concern</w:t>
      </w:r>
      <w:r w:rsidR="00E7351C" w:rsidRPr="00C10D10">
        <w:rPr>
          <w:szCs w:val="24"/>
        </w:rPr>
        <w:t xml:space="preserve"> </w:t>
      </w:r>
      <w:r w:rsidRPr="00C10D10">
        <w:rPr>
          <w:szCs w:val="24"/>
        </w:rPr>
        <w:t>that the validity of the</w:t>
      </w:r>
      <w:r w:rsidR="00F9241D">
        <w:rPr>
          <w:szCs w:val="24"/>
        </w:rPr>
        <w:t xml:space="preserve"> averag</w:t>
      </w:r>
      <w:r w:rsidR="001D2189">
        <w:rPr>
          <w:szCs w:val="24"/>
        </w:rPr>
        <w:t>ing</w:t>
      </w:r>
      <w:r w:rsidRPr="00C10D10">
        <w:rPr>
          <w:szCs w:val="24"/>
        </w:rPr>
        <w:t xml:space="preserve"> assumptions used in setting annual discharge limits </w:t>
      </w:r>
      <w:r w:rsidR="00084873" w:rsidRPr="00C10D10">
        <w:rPr>
          <w:szCs w:val="24"/>
        </w:rPr>
        <w:t xml:space="preserve">(e.g. in the estimation of </w:t>
      </w:r>
      <w:r w:rsidR="001D2189">
        <w:rPr>
          <w:szCs w:val="24"/>
        </w:rPr>
        <w:t xml:space="preserve">the </w:t>
      </w:r>
      <w:r w:rsidR="00084873" w:rsidRPr="00C10D10">
        <w:rPr>
          <w:szCs w:val="24"/>
        </w:rPr>
        <w:t xml:space="preserve">dose to </w:t>
      </w:r>
      <w:r w:rsidR="001D2189">
        <w:rPr>
          <w:szCs w:val="24"/>
        </w:rPr>
        <w:t xml:space="preserve">the </w:t>
      </w:r>
      <w:r w:rsidR="00084873" w:rsidRPr="00C10D10">
        <w:rPr>
          <w:szCs w:val="24"/>
        </w:rPr>
        <w:t xml:space="preserve">representative person) </w:t>
      </w:r>
      <w:r w:rsidR="00787620">
        <w:rPr>
          <w:szCs w:val="24"/>
        </w:rPr>
        <w:t>is</w:t>
      </w:r>
      <w:r w:rsidR="00787620" w:rsidRPr="00C10D10">
        <w:rPr>
          <w:szCs w:val="24"/>
        </w:rPr>
        <w:t xml:space="preserve"> </w:t>
      </w:r>
      <w:r w:rsidRPr="00C10D10">
        <w:rPr>
          <w:szCs w:val="24"/>
        </w:rPr>
        <w:t xml:space="preserve">not applicable </w:t>
      </w:r>
      <w:r w:rsidR="00F9241D">
        <w:rPr>
          <w:szCs w:val="24"/>
        </w:rPr>
        <w:t>if</w:t>
      </w:r>
      <w:r w:rsidR="00F9241D" w:rsidRPr="00C10D10">
        <w:rPr>
          <w:szCs w:val="24"/>
        </w:rPr>
        <w:t xml:space="preserve"> </w:t>
      </w:r>
      <w:r w:rsidRPr="00C10D10">
        <w:rPr>
          <w:szCs w:val="24"/>
        </w:rPr>
        <w:t>short</w:t>
      </w:r>
      <w:r w:rsidR="001D2189">
        <w:rPr>
          <w:szCs w:val="24"/>
        </w:rPr>
        <w:t xml:space="preserve"> </w:t>
      </w:r>
      <w:r w:rsidRPr="00C10D10">
        <w:rPr>
          <w:szCs w:val="24"/>
        </w:rPr>
        <w:t xml:space="preserve">term </w:t>
      </w:r>
      <w:r w:rsidR="00F9241D">
        <w:rPr>
          <w:szCs w:val="24"/>
        </w:rPr>
        <w:t xml:space="preserve">increased </w:t>
      </w:r>
      <w:r w:rsidRPr="00C10D10">
        <w:rPr>
          <w:szCs w:val="24"/>
        </w:rPr>
        <w:t>discharges</w:t>
      </w:r>
      <w:r w:rsidR="00F9241D">
        <w:rPr>
          <w:szCs w:val="24"/>
        </w:rPr>
        <w:t xml:space="preserve"> occur</w:t>
      </w:r>
      <w:r w:rsidRPr="00C10D10">
        <w:rPr>
          <w:szCs w:val="24"/>
        </w:rPr>
        <w:t xml:space="preserve">. </w:t>
      </w:r>
      <w:r w:rsidR="00B763A1" w:rsidRPr="00C10D10">
        <w:rPr>
          <w:szCs w:val="24"/>
        </w:rPr>
        <w:t xml:space="preserve">For </w:t>
      </w:r>
      <w:r w:rsidR="001D2189">
        <w:rPr>
          <w:szCs w:val="24"/>
        </w:rPr>
        <w:t>such</w:t>
      </w:r>
      <w:r w:rsidR="001D2189" w:rsidRPr="00C10D10">
        <w:rPr>
          <w:szCs w:val="24"/>
        </w:rPr>
        <w:t xml:space="preserve"> </w:t>
      </w:r>
      <w:r w:rsidR="00B763A1" w:rsidRPr="00C10D10">
        <w:rPr>
          <w:szCs w:val="24"/>
        </w:rPr>
        <w:t>cases</w:t>
      </w:r>
      <w:r w:rsidR="001D2189">
        <w:rPr>
          <w:szCs w:val="24"/>
        </w:rPr>
        <w:t>,</w:t>
      </w:r>
      <w:r w:rsidR="00B763A1" w:rsidRPr="00C10D10">
        <w:rPr>
          <w:szCs w:val="24"/>
        </w:rPr>
        <w:t xml:space="preserve"> dose assessments </w:t>
      </w:r>
      <w:r w:rsidR="007A074F">
        <w:rPr>
          <w:szCs w:val="24"/>
        </w:rPr>
        <w:t xml:space="preserve">using assumptions valid for the shorter periods </w:t>
      </w:r>
      <w:r w:rsidR="00084873" w:rsidRPr="00C10D10">
        <w:rPr>
          <w:szCs w:val="24"/>
        </w:rPr>
        <w:t xml:space="preserve">need to </w:t>
      </w:r>
      <w:r w:rsidR="00B763A1" w:rsidRPr="00C10D10">
        <w:rPr>
          <w:szCs w:val="24"/>
        </w:rPr>
        <w:t xml:space="preserve">be </w:t>
      </w:r>
      <w:r w:rsidR="001D2189">
        <w:rPr>
          <w:szCs w:val="24"/>
        </w:rPr>
        <w:t>carried out</w:t>
      </w:r>
      <w:r w:rsidR="00B763A1" w:rsidRPr="00C10D10">
        <w:rPr>
          <w:szCs w:val="24"/>
        </w:rPr>
        <w:t xml:space="preserve">. </w:t>
      </w:r>
    </w:p>
    <w:p w:rsidR="002039EE" w:rsidRDefault="002039EE"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Parameters </w:t>
      </w:r>
      <w:r w:rsidR="00DF7CEE">
        <w:rPr>
          <w:szCs w:val="24"/>
        </w:rPr>
        <w:t xml:space="preserve">used to estimate the doses </w:t>
      </w:r>
      <w:r w:rsidR="001D2189">
        <w:rPr>
          <w:szCs w:val="24"/>
        </w:rPr>
        <w:t>that</w:t>
      </w:r>
      <w:r w:rsidR="005B5949">
        <w:rPr>
          <w:szCs w:val="24"/>
        </w:rPr>
        <w:t xml:space="preserve"> form</w:t>
      </w:r>
      <w:r w:rsidR="00DF7CEE">
        <w:rPr>
          <w:szCs w:val="24"/>
        </w:rPr>
        <w:t xml:space="preserve"> the basis for setting discharge limits </w:t>
      </w:r>
      <w:r w:rsidRPr="00C10D10">
        <w:rPr>
          <w:szCs w:val="24"/>
        </w:rPr>
        <w:t xml:space="preserve">are typically chosen to be representative of annual averages. For example, the prevailing wind direction and speed, the stability </w:t>
      </w:r>
      <w:r w:rsidR="006875B0">
        <w:rPr>
          <w:szCs w:val="24"/>
        </w:rPr>
        <w:t xml:space="preserve">category </w:t>
      </w:r>
      <w:r w:rsidRPr="00C10D10">
        <w:rPr>
          <w:szCs w:val="24"/>
        </w:rPr>
        <w:t>of the atmosphere, and the dietary habits a</w:t>
      </w:r>
      <w:r w:rsidR="006875B0">
        <w:rPr>
          <w:szCs w:val="24"/>
        </w:rPr>
        <w:t>ssumed</w:t>
      </w:r>
      <w:r w:rsidRPr="00C10D10">
        <w:rPr>
          <w:szCs w:val="24"/>
        </w:rPr>
        <w:t xml:space="preserve"> are usually annual averages.</w:t>
      </w:r>
      <w:r w:rsidR="00E853D4">
        <w:rPr>
          <w:szCs w:val="24"/>
        </w:rPr>
        <w:t xml:space="preserve"> I</w:t>
      </w:r>
      <w:r w:rsidRPr="00C10D10">
        <w:rPr>
          <w:szCs w:val="24"/>
        </w:rPr>
        <w:t xml:space="preserve">t is possible that </w:t>
      </w:r>
      <w:r w:rsidR="00E853D4">
        <w:rPr>
          <w:szCs w:val="24"/>
        </w:rPr>
        <w:t>a</w:t>
      </w:r>
      <w:r w:rsidR="00E853D4" w:rsidRPr="00C10D10">
        <w:rPr>
          <w:szCs w:val="24"/>
        </w:rPr>
        <w:t xml:space="preserve"> </w:t>
      </w:r>
      <w:r w:rsidRPr="00C10D10">
        <w:rPr>
          <w:szCs w:val="24"/>
        </w:rPr>
        <w:t xml:space="preserve">facility may discharge a significant fraction of its annual allowance over a short </w:t>
      </w:r>
      <w:r w:rsidR="006875B0">
        <w:rPr>
          <w:szCs w:val="24"/>
        </w:rPr>
        <w:t>period</w:t>
      </w:r>
      <w:r w:rsidRPr="00C10D10">
        <w:rPr>
          <w:szCs w:val="24"/>
        </w:rPr>
        <w:t xml:space="preserve">, or a series of short </w:t>
      </w:r>
      <w:r w:rsidR="006875B0">
        <w:rPr>
          <w:szCs w:val="24"/>
        </w:rPr>
        <w:t>period</w:t>
      </w:r>
      <w:r w:rsidRPr="00C10D10">
        <w:rPr>
          <w:szCs w:val="24"/>
        </w:rPr>
        <w:t>s</w:t>
      </w:r>
      <w:r w:rsidR="00E853D4">
        <w:rPr>
          <w:szCs w:val="24"/>
        </w:rPr>
        <w:t>.</w:t>
      </w:r>
      <w:r w:rsidRPr="00C10D10">
        <w:rPr>
          <w:szCs w:val="24"/>
        </w:rPr>
        <w:t xml:space="preserve"> Short</w:t>
      </w:r>
      <w:r w:rsidR="00E853D4">
        <w:rPr>
          <w:szCs w:val="24"/>
        </w:rPr>
        <w:t xml:space="preserve"> </w:t>
      </w:r>
      <w:r w:rsidRPr="00C10D10">
        <w:rPr>
          <w:szCs w:val="24"/>
        </w:rPr>
        <w:t>term limits are therefore often specified in addition to annual limits. The short</w:t>
      </w:r>
      <w:r w:rsidR="00E853D4">
        <w:rPr>
          <w:szCs w:val="24"/>
        </w:rPr>
        <w:t xml:space="preserve"> </w:t>
      </w:r>
      <w:r w:rsidRPr="00C10D10">
        <w:rPr>
          <w:szCs w:val="24"/>
        </w:rPr>
        <w:t xml:space="preserve">term limits also allow the </w:t>
      </w:r>
      <w:r w:rsidR="00EB3D33" w:rsidRPr="00C10D10">
        <w:rPr>
          <w:szCs w:val="24"/>
        </w:rPr>
        <w:t>regulatory body</w:t>
      </w:r>
      <w:r w:rsidRPr="00C10D10">
        <w:rPr>
          <w:szCs w:val="24"/>
        </w:rPr>
        <w:t xml:space="preserve"> to more closely monitor the facility’s performance, and to take action </w:t>
      </w:r>
      <w:r w:rsidR="00536739">
        <w:rPr>
          <w:szCs w:val="24"/>
        </w:rPr>
        <w:t>if</w:t>
      </w:r>
      <w:r w:rsidR="00536739" w:rsidRPr="00C10D10">
        <w:rPr>
          <w:szCs w:val="24"/>
        </w:rPr>
        <w:t xml:space="preserve"> </w:t>
      </w:r>
      <w:r w:rsidRPr="00C10D10">
        <w:rPr>
          <w:szCs w:val="24"/>
        </w:rPr>
        <w:t>operations fail to meet the short</w:t>
      </w:r>
      <w:r w:rsidR="00E853D4">
        <w:rPr>
          <w:szCs w:val="24"/>
        </w:rPr>
        <w:t xml:space="preserve"> </w:t>
      </w:r>
      <w:r w:rsidRPr="00C10D10">
        <w:rPr>
          <w:szCs w:val="24"/>
        </w:rPr>
        <w:t>term limits. Short</w:t>
      </w:r>
      <w:r w:rsidR="00931A73" w:rsidRPr="00C10D10">
        <w:rPr>
          <w:szCs w:val="24"/>
        </w:rPr>
        <w:t xml:space="preserve"> </w:t>
      </w:r>
      <w:r w:rsidRPr="00C10D10">
        <w:rPr>
          <w:szCs w:val="24"/>
        </w:rPr>
        <w:t>term limits are generally higher than the pro</w:t>
      </w:r>
      <w:r w:rsidR="00703FE4" w:rsidRPr="00C10D10">
        <w:rPr>
          <w:szCs w:val="24"/>
        </w:rPr>
        <w:t>-</w:t>
      </w:r>
      <w:r w:rsidRPr="00C10D10">
        <w:rPr>
          <w:szCs w:val="24"/>
        </w:rPr>
        <w:t xml:space="preserve">rated value for the applicable duration, to allow for operational flexibility </w:t>
      </w:r>
      <w:r w:rsidR="00703FE4" w:rsidRPr="00C10D10">
        <w:rPr>
          <w:szCs w:val="24"/>
        </w:rPr>
        <w:t>[</w:t>
      </w:r>
      <w:r w:rsidR="00E53D21" w:rsidRPr="00C10D10">
        <w:rPr>
          <w:szCs w:val="24"/>
        </w:rPr>
        <w:t>I-8</w:t>
      </w:r>
      <w:r w:rsidR="00703FE4" w:rsidRPr="00C10D10">
        <w:rPr>
          <w:szCs w:val="24"/>
        </w:rPr>
        <w:t>]</w:t>
      </w:r>
      <w:r w:rsidRPr="00C10D10">
        <w:rPr>
          <w:szCs w:val="24"/>
        </w:rPr>
        <w:t xml:space="preserve">. </w:t>
      </w:r>
    </w:p>
    <w:p w:rsidR="00005EF4" w:rsidRPr="007E338E" w:rsidRDefault="00005EF4" w:rsidP="0091132F">
      <w:pPr>
        <w:pStyle w:val="ListParagraph"/>
        <w:numPr>
          <w:ilvl w:val="0"/>
          <w:numId w:val="20"/>
        </w:numPr>
        <w:tabs>
          <w:tab w:val="left" w:pos="851"/>
        </w:tabs>
        <w:autoSpaceDE w:val="0"/>
        <w:autoSpaceDN w:val="0"/>
        <w:adjustRightInd w:val="0"/>
        <w:contextualSpacing w:val="0"/>
        <w:jc w:val="both"/>
        <w:rPr>
          <w:szCs w:val="24"/>
        </w:rPr>
      </w:pPr>
      <w:r w:rsidRPr="001B2920">
        <w:rPr>
          <w:szCs w:val="24"/>
        </w:rPr>
        <w:t xml:space="preserve">Consideration also needs to be given to setting discharge limits for those facilities where </w:t>
      </w:r>
      <w:r w:rsidR="001B2920">
        <w:rPr>
          <w:szCs w:val="24"/>
        </w:rPr>
        <w:t xml:space="preserve">total </w:t>
      </w:r>
      <w:r w:rsidRPr="001B2920">
        <w:rPr>
          <w:szCs w:val="24"/>
        </w:rPr>
        <w:t xml:space="preserve">discharges are generally low but </w:t>
      </w:r>
      <w:r w:rsidR="00E853D4">
        <w:rPr>
          <w:szCs w:val="24"/>
        </w:rPr>
        <w:t xml:space="preserve">where </w:t>
      </w:r>
      <w:r w:rsidRPr="001B2920">
        <w:rPr>
          <w:szCs w:val="24"/>
        </w:rPr>
        <w:t>specific events can result in short</w:t>
      </w:r>
      <w:r w:rsidR="00E853D4">
        <w:rPr>
          <w:szCs w:val="24"/>
        </w:rPr>
        <w:t xml:space="preserve"> </w:t>
      </w:r>
      <w:r w:rsidRPr="001B2920">
        <w:rPr>
          <w:szCs w:val="24"/>
        </w:rPr>
        <w:t xml:space="preserve">term discharges </w:t>
      </w:r>
      <w:r w:rsidRPr="001B2920">
        <w:rPr>
          <w:szCs w:val="24"/>
        </w:rPr>
        <w:lastRenderedPageBreak/>
        <w:t>without markedly affecting the long</w:t>
      </w:r>
      <w:r w:rsidR="00E853D4">
        <w:rPr>
          <w:szCs w:val="24"/>
        </w:rPr>
        <w:t xml:space="preserve"> </w:t>
      </w:r>
      <w:r w:rsidRPr="001B2920">
        <w:rPr>
          <w:szCs w:val="24"/>
        </w:rPr>
        <w:t>term average</w:t>
      </w:r>
      <w:r w:rsidR="00E853D4">
        <w:rPr>
          <w:szCs w:val="24"/>
        </w:rPr>
        <w:t xml:space="preserve"> discharges,</w:t>
      </w:r>
      <w:r w:rsidRPr="001B2920">
        <w:rPr>
          <w:szCs w:val="24"/>
        </w:rPr>
        <w:t xml:space="preserve"> </w:t>
      </w:r>
      <w:r w:rsidR="00186B2E">
        <w:rPr>
          <w:szCs w:val="24"/>
        </w:rPr>
        <w:t>e.g.</w:t>
      </w:r>
      <w:r w:rsidRPr="001B2920">
        <w:rPr>
          <w:szCs w:val="24"/>
        </w:rPr>
        <w:t xml:space="preserve"> </w:t>
      </w:r>
      <w:r w:rsidR="00186B2E">
        <w:rPr>
          <w:szCs w:val="24"/>
        </w:rPr>
        <w:t xml:space="preserve">replacement of </w:t>
      </w:r>
      <w:r w:rsidRPr="001B2920">
        <w:rPr>
          <w:szCs w:val="24"/>
        </w:rPr>
        <w:t>the molybdenum generators in a technetium produ</w:t>
      </w:r>
      <w:r w:rsidRPr="007E338E">
        <w:rPr>
          <w:szCs w:val="24"/>
        </w:rPr>
        <w:t>ction facility</w:t>
      </w:r>
      <w:r w:rsidR="007E338E">
        <w:rPr>
          <w:szCs w:val="24"/>
        </w:rPr>
        <w:t xml:space="preserve"> or discharges from hospitals treating patients with radioiodine</w:t>
      </w:r>
      <w:r w:rsidRPr="007E338E">
        <w:rPr>
          <w:szCs w:val="24"/>
        </w:rPr>
        <w:t>).</w:t>
      </w:r>
    </w:p>
    <w:p w:rsidR="003964D9" w:rsidRPr="00C10D10" w:rsidRDefault="002039EE" w:rsidP="008C60BE">
      <w:pPr>
        <w:keepNext/>
        <w:tabs>
          <w:tab w:val="left" w:pos="851"/>
        </w:tabs>
        <w:autoSpaceDE w:val="0"/>
        <w:autoSpaceDN w:val="0"/>
        <w:adjustRightInd w:val="0"/>
        <w:spacing w:after="120" w:line="360" w:lineRule="auto"/>
        <w:jc w:val="both"/>
        <w:rPr>
          <w:rFonts w:ascii="Times New Roman" w:hAnsi="Times New Roman"/>
          <w:b/>
          <w:sz w:val="24"/>
          <w:szCs w:val="24"/>
        </w:rPr>
      </w:pPr>
      <w:r w:rsidRPr="00C10D10">
        <w:rPr>
          <w:rFonts w:ascii="Times New Roman" w:hAnsi="Times New Roman"/>
          <w:b/>
          <w:sz w:val="24"/>
          <w:szCs w:val="24"/>
        </w:rPr>
        <w:t>Operational flexibility</w:t>
      </w:r>
    </w:p>
    <w:p w:rsidR="002039EE" w:rsidRPr="00C10D10" w:rsidRDefault="002038B2" w:rsidP="0091132F">
      <w:pPr>
        <w:pStyle w:val="ListParagraph"/>
        <w:numPr>
          <w:ilvl w:val="0"/>
          <w:numId w:val="20"/>
        </w:numPr>
        <w:tabs>
          <w:tab w:val="left" w:pos="851"/>
        </w:tabs>
        <w:autoSpaceDE w:val="0"/>
        <w:autoSpaceDN w:val="0"/>
        <w:adjustRightInd w:val="0"/>
        <w:contextualSpacing w:val="0"/>
        <w:jc w:val="both"/>
        <w:rPr>
          <w:szCs w:val="24"/>
        </w:rPr>
      </w:pPr>
      <w:r>
        <w:rPr>
          <w:szCs w:val="24"/>
        </w:rPr>
        <w:t xml:space="preserve">Discharge limits are set </w:t>
      </w:r>
      <w:r w:rsidR="00E853D4">
        <w:rPr>
          <w:szCs w:val="24"/>
        </w:rPr>
        <w:t xml:space="preserve">by </w:t>
      </w:r>
      <w:r>
        <w:rPr>
          <w:szCs w:val="24"/>
        </w:rPr>
        <w:t xml:space="preserve">taking account </w:t>
      </w:r>
      <w:r w:rsidR="00E853D4">
        <w:rPr>
          <w:szCs w:val="24"/>
        </w:rPr>
        <w:t xml:space="preserve">of </w:t>
      </w:r>
      <w:r>
        <w:rPr>
          <w:szCs w:val="24"/>
        </w:rPr>
        <w:t xml:space="preserve">dose constraints and </w:t>
      </w:r>
      <w:r w:rsidR="00E853D4">
        <w:rPr>
          <w:szCs w:val="24"/>
        </w:rPr>
        <w:t xml:space="preserve">the need for </w:t>
      </w:r>
      <w:r>
        <w:rPr>
          <w:szCs w:val="24"/>
        </w:rPr>
        <w:t>optimization</w:t>
      </w:r>
      <w:r w:rsidR="00E853D4">
        <w:rPr>
          <w:szCs w:val="24"/>
        </w:rPr>
        <w:t>,</w:t>
      </w:r>
      <w:r>
        <w:rPr>
          <w:szCs w:val="24"/>
        </w:rPr>
        <w:t xml:space="preserve"> so a breach of </w:t>
      </w:r>
      <w:r w:rsidR="00E853D4">
        <w:rPr>
          <w:szCs w:val="24"/>
        </w:rPr>
        <w:t xml:space="preserve">a </w:t>
      </w:r>
      <w:r>
        <w:rPr>
          <w:szCs w:val="24"/>
        </w:rPr>
        <w:t xml:space="preserve">discharge limit may not result in a breach of </w:t>
      </w:r>
      <w:r w:rsidR="00E853D4">
        <w:rPr>
          <w:szCs w:val="24"/>
        </w:rPr>
        <w:t xml:space="preserve">a </w:t>
      </w:r>
      <w:r>
        <w:rPr>
          <w:szCs w:val="24"/>
        </w:rPr>
        <w:t>dose limit</w:t>
      </w:r>
      <w:r w:rsidR="00E853D4">
        <w:rPr>
          <w:szCs w:val="24"/>
        </w:rPr>
        <w:t>; indeed this</w:t>
      </w:r>
      <w:r>
        <w:rPr>
          <w:szCs w:val="24"/>
        </w:rPr>
        <w:t xml:space="preserve"> is the main aim of the regulatory control of discharges. </w:t>
      </w:r>
      <w:r w:rsidR="00F74949">
        <w:rPr>
          <w:szCs w:val="24"/>
        </w:rPr>
        <w:t>E</w:t>
      </w:r>
      <w:r w:rsidR="002039EE" w:rsidRPr="00C10D10">
        <w:rPr>
          <w:szCs w:val="24"/>
        </w:rPr>
        <w:t xml:space="preserve">xceeding </w:t>
      </w:r>
      <w:r w:rsidR="00C060B5" w:rsidRPr="00C10D10">
        <w:rPr>
          <w:szCs w:val="24"/>
        </w:rPr>
        <w:t xml:space="preserve">discharge </w:t>
      </w:r>
      <w:r w:rsidR="002039EE" w:rsidRPr="00C10D10">
        <w:rPr>
          <w:szCs w:val="24"/>
        </w:rPr>
        <w:t>limits w</w:t>
      </w:r>
      <w:r w:rsidR="00F74949">
        <w:rPr>
          <w:szCs w:val="24"/>
        </w:rPr>
        <w:t>ould</w:t>
      </w:r>
      <w:r w:rsidR="002039EE" w:rsidRPr="00C10D10">
        <w:rPr>
          <w:szCs w:val="24"/>
        </w:rPr>
        <w:t xml:space="preserve"> normally initiate </w:t>
      </w:r>
      <w:r w:rsidR="00F74949">
        <w:rPr>
          <w:szCs w:val="24"/>
        </w:rPr>
        <w:t xml:space="preserve">actions by the </w:t>
      </w:r>
      <w:r w:rsidR="00C060B5" w:rsidRPr="00C10D10">
        <w:rPr>
          <w:szCs w:val="24"/>
        </w:rPr>
        <w:t xml:space="preserve">licensee </w:t>
      </w:r>
      <w:r w:rsidR="0005712E">
        <w:rPr>
          <w:szCs w:val="24"/>
        </w:rPr>
        <w:t>and</w:t>
      </w:r>
      <w:r w:rsidR="00E853D4">
        <w:rPr>
          <w:szCs w:val="24"/>
        </w:rPr>
        <w:t xml:space="preserve"> </w:t>
      </w:r>
      <w:r w:rsidR="0034324F">
        <w:rPr>
          <w:szCs w:val="24"/>
        </w:rPr>
        <w:t xml:space="preserve">the </w:t>
      </w:r>
      <w:r w:rsidR="002039EE" w:rsidRPr="00C10D10">
        <w:rPr>
          <w:szCs w:val="24"/>
        </w:rPr>
        <w:t xml:space="preserve">regulatory </w:t>
      </w:r>
      <w:r w:rsidR="0034324F">
        <w:rPr>
          <w:szCs w:val="24"/>
        </w:rPr>
        <w:t>body</w:t>
      </w:r>
      <w:r w:rsidR="00C060B5" w:rsidRPr="00C10D10">
        <w:rPr>
          <w:szCs w:val="24"/>
        </w:rPr>
        <w:t xml:space="preserve"> (e.g. </w:t>
      </w:r>
      <w:r w:rsidR="00787620">
        <w:rPr>
          <w:szCs w:val="24"/>
        </w:rPr>
        <w:t xml:space="preserve">a </w:t>
      </w:r>
      <w:r>
        <w:rPr>
          <w:szCs w:val="24"/>
        </w:rPr>
        <w:t xml:space="preserve">report, </w:t>
      </w:r>
      <w:r w:rsidR="00787620">
        <w:rPr>
          <w:szCs w:val="24"/>
        </w:rPr>
        <w:t xml:space="preserve">an </w:t>
      </w:r>
      <w:r w:rsidR="00C060B5" w:rsidRPr="00C10D10">
        <w:rPr>
          <w:szCs w:val="24"/>
        </w:rPr>
        <w:t>investigation, corrective measures</w:t>
      </w:r>
      <w:r w:rsidR="0005712E">
        <w:rPr>
          <w:szCs w:val="24"/>
        </w:rPr>
        <w:t>, inspections</w:t>
      </w:r>
      <w:r w:rsidR="00C060B5" w:rsidRPr="00C10D10">
        <w:rPr>
          <w:szCs w:val="24"/>
        </w:rPr>
        <w:t>)</w:t>
      </w:r>
      <w:r w:rsidR="00F74949">
        <w:rPr>
          <w:szCs w:val="24"/>
        </w:rPr>
        <w:t xml:space="preserve">, even if </w:t>
      </w:r>
      <w:r w:rsidR="00E853D4">
        <w:rPr>
          <w:szCs w:val="24"/>
        </w:rPr>
        <w:t xml:space="preserve">the resulting </w:t>
      </w:r>
      <w:r w:rsidR="00F74949">
        <w:rPr>
          <w:szCs w:val="24"/>
        </w:rPr>
        <w:t>doses to the public are assessed to be below the dose limits</w:t>
      </w:r>
      <w:r w:rsidR="002039EE" w:rsidRPr="00C10D10">
        <w:rPr>
          <w:szCs w:val="24"/>
        </w:rPr>
        <w:t xml:space="preserve">. </w:t>
      </w:r>
      <w:r w:rsidR="00F74949">
        <w:rPr>
          <w:szCs w:val="24"/>
        </w:rPr>
        <w:t>T</w:t>
      </w:r>
      <w:r w:rsidR="002039EE" w:rsidRPr="00C10D10">
        <w:rPr>
          <w:szCs w:val="24"/>
        </w:rPr>
        <w:t xml:space="preserve">o avoid frequent </w:t>
      </w:r>
      <w:r>
        <w:rPr>
          <w:szCs w:val="24"/>
        </w:rPr>
        <w:t xml:space="preserve">contraventions </w:t>
      </w:r>
      <w:r w:rsidR="002039EE" w:rsidRPr="00C10D10">
        <w:rPr>
          <w:szCs w:val="24"/>
        </w:rPr>
        <w:t>of regulatory requirements that would result in significant</w:t>
      </w:r>
      <w:r w:rsidR="00D62BEB">
        <w:rPr>
          <w:szCs w:val="24"/>
        </w:rPr>
        <w:t xml:space="preserve"> and</w:t>
      </w:r>
      <w:r w:rsidR="002039EE" w:rsidRPr="00C10D10">
        <w:rPr>
          <w:szCs w:val="24"/>
        </w:rPr>
        <w:t xml:space="preserve"> </w:t>
      </w:r>
      <w:r>
        <w:rPr>
          <w:szCs w:val="24"/>
        </w:rPr>
        <w:t xml:space="preserve">unnecessary </w:t>
      </w:r>
      <w:r w:rsidR="002039EE" w:rsidRPr="00C10D10">
        <w:rPr>
          <w:szCs w:val="24"/>
        </w:rPr>
        <w:t>expenditure of resources, negative public perception and frequent interference with the operation of the facility</w:t>
      </w:r>
      <w:r w:rsidR="00E853D4">
        <w:rPr>
          <w:szCs w:val="24"/>
        </w:rPr>
        <w:t>,</w:t>
      </w:r>
      <w:r w:rsidR="00F74949">
        <w:rPr>
          <w:szCs w:val="24"/>
        </w:rPr>
        <w:t xml:space="preserve"> some</w:t>
      </w:r>
      <w:r w:rsidR="00F74949" w:rsidRPr="00C10D10">
        <w:rPr>
          <w:szCs w:val="24"/>
        </w:rPr>
        <w:t xml:space="preserve"> </w:t>
      </w:r>
      <w:r w:rsidR="008A50A7">
        <w:rPr>
          <w:szCs w:val="24"/>
        </w:rPr>
        <w:t xml:space="preserve">margin for </w:t>
      </w:r>
      <w:r w:rsidR="00F74949" w:rsidRPr="00C10D10">
        <w:rPr>
          <w:szCs w:val="24"/>
        </w:rPr>
        <w:t xml:space="preserve">operational flexibility </w:t>
      </w:r>
      <w:r w:rsidR="00D62BEB">
        <w:rPr>
          <w:szCs w:val="24"/>
        </w:rPr>
        <w:t xml:space="preserve">may </w:t>
      </w:r>
      <w:r w:rsidR="0034324F">
        <w:rPr>
          <w:szCs w:val="24"/>
        </w:rPr>
        <w:t>be</w:t>
      </w:r>
      <w:r w:rsidR="00F74949">
        <w:rPr>
          <w:szCs w:val="24"/>
        </w:rPr>
        <w:t xml:space="preserve"> allowed when</w:t>
      </w:r>
      <w:r w:rsidR="00F74949" w:rsidRPr="00C10D10">
        <w:rPr>
          <w:szCs w:val="24"/>
        </w:rPr>
        <w:t xml:space="preserve"> setting discharge limits</w:t>
      </w:r>
      <w:r w:rsidR="002039EE" w:rsidRPr="00C10D10">
        <w:rPr>
          <w:szCs w:val="24"/>
        </w:rPr>
        <w:t xml:space="preserve">. </w:t>
      </w:r>
    </w:p>
    <w:p w:rsidR="002039EE" w:rsidRPr="00C10D10" w:rsidRDefault="002039EE"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 </w:t>
      </w:r>
      <w:r w:rsidR="008A50A7">
        <w:rPr>
          <w:szCs w:val="24"/>
        </w:rPr>
        <w:t xml:space="preserve">The margin for </w:t>
      </w:r>
      <w:r w:rsidRPr="00C10D10">
        <w:rPr>
          <w:szCs w:val="24"/>
        </w:rPr>
        <w:t xml:space="preserve">operational flexibility </w:t>
      </w:r>
      <w:r w:rsidR="00D62BEB">
        <w:rPr>
          <w:szCs w:val="24"/>
        </w:rPr>
        <w:t>need</w:t>
      </w:r>
      <w:r w:rsidR="00E853D4">
        <w:rPr>
          <w:szCs w:val="24"/>
        </w:rPr>
        <w:t>s to</w:t>
      </w:r>
      <w:r w:rsidR="00D62BEB">
        <w:rPr>
          <w:szCs w:val="24"/>
        </w:rPr>
        <w:t xml:space="preserve"> </w:t>
      </w:r>
      <w:r w:rsidRPr="00C10D10">
        <w:rPr>
          <w:szCs w:val="24"/>
        </w:rPr>
        <w:t>allow for what would be anticipated under normal operating events</w:t>
      </w:r>
      <w:r w:rsidR="008A50A7">
        <w:rPr>
          <w:szCs w:val="24"/>
        </w:rPr>
        <w:t xml:space="preserve"> [I-8]</w:t>
      </w:r>
      <w:r w:rsidRPr="00C10D10">
        <w:rPr>
          <w:szCs w:val="24"/>
        </w:rPr>
        <w:t xml:space="preserve">. </w:t>
      </w:r>
      <w:r w:rsidR="00E853D4">
        <w:rPr>
          <w:szCs w:val="24"/>
        </w:rPr>
        <w:t>Such</w:t>
      </w:r>
      <w:r w:rsidR="00E853D4" w:rsidRPr="00C10D10">
        <w:rPr>
          <w:szCs w:val="24"/>
        </w:rPr>
        <w:t xml:space="preserve"> </w:t>
      </w:r>
      <w:r w:rsidRPr="00C10D10">
        <w:rPr>
          <w:szCs w:val="24"/>
        </w:rPr>
        <w:t xml:space="preserve">events include </w:t>
      </w:r>
      <w:r w:rsidR="00730BFA">
        <w:rPr>
          <w:szCs w:val="24"/>
        </w:rPr>
        <w:t xml:space="preserve">practices or </w:t>
      </w:r>
      <w:r w:rsidR="00D70F74">
        <w:rPr>
          <w:szCs w:val="24"/>
        </w:rPr>
        <w:t>facility</w:t>
      </w:r>
      <w:r w:rsidR="00D70F74" w:rsidRPr="00C10D10">
        <w:rPr>
          <w:szCs w:val="24"/>
        </w:rPr>
        <w:t xml:space="preserve"> </w:t>
      </w:r>
      <w:r w:rsidRPr="00C10D10">
        <w:rPr>
          <w:szCs w:val="24"/>
        </w:rPr>
        <w:t xml:space="preserve">conditions that lead to a temporary increase in discharge levels of </w:t>
      </w:r>
      <w:r w:rsidR="00E853D4">
        <w:rPr>
          <w:szCs w:val="24"/>
        </w:rPr>
        <w:t xml:space="preserve">a </w:t>
      </w:r>
      <w:r w:rsidRPr="00C10D10">
        <w:rPr>
          <w:szCs w:val="24"/>
        </w:rPr>
        <w:t xml:space="preserve">relatively short duration, usually hours to days, but </w:t>
      </w:r>
      <w:r w:rsidR="00E853D4">
        <w:rPr>
          <w:szCs w:val="24"/>
        </w:rPr>
        <w:t xml:space="preserve">which </w:t>
      </w:r>
      <w:r w:rsidRPr="00C10D10">
        <w:rPr>
          <w:szCs w:val="24"/>
        </w:rPr>
        <w:t xml:space="preserve">are not </w:t>
      </w:r>
      <w:r w:rsidR="00E853D4">
        <w:rPr>
          <w:szCs w:val="24"/>
        </w:rPr>
        <w:t>considered</w:t>
      </w:r>
      <w:r w:rsidRPr="00C10D10">
        <w:rPr>
          <w:szCs w:val="24"/>
        </w:rPr>
        <w:t xml:space="preserve"> an </w:t>
      </w:r>
      <w:r w:rsidR="007905F7">
        <w:rPr>
          <w:szCs w:val="24"/>
        </w:rPr>
        <w:t>abnormal event</w:t>
      </w:r>
      <w:r w:rsidR="00D62BEB">
        <w:rPr>
          <w:szCs w:val="24"/>
        </w:rPr>
        <w:t xml:space="preserve">, such as </w:t>
      </w:r>
      <w:r w:rsidR="00730BFA">
        <w:rPr>
          <w:szCs w:val="24"/>
        </w:rPr>
        <w:t xml:space="preserve">an </w:t>
      </w:r>
      <w:r w:rsidR="00D62BEB">
        <w:rPr>
          <w:szCs w:val="24"/>
        </w:rPr>
        <w:t xml:space="preserve">increased number of patients in a nuclear medicine department or </w:t>
      </w:r>
      <w:r w:rsidRPr="00C10D10">
        <w:rPr>
          <w:szCs w:val="24"/>
        </w:rPr>
        <w:t xml:space="preserve">a temporary failure </w:t>
      </w:r>
      <w:r w:rsidR="00FF2C5E" w:rsidRPr="00C10D10">
        <w:rPr>
          <w:szCs w:val="24"/>
        </w:rPr>
        <w:t xml:space="preserve">or loss of efficiency </w:t>
      </w:r>
      <w:r w:rsidRPr="00C10D10">
        <w:rPr>
          <w:szCs w:val="24"/>
        </w:rPr>
        <w:t>of an effluent treatment system.</w:t>
      </w:r>
    </w:p>
    <w:p w:rsidR="002039EE" w:rsidRPr="00C10D10" w:rsidRDefault="002039EE"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Specific guidance cannot be provided to assist in </w:t>
      </w:r>
      <w:r w:rsidR="00E853D4">
        <w:rPr>
          <w:szCs w:val="24"/>
        </w:rPr>
        <w:t xml:space="preserve">determining the appropriate margin </w:t>
      </w:r>
      <w:r w:rsidR="00215B58">
        <w:rPr>
          <w:szCs w:val="24"/>
        </w:rPr>
        <w:t>to allow for</w:t>
      </w:r>
      <w:r w:rsidR="00E853D4">
        <w:rPr>
          <w:szCs w:val="24"/>
        </w:rPr>
        <w:t xml:space="preserve"> operational flexibility</w:t>
      </w:r>
      <w:r w:rsidR="00730BFA">
        <w:rPr>
          <w:szCs w:val="24"/>
        </w:rPr>
        <w:t>.</w:t>
      </w:r>
      <w:r w:rsidR="00C505DE">
        <w:rPr>
          <w:szCs w:val="24"/>
        </w:rPr>
        <w:t xml:space="preserve"> </w:t>
      </w:r>
      <w:r w:rsidR="00730BFA" w:rsidRPr="00C10D10">
        <w:rPr>
          <w:szCs w:val="24"/>
        </w:rPr>
        <w:t>Previous experience with similar facilities can provide useful information on the minimum allowance for flexibility that needs to be permitted</w:t>
      </w:r>
      <w:r w:rsidR="00730BFA">
        <w:rPr>
          <w:szCs w:val="24"/>
        </w:rPr>
        <w:t xml:space="preserve">, in </w:t>
      </w:r>
      <w:r w:rsidR="00215B58">
        <w:rPr>
          <w:szCs w:val="24"/>
        </w:rPr>
        <w:t xml:space="preserve">accordance </w:t>
      </w:r>
      <w:r w:rsidR="00730BFA">
        <w:rPr>
          <w:szCs w:val="24"/>
        </w:rPr>
        <w:t xml:space="preserve">with </w:t>
      </w:r>
      <w:r w:rsidRPr="00C10D10">
        <w:rPr>
          <w:szCs w:val="24"/>
        </w:rPr>
        <w:t xml:space="preserve">the </w:t>
      </w:r>
      <w:r w:rsidR="00215B58">
        <w:rPr>
          <w:szCs w:val="24"/>
        </w:rPr>
        <w:t xml:space="preserve">regulatory </w:t>
      </w:r>
      <w:r w:rsidRPr="00C10D10">
        <w:rPr>
          <w:szCs w:val="24"/>
        </w:rPr>
        <w:t xml:space="preserve">framework </w:t>
      </w:r>
      <w:r w:rsidR="00703FE4" w:rsidRPr="00C10D10">
        <w:rPr>
          <w:szCs w:val="24"/>
        </w:rPr>
        <w:t>[</w:t>
      </w:r>
      <w:r w:rsidR="00E53D21" w:rsidRPr="00C10D10">
        <w:rPr>
          <w:szCs w:val="24"/>
        </w:rPr>
        <w:t>I-8</w:t>
      </w:r>
      <w:r w:rsidR="00703FE4" w:rsidRPr="00C10D10">
        <w:rPr>
          <w:szCs w:val="24"/>
        </w:rPr>
        <w:t>]</w:t>
      </w:r>
      <w:r w:rsidRPr="00C10D10">
        <w:rPr>
          <w:szCs w:val="24"/>
        </w:rPr>
        <w:t>.</w:t>
      </w:r>
    </w:p>
    <w:p w:rsidR="002039EE" w:rsidRPr="00C10D10" w:rsidRDefault="002039EE" w:rsidP="008C60BE">
      <w:pPr>
        <w:tabs>
          <w:tab w:val="left" w:pos="851"/>
        </w:tabs>
        <w:autoSpaceDE w:val="0"/>
        <w:autoSpaceDN w:val="0"/>
        <w:adjustRightInd w:val="0"/>
        <w:spacing w:after="120" w:line="360" w:lineRule="auto"/>
        <w:jc w:val="both"/>
        <w:rPr>
          <w:rFonts w:ascii="Times New Roman" w:hAnsi="Times New Roman"/>
          <w:b/>
          <w:sz w:val="24"/>
          <w:szCs w:val="24"/>
        </w:rPr>
      </w:pPr>
      <w:r w:rsidRPr="00C10D10">
        <w:rPr>
          <w:rFonts w:ascii="Times New Roman" w:hAnsi="Times New Roman"/>
          <w:b/>
          <w:sz w:val="24"/>
          <w:szCs w:val="24"/>
        </w:rPr>
        <w:t xml:space="preserve">Period of validity of the </w:t>
      </w:r>
      <w:r w:rsidR="00F73CB8">
        <w:rPr>
          <w:rFonts w:ascii="Times New Roman" w:hAnsi="Times New Roman"/>
          <w:b/>
          <w:sz w:val="24"/>
          <w:szCs w:val="24"/>
        </w:rPr>
        <w:t>authorization for discharges</w:t>
      </w:r>
    </w:p>
    <w:p w:rsidR="002039EE" w:rsidRPr="00C10D10" w:rsidRDefault="00C060B5"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While in principle the authorization</w:t>
      </w:r>
      <w:r w:rsidR="005016D3">
        <w:rPr>
          <w:szCs w:val="24"/>
        </w:rPr>
        <w:t xml:space="preserve"> for discharges</w:t>
      </w:r>
      <w:r w:rsidRPr="00C10D10">
        <w:rPr>
          <w:szCs w:val="24"/>
        </w:rPr>
        <w:t xml:space="preserve"> </w:t>
      </w:r>
      <w:r w:rsidR="0029216C">
        <w:rPr>
          <w:szCs w:val="24"/>
        </w:rPr>
        <w:t xml:space="preserve">could </w:t>
      </w:r>
      <w:r w:rsidRPr="00C10D10">
        <w:rPr>
          <w:szCs w:val="24"/>
        </w:rPr>
        <w:t xml:space="preserve">have the same validity period </w:t>
      </w:r>
      <w:r w:rsidR="00215B58">
        <w:rPr>
          <w:szCs w:val="24"/>
        </w:rPr>
        <w:t>as</w:t>
      </w:r>
      <w:r w:rsidR="00215B58" w:rsidRPr="00C10D10">
        <w:rPr>
          <w:szCs w:val="24"/>
        </w:rPr>
        <w:t xml:space="preserve"> </w:t>
      </w:r>
      <w:r w:rsidRPr="00C10D10">
        <w:rPr>
          <w:szCs w:val="24"/>
        </w:rPr>
        <w:t xml:space="preserve">the authorization of the </w:t>
      </w:r>
      <w:r w:rsidR="005016D3">
        <w:rPr>
          <w:szCs w:val="24"/>
        </w:rPr>
        <w:t>facility or activity</w:t>
      </w:r>
      <w:r w:rsidRPr="00C10D10">
        <w:rPr>
          <w:szCs w:val="24"/>
        </w:rPr>
        <w:t>, s</w:t>
      </w:r>
      <w:r w:rsidR="002039EE" w:rsidRPr="00C10D10">
        <w:rPr>
          <w:szCs w:val="24"/>
        </w:rPr>
        <w:t>ome regulatory bodies issue authorizations</w:t>
      </w:r>
      <w:r w:rsidR="005016D3">
        <w:rPr>
          <w:szCs w:val="24"/>
        </w:rPr>
        <w:t xml:space="preserve"> for discharges</w:t>
      </w:r>
      <w:r w:rsidR="002039EE" w:rsidRPr="00C10D10">
        <w:rPr>
          <w:szCs w:val="24"/>
        </w:rPr>
        <w:t xml:space="preserve"> that have a </w:t>
      </w:r>
      <w:r w:rsidRPr="00C10D10">
        <w:rPr>
          <w:szCs w:val="24"/>
        </w:rPr>
        <w:t>shorter</w:t>
      </w:r>
      <w:r w:rsidR="002039EE" w:rsidRPr="00C10D10">
        <w:rPr>
          <w:szCs w:val="24"/>
        </w:rPr>
        <w:t xml:space="preserve"> period of validity</w:t>
      </w:r>
      <w:r w:rsidR="007905F7">
        <w:rPr>
          <w:szCs w:val="24"/>
        </w:rPr>
        <w:t xml:space="preserve"> or specify that the discharge limits are</w:t>
      </w:r>
      <w:r w:rsidR="00C50D51" w:rsidRPr="00C10D10">
        <w:rPr>
          <w:szCs w:val="24"/>
        </w:rPr>
        <w:t xml:space="preserve"> subject to revision within the framework of a </w:t>
      </w:r>
      <w:r w:rsidR="00C50D51" w:rsidRPr="000A5F43">
        <w:rPr>
          <w:szCs w:val="24"/>
        </w:rPr>
        <w:t>periodic safety review</w:t>
      </w:r>
      <w:r w:rsidR="002039EE" w:rsidRPr="000A5F43">
        <w:rPr>
          <w:szCs w:val="24"/>
        </w:rPr>
        <w:t xml:space="preserve">. </w:t>
      </w:r>
      <w:r w:rsidR="00C50D51" w:rsidRPr="000A5F43">
        <w:rPr>
          <w:szCs w:val="24"/>
        </w:rPr>
        <w:t xml:space="preserve">In </w:t>
      </w:r>
      <w:r w:rsidR="00215B58">
        <w:rPr>
          <w:szCs w:val="24"/>
        </w:rPr>
        <w:t>such</w:t>
      </w:r>
      <w:r w:rsidR="00215B58" w:rsidRPr="000A5F43">
        <w:rPr>
          <w:szCs w:val="24"/>
        </w:rPr>
        <w:t xml:space="preserve"> </w:t>
      </w:r>
      <w:r w:rsidR="00C50D51" w:rsidRPr="000A5F43">
        <w:rPr>
          <w:szCs w:val="24"/>
        </w:rPr>
        <w:t>cases, a</w:t>
      </w:r>
      <w:r w:rsidR="002039EE" w:rsidRPr="000A5F43">
        <w:rPr>
          <w:szCs w:val="24"/>
        </w:rPr>
        <w:t xml:space="preserve">t the end of the period of validity, </w:t>
      </w:r>
      <w:r w:rsidR="00215B58">
        <w:rPr>
          <w:szCs w:val="24"/>
        </w:rPr>
        <w:t xml:space="preserve">the </w:t>
      </w:r>
      <w:r w:rsidR="002039EE" w:rsidRPr="000A5F43">
        <w:rPr>
          <w:szCs w:val="24"/>
        </w:rPr>
        <w:t xml:space="preserve">authorization </w:t>
      </w:r>
      <w:r w:rsidR="005016D3">
        <w:rPr>
          <w:szCs w:val="24"/>
        </w:rPr>
        <w:t xml:space="preserve">for discharges </w:t>
      </w:r>
      <w:r w:rsidR="00215B58">
        <w:rPr>
          <w:szCs w:val="24"/>
        </w:rPr>
        <w:t>is</w:t>
      </w:r>
      <w:r w:rsidR="00215B58" w:rsidRPr="000A5F43">
        <w:rPr>
          <w:szCs w:val="24"/>
        </w:rPr>
        <w:t xml:space="preserve"> </w:t>
      </w:r>
      <w:r w:rsidR="002039EE" w:rsidRPr="00536692">
        <w:rPr>
          <w:szCs w:val="24"/>
        </w:rPr>
        <w:t xml:space="preserve">reviewed, and updated, </w:t>
      </w:r>
      <w:r w:rsidR="007905F7">
        <w:rPr>
          <w:szCs w:val="24"/>
        </w:rPr>
        <w:t>as</w:t>
      </w:r>
      <w:r w:rsidR="007905F7" w:rsidRPr="00536692">
        <w:rPr>
          <w:szCs w:val="24"/>
        </w:rPr>
        <w:t xml:space="preserve"> </w:t>
      </w:r>
      <w:r w:rsidR="002039EE" w:rsidRPr="00536692">
        <w:rPr>
          <w:szCs w:val="24"/>
        </w:rPr>
        <w:t xml:space="preserve">necessary, </w:t>
      </w:r>
      <w:r w:rsidR="00215B58">
        <w:rPr>
          <w:szCs w:val="24"/>
        </w:rPr>
        <w:t>on the basis of</w:t>
      </w:r>
      <w:r w:rsidR="002039EE" w:rsidRPr="00536692">
        <w:rPr>
          <w:szCs w:val="24"/>
        </w:rPr>
        <w:t xml:space="preserve"> current information</w:t>
      </w:r>
      <w:r w:rsidR="00C50D51" w:rsidRPr="00536692">
        <w:rPr>
          <w:szCs w:val="24"/>
        </w:rPr>
        <w:t xml:space="preserve"> relat</w:t>
      </w:r>
      <w:r w:rsidR="00215B58">
        <w:rPr>
          <w:szCs w:val="24"/>
        </w:rPr>
        <w:t>ing</w:t>
      </w:r>
      <w:r w:rsidR="00C50D51" w:rsidRPr="00536692">
        <w:rPr>
          <w:szCs w:val="24"/>
        </w:rPr>
        <w:t xml:space="preserve"> to public exposure</w:t>
      </w:r>
      <w:r w:rsidR="005016D3">
        <w:rPr>
          <w:szCs w:val="24"/>
        </w:rPr>
        <w:t xml:space="preserve"> and operational experience</w:t>
      </w:r>
      <w:r w:rsidR="002039EE" w:rsidRPr="00536692">
        <w:rPr>
          <w:szCs w:val="24"/>
        </w:rPr>
        <w:t xml:space="preserve">. </w:t>
      </w:r>
      <w:r w:rsidR="000A5F43" w:rsidRPr="00536692">
        <w:rPr>
          <w:szCs w:val="24"/>
        </w:rPr>
        <w:t xml:space="preserve">The usual period </w:t>
      </w:r>
      <w:r w:rsidR="00215B58">
        <w:rPr>
          <w:szCs w:val="24"/>
        </w:rPr>
        <w:t xml:space="preserve">for </w:t>
      </w:r>
      <w:r w:rsidR="000A5F43" w:rsidRPr="00536692">
        <w:rPr>
          <w:szCs w:val="24"/>
        </w:rPr>
        <w:t xml:space="preserve">periodic </w:t>
      </w:r>
      <w:r w:rsidR="00215B58">
        <w:rPr>
          <w:szCs w:val="24"/>
        </w:rPr>
        <w:t xml:space="preserve">safety </w:t>
      </w:r>
      <w:r w:rsidR="000A5F43" w:rsidRPr="00536692">
        <w:rPr>
          <w:szCs w:val="24"/>
        </w:rPr>
        <w:t>review for more complex installations is ten years.</w:t>
      </w:r>
      <w:r w:rsidR="000A5F43">
        <w:rPr>
          <w:szCs w:val="24"/>
        </w:rPr>
        <w:t xml:space="preserve"> </w:t>
      </w:r>
      <w:r w:rsidR="002039EE" w:rsidRPr="000A5F43">
        <w:rPr>
          <w:szCs w:val="24"/>
        </w:rPr>
        <w:t xml:space="preserve">The appropriate period is generally selected by the regulatory body based on, for example, the </w:t>
      </w:r>
      <w:r w:rsidR="002039EE" w:rsidRPr="000A5F43">
        <w:rPr>
          <w:szCs w:val="24"/>
        </w:rPr>
        <w:lastRenderedPageBreak/>
        <w:t>likelihood</w:t>
      </w:r>
      <w:r w:rsidR="002039EE" w:rsidRPr="00C10D10">
        <w:rPr>
          <w:szCs w:val="24"/>
        </w:rPr>
        <w:t xml:space="preserve"> of the occurrence of changes at the site and its surrounding environment that may affect the </w:t>
      </w:r>
      <w:r w:rsidR="009D7F7D">
        <w:rPr>
          <w:szCs w:val="24"/>
        </w:rPr>
        <w:t>conditions</w:t>
      </w:r>
      <w:r w:rsidR="009D7F7D" w:rsidRPr="00C10D10">
        <w:rPr>
          <w:szCs w:val="24"/>
        </w:rPr>
        <w:t xml:space="preserve"> </w:t>
      </w:r>
      <w:r w:rsidR="00215B58">
        <w:rPr>
          <w:szCs w:val="24"/>
        </w:rPr>
        <w:t>according to</w:t>
      </w:r>
      <w:r w:rsidR="00215B58" w:rsidRPr="00C10D10">
        <w:rPr>
          <w:szCs w:val="24"/>
        </w:rPr>
        <w:t xml:space="preserve"> </w:t>
      </w:r>
      <w:r w:rsidR="002039EE" w:rsidRPr="00C10D10">
        <w:rPr>
          <w:szCs w:val="24"/>
        </w:rPr>
        <w:t xml:space="preserve">which the </w:t>
      </w:r>
      <w:r w:rsidR="00F73CB8">
        <w:rPr>
          <w:szCs w:val="24"/>
        </w:rPr>
        <w:t>authorization for discharges</w:t>
      </w:r>
      <w:r w:rsidR="002039EE" w:rsidRPr="00C10D10">
        <w:rPr>
          <w:szCs w:val="24"/>
        </w:rPr>
        <w:t xml:space="preserve"> was initially issued. Some regulatory bodies </w:t>
      </w:r>
      <w:r w:rsidR="00730BFA">
        <w:rPr>
          <w:szCs w:val="24"/>
        </w:rPr>
        <w:t xml:space="preserve">may decide to </w:t>
      </w:r>
      <w:r w:rsidR="002039EE" w:rsidRPr="00C10D10">
        <w:rPr>
          <w:szCs w:val="24"/>
        </w:rPr>
        <w:t xml:space="preserve">review and update the authorizations </w:t>
      </w:r>
      <w:r w:rsidR="009D7F7D">
        <w:rPr>
          <w:szCs w:val="24"/>
        </w:rPr>
        <w:t xml:space="preserve">at any time </w:t>
      </w:r>
      <w:r w:rsidR="002039EE" w:rsidRPr="00C10D10">
        <w:rPr>
          <w:szCs w:val="24"/>
        </w:rPr>
        <w:t xml:space="preserve">if necessary and do not apply a </w:t>
      </w:r>
      <w:r w:rsidR="00E7351C" w:rsidRPr="00C10D10">
        <w:rPr>
          <w:szCs w:val="24"/>
        </w:rPr>
        <w:t>specified</w:t>
      </w:r>
      <w:r w:rsidR="002039EE" w:rsidRPr="00C10D10">
        <w:rPr>
          <w:szCs w:val="24"/>
        </w:rPr>
        <w:t xml:space="preserve"> limit on the validity of the </w:t>
      </w:r>
      <w:r w:rsidR="00F73CB8">
        <w:rPr>
          <w:szCs w:val="24"/>
        </w:rPr>
        <w:t>authorization for discharges</w:t>
      </w:r>
      <w:r w:rsidR="002039EE" w:rsidRPr="00C10D10">
        <w:rPr>
          <w:szCs w:val="24"/>
        </w:rPr>
        <w:t>.</w:t>
      </w:r>
    </w:p>
    <w:p w:rsidR="002039EE" w:rsidRPr="00C10D10" w:rsidRDefault="00D771D8" w:rsidP="0091132F">
      <w:pPr>
        <w:pStyle w:val="ListParagraph"/>
        <w:numPr>
          <w:ilvl w:val="0"/>
          <w:numId w:val="20"/>
        </w:numPr>
        <w:tabs>
          <w:tab w:val="left" w:pos="851"/>
        </w:tabs>
        <w:autoSpaceDE w:val="0"/>
        <w:autoSpaceDN w:val="0"/>
        <w:adjustRightInd w:val="0"/>
        <w:contextualSpacing w:val="0"/>
        <w:jc w:val="both"/>
        <w:rPr>
          <w:szCs w:val="24"/>
        </w:rPr>
      </w:pPr>
      <w:r>
        <w:rPr>
          <w:szCs w:val="24"/>
        </w:rPr>
        <w:t>O</w:t>
      </w:r>
      <w:r w:rsidR="009D7F7D">
        <w:rPr>
          <w:szCs w:val="24"/>
        </w:rPr>
        <w:t>perating organizations</w:t>
      </w:r>
      <w:r w:rsidR="00C50D51" w:rsidRPr="00C10D10">
        <w:rPr>
          <w:szCs w:val="24"/>
        </w:rPr>
        <w:t xml:space="preserve"> </w:t>
      </w:r>
      <w:r w:rsidR="00215B58">
        <w:rPr>
          <w:szCs w:val="24"/>
        </w:rPr>
        <w:t>are required to</w:t>
      </w:r>
      <w:r w:rsidR="002039EE" w:rsidRPr="00C10D10">
        <w:rPr>
          <w:szCs w:val="24"/>
        </w:rPr>
        <w:t xml:space="preserve"> obtain approval from the regulatory body before making any changes </w:t>
      </w:r>
      <w:r w:rsidR="00984CBD">
        <w:rPr>
          <w:szCs w:val="24"/>
        </w:rPr>
        <w:t xml:space="preserve">to the operation of the facility or </w:t>
      </w:r>
      <w:r w:rsidR="00730BFA">
        <w:rPr>
          <w:szCs w:val="24"/>
        </w:rPr>
        <w:t xml:space="preserve">conduct of the </w:t>
      </w:r>
      <w:r w:rsidR="00984CBD">
        <w:rPr>
          <w:szCs w:val="24"/>
        </w:rPr>
        <w:t xml:space="preserve">activity </w:t>
      </w:r>
      <w:r w:rsidR="002039EE" w:rsidRPr="00C10D10">
        <w:rPr>
          <w:szCs w:val="24"/>
        </w:rPr>
        <w:t xml:space="preserve">that may affect doses </w:t>
      </w:r>
      <w:r>
        <w:rPr>
          <w:szCs w:val="24"/>
        </w:rPr>
        <w:t xml:space="preserve">significantly </w:t>
      </w:r>
      <w:r w:rsidR="002039EE" w:rsidRPr="00C10D10">
        <w:rPr>
          <w:szCs w:val="24"/>
        </w:rPr>
        <w:t xml:space="preserve">or the safety of operations. </w:t>
      </w:r>
      <w:r>
        <w:rPr>
          <w:szCs w:val="24"/>
        </w:rPr>
        <w:t>I</w:t>
      </w:r>
      <w:r w:rsidR="009D7F7D">
        <w:rPr>
          <w:szCs w:val="24"/>
        </w:rPr>
        <w:t xml:space="preserve">f a number of </w:t>
      </w:r>
      <w:r w:rsidR="002039EE" w:rsidRPr="00C10D10">
        <w:rPr>
          <w:szCs w:val="24"/>
        </w:rPr>
        <w:t xml:space="preserve">changes </w:t>
      </w:r>
      <w:r w:rsidR="009D7F7D">
        <w:rPr>
          <w:szCs w:val="24"/>
        </w:rPr>
        <w:t xml:space="preserve">are made </w:t>
      </w:r>
      <w:r w:rsidR="002039EE" w:rsidRPr="00C10D10">
        <w:rPr>
          <w:szCs w:val="24"/>
        </w:rPr>
        <w:t>over a period of time</w:t>
      </w:r>
      <w:r w:rsidR="00C505DE">
        <w:rPr>
          <w:szCs w:val="24"/>
        </w:rPr>
        <w:t xml:space="preserve"> </w:t>
      </w:r>
      <w:r w:rsidR="00984CBD">
        <w:rPr>
          <w:szCs w:val="24"/>
        </w:rPr>
        <w:t xml:space="preserve">there may be </w:t>
      </w:r>
      <w:r w:rsidR="002039EE" w:rsidRPr="00C10D10">
        <w:rPr>
          <w:szCs w:val="24"/>
        </w:rPr>
        <w:t xml:space="preserve">a change in </w:t>
      </w:r>
      <w:r w:rsidR="001A2796">
        <w:rPr>
          <w:szCs w:val="24"/>
        </w:rPr>
        <w:t xml:space="preserve">the </w:t>
      </w:r>
      <w:r w:rsidR="002039EE" w:rsidRPr="00C10D10">
        <w:rPr>
          <w:szCs w:val="24"/>
        </w:rPr>
        <w:t xml:space="preserve">safety </w:t>
      </w:r>
      <w:r w:rsidR="00730BFA">
        <w:rPr>
          <w:szCs w:val="24"/>
        </w:rPr>
        <w:t xml:space="preserve">performance </w:t>
      </w:r>
      <w:r w:rsidR="007905F7">
        <w:rPr>
          <w:szCs w:val="24"/>
        </w:rPr>
        <w:t xml:space="preserve">of the facility or </w:t>
      </w:r>
      <w:proofErr w:type="gramStart"/>
      <w:r w:rsidR="007905F7">
        <w:rPr>
          <w:szCs w:val="24"/>
        </w:rPr>
        <w:t xml:space="preserve">activity </w:t>
      </w:r>
      <w:r w:rsidR="002039EE" w:rsidRPr="00C10D10">
        <w:rPr>
          <w:szCs w:val="24"/>
        </w:rPr>
        <w:t xml:space="preserve"> that</w:t>
      </w:r>
      <w:proofErr w:type="gramEnd"/>
      <w:r w:rsidR="002039EE" w:rsidRPr="00C10D10">
        <w:rPr>
          <w:szCs w:val="24"/>
        </w:rPr>
        <w:t xml:space="preserve"> can only be </w:t>
      </w:r>
      <w:r w:rsidR="00984CBD">
        <w:rPr>
          <w:szCs w:val="24"/>
        </w:rPr>
        <w:t>evaluated</w:t>
      </w:r>
      <w:r w:rsidR="00984CBD" w:rsidRPr="00C10D10">
        <w:rPr>
          <w:szCs w:val="24"/>
        </w:rPr>
        <w:t xml:space="preserve"> </w:t>
      </w:r>
      <w:r w:rsidR="002039EE" w:rsidRPr="00C10D10">
        <w:rPr>
          <w:szCs w:val="24"/>
        </w:rPr>
        <w:t xml:space="preserve">through a complete review of the overall operation. The period of validity </w:t>
      </w:r>
      <w:r w:rsidR="00984CBD">
        <w:rPr>
          <w:szCs w:val="24"/>
        </w:rPr>
        <w:t>is</w:t>
      </w:r>
      <w:r w:rsidR="002039EE" w:rsidRPr="00C10D10">
        <w:rPr>
          <w:szCs w:val="24"/>
        </w:rPr>
        <w:t xml:space="preserve"> also influenced by the degree of ongoing review and supervision provided by the regulatory body, and the breadth and depth of such ongoing reviews. In some cases, such ongoing reviews are of such a depth and scope that they constitute, in themselves, a </w:t>
      </w:r>
      <w:r w:rsidR="00984CBD">
        <w:rPr>
          <w:szCs w:val="24"/>
        </w:rPr>
        <w:t xml:space="preserve">formal review of the </w:t>
      </w:r>
      <w:r w:rsidR="003E578B">
        <w:rPr>
          <w:szCs w:val="24"/>
        </w:rPr>
        <w:t xml:space="preserve">authorization for the </w:t>
      </w:r>
      <w:r w:rsidR="002039EE" w:rsidRPr="00C10D10">
        <w:rPr>
          <w:szCs w:val="24"/>
        </w:rPr>
        <w:t xml:space="preserve">facility </w:t>
      </w:r>
      <w:r w:rsidR="00C50D51" w:rsidRPr="00C10D10">
        <w:rPr>
          <w:szCs w:val="24"/>
        </w:rPr>
        <w:t>or activity</w:t>
      </w:r>
      <w:r w:rsidR="002039EE" w:rsidRPr="00C10D10">
        <w:rPr>
          <w:szCs w:val="24"/>
        </w:rPr>
        <w:t xml:space="preserve">. </w:t>
      </w:r>
    </w:p>
    <w:p w:rsidR="002039EE" w:rsidRPr="00C10D10" w:rsidRDefault="002039EE" w:rsidP="0091132F">
      <w:pPr>
        <w:pStyle w:val="ListParagraph"/>
        <w:numPr>
          <w:ilvl w:val="0"/>
          <w:numId w:val="20"/>
        </w:numPr>
        <w:tabs>
          <w:tab w:val="left" w:pos="851"/>
        </w:tabs>
        <w:autoSpaceDE w:val="0"/>
        <w:autoSpaceDN w:val="0"/>
        <w:adjustRightInd w:val="0"/>
        <w:contextualSpacing w:val="0"/>
        <w:jc w:val="both"/>
        <w:rPr>
          <w:szCs w:val="24"/>
        </w:rPr>
      </w:pPr>
      <w:r w:rsidRPr="00C10D10">
        <w:rPr>
          <w:szCs w:val="24"/>
        </w:rPr>
        <w:t xml:space="preserve">In </w:t>
      </w:r>
      <w:r w:rsidR="00C060B5" w:rsidRPr="00C10D10">
        <w:rPr>
          <w:szCs w:val="24"/>
        </w:rPr>
        <w:t xml:space="preserve">other </w:t>
      </w:r>
      <w:r w:rsidRPr="00C10D10">
        <w:rPr>
          <w:szCs w:val="24"/>
        </w:rPr>
        <w:t xml:space="preserve">cases, the period of validity of the authorization </w:t>
      </w:r>
      <w:r w:rsidR="007905F7">
        <w:rPr>
          <w:szCs w:val="24"/>
        </w:rPr>
        <w:t xml:space="preserve">for discharges </w:t>
      </w:r>
      <w:r w:rsidRPr="00C10D10">
        <w:rPr>
          <w:szCs w:val="24"/>
        </w:rPr>
        <w:t xml:space="preserve">may be equal </w:t>
      </w:r>
      <w:r w:rsidR="001A2796">
        <w:rPr>
          <w:szCs w:val="24"/>
        </w:rPr>
        <w:t xml:space="preserve">to </w:t>
      </w:r>
      <w:r w:rsidRPr="00C10D10">
        <w:rPr>
          <w:szCs w:val="24"/>
        </w:rPr>
        <w:t>the expected life of the facility</w:t>
      </w:r>
      <w:r w:rsidR="00C50D51" w:rsidRPr="00C10D10">
        <w:rPr>
          <w:szCs w:val="24"/>
        </w:rPr>
        <w:t xml:space="preserve"> or activity</w:t>
      </w:r>
      <w:r w:rsidRPr="00C10D10">
        <w:rPr>
          <w:szCs w:val="24"/>
        </w:rPr>
        <w:t xml:space="preserve">. Such </w:t>
      </w:r>
      <w:r w:rsidR="00C50D51" w:rsidRPr="00C10D10">
        <w:rPr>
          <w:szCs w:val="24"/>
        </w:rPr>
        <w:t>practices</w:t>
      </w:r>
      <w:r w:rsidRPr="00C10D10">
        <w:rPr>
          <w:szCs w:val="24"/>
        </w:rPr>
        <w:t xml:space="preserve"> would normally have stringent ongoing review and audit requirements imposed in their authorization, such as, for example, </w:t>
      </w:r>
      <w:r w:rsidR="004A089D">
        <w:rPr>
          <w:szCs w:val="24"/>
        </w:rPr>
        <w:t xml:space="preserve">a </w:t>
      </w:r>
      <w:r w:rsidR="001A2796">
        <w:rPr>
          <w:szCs w:val="24"/>
        </w:rPr>
        <w:t xml:space="preserve">requirement that a </w:t>
      </w:r>
      <w:r w:rsidRPr="00C10D10">
        <w:rPr>
          <w:szCs w:val="24"/>
        </w:rPr>
        <w:t xml:space="preserve">periodic </w:t>
      </w:r>
      <w:r w:rsidR="0042325C">
        <w:rPr>
          <w:szCs w:val="24"/>
        </w:rPr>
        <w:t xml:space="preserve">safety </w:t>
      </w:r>
      <w:r w:rsidRPr="00C10D10">
        <w:rPr>
          <w:szCs w:val="24"/>
        </w:rPr>
        <w:t xml:space="preserve">review </w:t>
      </w:r>
      <w:r w:rsidR="001A2796">
        <w:rPr>
          <w:szCs w:val="24"/>
        </w:rPr>
        <w:t xml:space="preserve">be carried out </w:t>
      </w:r>
      <w:r w:rsidR="0042325C">
        <w:rPr>
          <w:szCs w:val="24"/>
        </w:rPr>
        <w:t xml:space="preserve">irrespective </w:t>
      </w:r>
      <w:r w:rsidR="004A089D">
        <w:rPr>
          <w:szCs w:val="24"/>
        </w:rPr>
        <w:t xml:space="preserve">of </w:t>
      </w:r>
      <w:r w:rsidRPr="00C10D10">
        <w:rPr>
          <w:szCs w:val="24"/>
        </w:rPr>
        <w:t xml:space="preserve">whether there have been any significant changes in operation or in dose assessment factors such as the demographics and land use in the areas surrounding the facility. This </w:t>
      </w:r>
      <w:r w:rsidR="00F70819" w:rsidRPr="00C10D10">
        <w:rPr>
          <w:szCs w:val="24"/>
        </w:rPr>
        <w:t>would</w:t>
      </w:r>
      <w:r w:rsidRPr="00C10D10">
        <w:rPr>
          <w:szCs w:val="24"/>
        </w:rPr>
        <w:t xml:space="preserve"> ensure that the </w:t>
      </w:r>
      <w:r w:rsidR="0042325C">
        <w:rPr>
          <w:szCs w:val="24"/>
        </w:rPr>
        <w:t xml:space="preserve">assumptions used to estimate doses to the representative person, such as the source term, the </w:t>
      </w:r>
      <w:r w:rsidRPr="00C10D10">
        <w:rPr>
          <w:szCs w:val="24"/>
        </w:rPr>
        <w:t xml:space="preserve">location </w:t>
      </w:r>
      <w:r w:rsidR="004A089D">
        <w:rPr>
          <w:szCs w:val="24"/>
        </w:rPr>
        <w:t>where</w:t>
      </w:r>
      <w:r w:rsidRPr="00C10D10">
        <w:rPr>
          <w:szCs w:val="24"/>
        </w:rPr>
        <w:t xml:space="preserve"> the </w:t>
      </w:r>
      <w:r w:rsidR="00C50D51" w:rsidRPr="00C10D10">
        <w:rPr>
          <w:szCs w:val="24"/>
        </w:rPr>
        <w:t>representative person</w:t>
      </w:r>
      <w:r w:rsidRPr="00C10D10">
        <w:rPr>
          <w:szCs w:val="24"/>
        </w:rPr>
        <w:t xml:space="preserve"> </w:t>
      </w:r>
      <w:r w:rsidR="004A089D">
        <w:rPr>
          <w:szCs w:val="24"/>
        </w:rPr>
        <w:t>lives</w:t>
      </w:r>
      <w:r w:rsidR="00E57290">
        <w:rPr>
          <w:szCs w:val="24"/>
        </w:rPr>
        <w:t>,</w:t>
      </w:r>
      <w:r w:rsidRPr="00C10D10">
        <w:rPr>
          <w:szCs w:val="24"/>
        </w:rPr>
        <w:t xml:space="preserve"> </w:t>
      </w:r>
      <w:r w:rsidR="0042325C">
        <w:rPr>
          <w:szCs w:val="24"/>
        </w:rPr>
        <w:t>the</w:t>
      </w:r>
      <w:r w:rsidR="004A089D" w:rsidRPr="00C10D10">
        <w:rPr>
          <w:szCs w:val="24"/>
        </w:rPr>
        <w:t xml:space="preserve"> habit</w:t>
      </w:r>
      <w:r w:rsidR="004A089D">
        <w:rPr>
          <w:szCs w:val="24"/>
        </w:rPr>
        <w:t xml:space="preserve"> data</w:t>
      </w:r>
      <w:r w:rsidR="0042325C">
        <w:rPr>
          <w:szCs w:val="24"/>
        </w:rPr>
        <w:t xml:space="preserve"> and other assumptions such as</w:t>
      </w:r>
      <w:r w:rsidRPr="00C10D10">
        <w:rPr>
          <w:szCs w:val="24"/>
        </w:rPr>
        <w:t xml:space="preserve"> the locations of dairy farms</w:t>
      </w:r>
      <w:r w:rsidR="004A089D">
        <w:rPr>
          <w:szCs w:val="24"/>
        </w:rPr>
        <w:t xml:space="preserve"> and</w:t>
      </w:r>
      <w:r w:rsidRPr="00C10D10">
        <w:rPr>
          <w:szCs w:val="24"/>
        </w:rPr>
        <w:t xml:space="preserve"> vegetable gardens, </w:t>
      </w:r>
      <w:r w:rsidR="001A2796">
        <w:rPr>
          <w:szCs w:val="24"/>
        </w:rPr>
        <w:t>remain valid</w:t>
      </w:r>
      <w:r w:rsidRPr="00C10D10">
        <w:rPr>
          <w:szCs w:val="24"/>
        </w:rPr>
        <w:t xml:space="preserve">. Any significant changes are generally required to be reported to the regulatory body, </w:t>
      </w:r>
      <w:r w:rsidR="004A089D">
        <w:rPr>
          <w:szCs w:val="24"/>
        </w:rPr>
        <w:t xml:space="preserve">which </w:t>
      </w:r>
      <w:r w:rsidR="0042325C">
        <w:rPr>
          <w:szCs w:val="24"/>
        </w:rPr>
        <w:t>may decide to</w:t>
      </w:r>
      <w:r w:rsidR="004A089D">
        <w:rPr>
          <w:szCs w:val="24"/>
        </w:rPr>
        <w:t xml:space="preserve"> initiate a formal review of the authorization</w:t>
      </w:r>
      <w:r w:rsidR="00E57290">
        <w:rPr>
          <w:szCs w:val="24"/>
        </w:rPr>
        <w:t xml:space="preserve"> for discharges, if relevant</w:t>
      </w:r>
      <w:r w:rsidR="004A089D">
        <w:rPr>
          <w:szCs w:val="24"/>
        </w:rPr>
        <w:t>.</w:t>
      </w:r>
    </w:p>
    <w:p w:rsidR="00E53D21" w:rsidRPr="00C10D10" w:rsidRDefault="00E53D21" w:rsidP="0094095E">
      <w:pPr>
        <w:pStyle w:val="Heading3"/>
        <w:spacing w:before="120" w:after="0"/>
        <w:jc w:val="center"/>
        <w:rPr>
          <w:lang w:val="en-GB"/>
        </w:rPr>
      </w:pPr>
    </w:p>
    <w:p w:rsidR="00516927" w:rsidRDefault="00516927">
      <w:pPr>
        <w:rPr>
          <w:rFonts w:ascii="Times New Roman" w:hAnsi="Times New Roman"/>
          <w:b/>
          <w:sz w:val="24"/>
          <w:szCs w:val="24"/>
          <w:lang w:eastAsia="x-none"/>
        </w:rPr>
      </w:pPr>
      <w:r>
        <w:br w:type="page"/>
      </w:r>
    </w:p>
    <w:p w:rsidR="00951FAF" w:rsidRPr="00C10D10" w:rsidRDefault="00703FE4" w:rsidP="00794F6D">
      <w:pPr>
        <w:pStyle w:val="Heading1"/>
        <w:numPr>
          <w:ilvl w:val="0"/>
          <w:numId w:val="0"/>
        </w:numPr>
        <w:spacing w:before="120" w:after="0" w:line="360" w:lineRule="auto"/>
        <w:rPr>
          <w:lang w:val="en-GB"/>
        </w:rPr>
      </w:pPr>
      <w:bookmarkStart w:id="64" w:name="_Toc452966963"/>
      <w:r w:rsidRPr="00794F6D">
        <w:rPr>
          <w:kern w:val="0"/>
          <w:sz w:val="24"/>
          <w:lang w:val="en-GB"/>
        </w:rPr>
        <w:lastRenderedPageBreak/>
        <w:t>REFERENCES</w:t>
      </w:r>
      <w:r w:rsidR="00F70819" w:rsidRPr="00C10D10">
        <w:rPr>
          <w:lang w:val="en-GB"/>
        </w:rPr>
        <w:t xml:space="preserve"> TO </w:t>
      </w:r>
      <w:r w:rsidR="007D62FD">
        <w:rPr>
          <w:lang w:val="en-GB"/>
        </w:rPr>
        <w:t xml:space="preserve">THE </w:t>
      </w:r>
      <w:r w:rsidR="00F70819" w:rsidRPr="00C10D10">
        <w:rPr>
          <w:lang w:val="en-GB"/>
        </w:rPr>
        <w:t>ANNEX</w:t>
      </w:r>
      <w:bookmarkEnd w:id="64"/>
    </w:p>
    <w:p w:rsidR="00E53D21" w:rsidRPr="00C10D10" w:rsidRDefault="00E53D21" w:rsidP="00E53D21">
      <w:pPr>
        <w:tabs>
          <w:tab w:val="left" w:pos="851"/>
        </w:tabs>
        <w:autoSpaceDE w:val="0"/>
        <w:autoSpaceDN w:val="0"/>
        <w:adjustRightInd w:val="0"/>
        <w:spacing w:before="120" w:line="360" w:lineRule="auto"/>
        <w:ind w:left="851" w:hanging="851"/>
        <w:jc w:val="both"/>
        <w:rPr>
          <w:rFonts w:ascii="Times New Roman" w:hAnsi="Times New Roman"/>
          <w:sz w:val="24"/>
          <w:szCs w:val="24"/>
        </w:rPr>
      </w:pPr>
      <w:r w:rsidRPr="00C10D10">
        <w:rPr>
          <w:rFonts w:ascii="Times New Roman" w:hAnsi="Times New Roman"/>
          <w:sz w:val="24"/>
          <w:szCs w:val="24"/>
        </w:rPr>
        <w:t>[I-1]</w:t>
      </w:r>
      <w:r w:rsidRPr="00C10D10">
        <w:rPr>
          <w:rFonts w:ascii="Times New Roman" w:hAnsi="Times New Roman"/>
          <w:sz w:val="24"/>
          <w:szCs w:val="24"/>
        </w:rPr>
        <w:tab/>
      </w:r>
      <w:r w:rsidR="001F2553" w:rsidRPr="00C10D10">
        <w:rPr>
          <w:rFonts w:ascii="Times New Roman" w:hAnsi="Times New Roman"/>
          <w:sz w:val="24"/>
          <w:szCs w:val="24"/>
        </w:rPr>
        <w:t>EUROPEAN COMMISSION, FOOD AND AGRICULTURE ORGANIZATION OF THE UNITED NATIONS, INTERNATIONAL ATOMIC ENERGY AGENCY, INTERNATIONAL LABOUR ORGANIZATION, OECD NUCLEAR ENERGY AGENCY, PAN AMERICAN HEALTH ORGANIZATION, UNITED NATIONS ENVIRONMENT PROGRAMME, WORLD HEALTH ORGANIZATION, Radiation Protection and Safety of Radiation Sources: International Basic Safety Standards, IAEA Safety Standards Series No. GSR Part 3, IAEA, Vienna (2014).</w:t>
      </w:r>
    </w:p>
    <w:p w:rsidR="00E53D21" w:rsidRPr="00C10D10" w:rsidRDefault="00E53D21" w:rsidP="00E53D21">
      <w:pPr>
        <w:tabs>
          <w:tab w:val="left" w:pos="851"/>
        </w:tabs>
        <w:autoSpaceDE w:val="0"/>
        <w:autoSpaceDN w:val="0"/>
        <w:adjustRightInd w:val="0"/>
        <w:spacing w:before="120" w:line="360" w:lineRule="auto"/>
        <w:ind w:left="851" w:hanging="851"/>
        <w:jc w:val="both"/>
        <w:rPr>
          <w:rFonts w:ascii="Times New Roman" w:hAnsi="Times New Roman"/>
          <w:sz w:val="24"/>
          <w:szCs w:val="24"/>
        </w:rPr>
      </w:pPr>
      <w:r w:rsidRPr="00C10D10">
        <w:rPr>
          <w:rFonts w:ascii="Times New Roman" w:hAnsi="Times New Roman"/>
          <w:sz w:val="24"/>
          <w:szCs w:val="24"/>
        </w:rPr>
        <w:t>[I-</w:t>
      </w:r>
      <w:r w:rsidR="0029216C">
        <w:rPr>
          <w:rFonts w:ascii="Times New Roman" w:hAnsi="Times New Roman"/>
          <w:sz w:val="24"/>
          <w:szCs w:val="24"/>
        </w:rPr>
        <w:t>2</w:t>
      </w:r>
      <w:r w:rsidRPr="00C10D10">
        <w:rPr>
          <w:rFonts w:ascii="Times New Roman" w:hAnsi="Times New Roman"/>
          <w:sz w:val="24"/>
          <w:szCs w:val="24"/>
        </w:rPr>
        <w:t>]</w:t>
      </w:r>
      <w:r w:rsidRPr="00C10D10">
        <w:rPr>
          <w:rFonts w:ascii="Times New Roman" w:hAnsi="Times New Roman"/>
          <w:sz w:val="24"/>
          <w:szCs w:val="24"/>
        </w:rPr>
        <w:tab/>
      </w:r>
      <w:r w:rsidR="001F2553" w:rsidRPr="00C10D10">
        <w:rPr>
          <w:rFonts w:ascii="Times New Roman" w:hAnsi="Times New Roman"/>
          <w:sz w:val="24"/>
          <w:szCs w:val="24"/>
        </w:rPr>
        <w:t xml:space="preserve">INTERNATIONAL COMMISSION ON RADIOLOGICAL PROTECTION, Radiological Protection Policy for the Disposal of Radioactive Waste, ICRP Publication 77, </w:t>
      </w:r>
      <w:proofErr w:type="spellStart"/>
      <w:r w:rsidR="001F2553" w:rsidRPr="00C10D10">
        <w:rPr>
          <w:rFonts w:ascii="Times New Roman" w:hAnsi="Times New Roman"/>
          <w:sz w:val="24"/>
          <w:szCs w:val="24"/>
        </w:rPr>
        <w:t>Pergamon</w:t>
      </w:r>
      <w:proofErr w:type="spellEnd"/>
      <w:r w:rsidR="001F2553" w:rsidRPr="00C10D10">
        <w:rPr>
          <w:rFonts w:ascii="Times New Roman" w:hAnsi="Times New Roman"/>
          <w:sz w:val="24"/>
          <w:szCs w:val="24"/>
        </w:rPr>
        <w:t xml:space="preserve"> (1997).</w:t>
      </w:r>
    </w:p>
    <w:p w:rsidR="00E53D21" w:rsidRPr="00C10D10" w:rsidRDefault="00E53D21" w:rsidP="00E53D21">
      <w:pPr>
        <w:tabs>
          <w:tab w:val="left" w:pos="851"/>
        </w:tabs>
        <w:autoSpaceDE w:val="0"/>
        <w:autoSpaceDN w:val="0"/>
        <w:adjustRightInd w:val="0"/>
        <w:spacing w:before="120" w:line="360" w:lineRule="auto"/>
        <w:ind w:left="851" w:hanging="851"/>
        <w:jc w:val="both"/>
        <w:rPr>
          <w:rFonts w:ascii="Times New Roman" w:hAnsi="Times New Roman"/>
          <w:sz w:val="24"/>
          <w:szCs w:val="24"/>
        </w:rPr>
      </w:pPr>
      <w:r w:rsidRPr="00C10D10">
        <w:rPr>
          <w:rFonts w:ascii="Times New Roman" w:hAnsi="Times New Roman"/>
          <w:sz w:val="24"/>
          <w:szCs w:val="24"/>
        </w:rPr>
        <w:t>[I-</w:t>
      </w:r>
      <w:r w:rsidR="0029216C">
        <w:rPr>
          <w:rFonts w:ascii="Times New Roman" w:hAnsi="Times New Roman"/>
          <w:sz w:val="24"/>
          <w:szCs w:val="24"/>
        </w:rPr>
        <w:t>3</w:t>
      </w:r>
      <w:r w:rsidRPr="00C10D10">
        <w:rPr>
          <w:rFonts w:ascii="Times New Roman" w:hAnsi="Times New Roman"/>
          <w:sz w:val="24"/>
          <w:szCs w:val="24"/>
        </w:rPr>
        <w:t>]</w:t>
      </w:r>
      <w:r w:rsidRPr="00C10D10">
        <w:rPr>
          <w:rFonts w:ascii="Times New Roman" w:hAnsi="Times New Roman"/>
          <w:sz w:val="24"/>
          <w:szCs w:val="24"/>
        </w:rPr>
        <w:tab/>
      </w:r>
      <w:r w:rsidR="001F2553" w:rsidRPr="00C10D10">
        <w:rPr>
          <w:rFonts w:ascii="Times New Roman" w:hAnsi="Times New Roman"/>
          <w:sz w:val="24"/>
          <w:szCs w:val="24"/>
        </w:rPr>
        <w:t xml:space="preserve">INTERNATIONAL COMMISSION ON RADIOLOGICAL PROTECTION, Radiation protection recommendations as applied to the disposal of long-lived solid radioactive waste, ICRP Publication 81, </w:t>
      </w:r>
      <w:proofErr w:type="spellStart"/>
      <w:r w:rsidR="001F2553" w:rsidRPr="00C10D10">
        <w:rPr>
          <w:rFonts w:ascii="Times New Roman" w:hAnsi="Times New Roman"/>
          <w:sz w:val="24"/>
          <w:szCs w:val="24"/>
        </w:rPr>
        <w:t>Pergamon</w:t>
      </w:r>
      <w:proofErr w:type="spellEnd"/>
      <w:r w:rsidR="001F2553" w:rsidRPr="00C10D10">
        <w:rPr>
          <w:rFonts w:ascii="Times New Roman" w:hAnsi="Times New Roman"/>
          <w:sz w:val="24"/>
          <w:szCs w:val="24"/>
        </w:rPr>
        <w:t xml:space="preserve"> (1998).</w:t>
      </w:r>
    </w:p>
    <w:p w:rsidR="00E53D21" w:rsidRPr="00C10D10" w:rsidRDefault="00E53D21" w:rsidP="00E53D21">
      <w:pPr>
        <w:tabs>
          <w:tab w:val="left" w:pos="851"/>
        </w:tabs>
        <w:autoSpaceDE w:val="0"/>
        <w:autoSpaceDN w:val="0"/>
        <w:adjustRightInd w:val="0"/>
        <w:spacing w:before="120" w:line="360" w:lineRule="auto"/>
        <w:ind w:left="851" w:hanging="851"/>
        <w:jc w:val="both"/>
        <w:rPr>
          <w:rFonts w:ascii="Times New Roman" w:hAnsi="Times New Roman"/>
          <w:sz w:val="24"/>
          <w:szCs w:val="24"/>
        </w:rPr>
      </w:pPr>
      <w:r w:rsidRPr="00C10D10">
        <w:rPr>
          <w:rFonts w:ascii="Times New Roman" w:hAnsi="Times New Roman"/>
          <w:sz w:val="24"/>
          <w:szCs w:val="24"/>
        </w:rPr>
        <w:t>[I-</w:t>
      </w:r>
      <w:r w:rsidR="0029216C">
        <w:rPr>
          <w:rFonts w:ascii="Times New Roman" w:hAnsi="Times New Roman"/>
          <w:sz w:val="24"/>
          <w:szCs w:val="24"/>
        </w:rPr>
        <w:t>4</w:t>
      </w:r>
      <w:r w:rsidRPr="00C10D10">
        <w:rPr>
          <w:rFonts w:ascii="Times New Roman" w:hAnsi="Times New Roman"/>
          <w:sz w:val="24"/>
          <w:szCs w:val="24"/>
        </w:rPr>
        <w:t>]</w:t>
      </w:r>
      <w:r w:rsidRPr="00C10D10">
        <w:rPr>
          <w:rFonts w:ascii="Times New Roman" w:hAnsi="Times New Roman"/>
          <w:sz w:val="24"/>
          <w:szCs w:val="24"/>
        </w:rPr>
        <w:tab/>
      </w:r>
      <w:r w:rsidR="001F2553" w:rsidRPr="00C10D10">
        <w:rPr>
          <w:rFonts w:ascii="Times New Roman" w:hAnsi="Times New Roman"/>
          <w:sz w:val="24"/>
          <w:szCs w:val="24"/>
        </w:rPr>
        <w:t xml:space="preserve">INTERNATIONAL COMMISSION ON RADIOLOGICAL PROTECTION, Protection of the Public in Situations of Prolonged Radiation Exposure, ICRP Publication 82, </w:t>
      </w:r>
      <w:proofErr w:type="spellStart"/>
      <w:r w:rsidR="001F2553" w:rsidRPr="00C10D10">
        <w:rPr>
          <w:rFonts w:ascii="Times New Roman" w:hAnsi="Times New Roman"/>
          <w:sz w:val="24"/>
          <w:szCs w:val="24"/>
        </w:rPr>
        <w:t>Pergamon</w:t>
      </w:r>
      <w:proofErr w:type="spellEnd"/>
      <w:r w:rsidR="001F2553" w:rsidRPr="00C10D10">
        <w:rPr>
          <w:rFonts w:ascii="Times New Roman" w:hAnsi="Times New Roman"/>
          <w:sz w:val="24"/>
          <w:szCs w:val="24"/>
        </w:rPr>
        <w:t xml:space="preserve"> (1999).</w:t>
      </w:r>
    </w:p>
    <w:p w:rsidR="00E53D21" w:rsidRPr="00C10D10" w:rsidRDefault="00E53D21" w:rsidP="00E53D21">
      <w:pPr>
        <w:tabs>
          <w:tab w:val="left" w:pos="851"/>
        </w:tabs>
        <w:autoSpaceDE w:val="0"/>
        <w:autoSpaceDN w:val="0"/>
        <w:adjustRightInd w:val="0"/>
        <w:spacing w:before="120" w:line="360" w:lineRule="auto"/>
        <w:ind w:left="851" w:hanging="851"/>
        <w:jc w:val="both"/>
        <w:rPr>
          <w:rFonts w:ascii="Times New Roman" w:hAnsi="Times New Roman"/>
          <w:sz w:val="24"/>
          <w:szCs w:val="24"/>
        </w:rPr>
      </w:pPr>
      <w:r w:rsidRPr="00C10D10">
        <w:rPr>
          <w:rFonts w:ascii="Times New Roman" w:hAnsi="Times New Roman"/>
          <w:sz w:val="24"/>
          <w:szCs w:val="24"/>
        </w:rPr>
        <w:t>[I-</w:t>
      </w:r>
      <w:r w:rsidR="0029216C">
        <w:rPr>
          <w:rFonts w:ascii="Times New Roman" w:hAnsi="Times New Roman"/>
          <w:sz w:val="24"/>
          <w:szCs w:val="24"/>
        </w:rPr>
        <w:t>5</w:t>
      </w:r>
      <w:r w:rsidRPr="00C10D10">
        <w:rPr>
          <w:rFonts w:ascii="Times New Roman" w:hAnsi="Times New Roman"/>
          <w:sz w:val="24"/>
          <w:szCs w:val="24"/>
        </w:rPr>
        <w:t>]</w:t>
      </w:r>
      <w:r w:rsidR="00F926C4" w:rsidRPr="00C10D10">
        <w:rPr>
          <w:rFonts w:ascii="Times New Roman" w:hAnsi="Times New Roman"/>
          <w:sz w:val="24"/>
          <w:szCs w:val="24"/>
        </w:rPr>
        <w:tab/>
      </w:r>
      <w:r w:rsidR="001F2553" w:rsidRPr="00C10D10">
        <w:rPr>
          <w:rFonts w:ascii="Times New Roman" w:hAnsi="Times New Roman"/>
          <w:sz w:val="24"/>
          <w:szCs w:val="24"/>
        </w:rPr>
        <w:t xml:space="preserve">INTERNATIONAL COMMISSION ON RADIOLOGICAL PROTECTION, </w:t>
      </w:r>
      <w:proofErr w:type="gramStart"/>
      <w:r w:rsidR="001F2553" w:rsidRPr="00C10D10">
        <w:rPr>
          <w:rFonts w:ascii="Times New Roman" w:hAnsi="Times New Roman"/>
          <w:sz w:val="24"/>
          <w:szCs w:val="24"/>
        </w:rPr>
        <w:t>The</w:t>
      </w:r>
      <w:proofErr w:type="gramEnd"/>
      <w:r w:rsidR="001F2553" w:rsidRPr="00C10D10">
        <w:rPr>
          <w:rFonts w:ascii="Times New Roman" w:hAnsi="Times New Roman"/>
          <w:sz w:val="24"/>
          <w:szCs w:val="24"/>
        </w:rPr>
        <w:t xml:space="preserve"> 2007 Recommendations of the International Commission on Radiological Protection’, ICRP Publication 103, Elsevier, Oxford and New York (2007).</w:t>
      </w:r>
    </w:p>
    <w:p w:rsidR="0029216C" w:rsidRPr="00536692" w:rsidRDefault="0029216C" w:rsidP="0029216C">
      <w:pPr>
        <w:tabs>
          <w:tab w:val="left" w:pos="851"/>
        </w:tabs>
        <w:autoSpaceDE w:val="0"/>
        <w:autoSpaceDN w:val="0"/>
        <w:adjustRightInd w:val="0"/>
        <w:spacing w:before="120" w:line="360" w:lineRule="auto"/>
        <w:ind w:left="851" w:hanging="851"/>
        <w:jc w:val="both"/>
        <w:rPr>
          <w:rFonts w:ascii="Times New Roman" w:hAnsi="Times New Roman"/>
          <w:sz w:val="24"/>
          <w:szCs w:val="24"/>
        </w:rPr>
      </w:pPr>
      <w:r>
        <w:rPr>
          <w:rFonts w:ascii="Times New Roman" w:hAnsi="Times New Roman"/>
          <w:sz w:val="24"/>
          <w:szCs w:val="24"/>
        </w:rPr>
        <w:t>[I-6]</w:t>
      </w:r>
      <w:r>
        <w:rPr>
          <w:rFonts w:ascii="Times New Roman" w:hAnsi="Times New Roman"/>
          <w:sz w:val="24"/>
          <w:szCs w:val="24"/>
        </w:rPr>
        <w:tab/>
      </w:r>
      <w:proofErr w:type="gramStart"/>
      <w:r w:rsidRPr="00536692">
        <w:rPr>
          <w:rFonts w:ascii="Times New Roman" w:hAnsi="Times New Roman"/>
          <w:sz w:val="24"/>
          <w:szCs w:val="24"/>
        </w:rPr>
        <w:t xml:space="preserve">INTERNATIONAL ATOMIC ENERGY AGENCY, </w:t>
      </w:r>
      <w:r>
        <w:rPr>
          <w:rFonts w:ascii="Times New Roman" w:hAnsi="Times New Roman"/>
          <w:sz w:val="24"/>
          <w:szCs w:val="24"/>
        </w:rPr>
        <w:t>Disposal of Radioactive Waste</w:t>
      </w:r>
      <w:r w:rsidRPr="00536692">
        <w:rPr>
          <w:rFonts w:ascii="Times New Roman" w:hAnsi="Times New Roman"/>
          <w:sz w:val="24"/>
          <w:szCs w:val="24"/>
        </w:rPr>
        <w:t>, IAEA Safety Standards Series No.</w:t>
      </w:r>
      <w:proofErr w:type="gramEnd"/>
      <w:r w:rsidRPr="00536692">
        <w:rPr>
          <w:rFonts w:ascii="Times New Roman" w:hAnsi="Times New Roman"/>
          <w:sz w:val="24"/>
          <w:szCs w:val="24"/>
        </w:rPr>
        <w:t xml:space="preserve"> </w:t>
      </w:r>
      <w:proofErr w:type="gramStart"/>
      <w:r>
        <w:rPr>
          <w:rFonts w:ascii="Times New Roman" w:hAnsi="Times New Roman"/>
          <w:sz w:val="24"/>
          <w:szCs w:val="24"/>
        </w:rPr>
        <w:t>SSR-5</w:t>
      </w:r>
      <w:r w:rsidRPr="00536692">
        <w:rPr>
          <w:rFonts w:ascii="Times New Roman" w:hAnsi="Times New Roman"/>
          <w:sz w:val="24"/>
          <w:szCs w:val="24"/>
        </w:rPr>
        <w:t>, IAEA, Vienna (2</w:t>
      </w:r>
      <w:r>
        <w:rPr>
          <w:rFonts w:ascii="Times New Roman" w:hAnsi="Times New Roman"/>
          <w:sz w:val="24"/>
          <w:szCs w:val="24"/>
        </w:rPr>
        <w:t>011</w:t>
      </w:r>
      <w:r w:rsidRPr="00536692">
        <w:rPr>
          <w:rFonts w:ascii="Times New Roman" w:hAnsi="Times New Roman"/>
          <w:sz w:val="24"/>
          <w:szCs w:val="24"/>
        </w:rPr>
        <w:t>).</w:t>
      </w:r>
      <w:proofErr w:type="gramEnd"/>
    </w:p>
    <w:p w:rsidR="0029216C" w:rsidRPr="00C10D10" w:rsidRDefault="0029216C" w:rsidP="0029216C">
      <w:pPr>
        <w:tabs>
          <w:tab w:val="left" w:pos="851"/>
        </w:tabs>
        <w:spacing w:before="120" w:line="360" w:lineRule="auto"/>
        <w:ind w:left="851" w:hanging="851"/>
        <w:jc w:val="both"/>
        <w:rPr>
          <w:rFonts w:ascii="Times New Roman" w:hAnsi="Times New Roman"/>
          <w:sz w:val="24"/>
          <w:szCs w:val="24"/>
        </w:rPr>
      </w:pPr>
      <w:r w:rsidRPr="00C10D10">
        <w:rPr>
          <w:rFonts w:ascii="Times New Roman" w:hAnsi="Times New Roman"/>
          <w:sz w:val="24"/>
          <w:szCs w:val="24"/>
        </w:rPr>
        <w:t>[I-</w:t>
      </w:r>
      <w:r>
        <w:rPr>
          <w:rFonts w:ascii="Times New Roman" w:hAnsi="Times New Roman"/>
          <w:sz w:val="24"/>
          <w:szCs w:val="24"/>
        </w:rPr>
        <w:t>7</w:t>
      </w:r>
      <w:r w:rsidRPr="00C10D10">
        <w:rPr>
          <w:rFonts w:ascii="Times New Roman" w:hAnsi="Times New Roman"/>
          <w:sz w:val="24"/>
          <w:szCs w:val="24"/>
        </w:rPr>
        <w:t>]</w:t>
      </w:r>
      <w:r w:rsidRPr="00C10D10">
        <w:rPr>
          <w:rFonts w:ascii="Times New Roman" w:hAnsi="Times New Roman"/>
          <w:sz w:val="24"/>
          <w:szCs w:val="24"/>
        </w:rPr>
        <w:tab/>
        <w:t xml:space="preserve">INTERNATIONAL COMMISSION ON RADIOLOGICAL PROTECTION, Assessing Dose of the Representative Person for the Purpose of Radiation Protection of the Public and Optimisation of Protection: Broadening the Process, ICRP Publication 101, </w:t>
      </w:r>
      <w:proofErr w:type="spellStart"/>
      <w:r w:rsidRPr="00C10D10">
        <w:rPr>
          <w:rFonts w:ascii="Times New Roman" w:hAnsi="Times New Roman"/>
          <w:sz w:val="24"/>
          <w:szCs w:val="24"/>
        </w:rPr>
        <w:t>Pergamon</w:t>
      </w:r>
      <w:proofErr w:type="spellEnd"/>
      <w:r w:rsidRPr="00C10D10">
        <w:rPr>
          <w:rFonts w:ascii="Times New Roman" w:hAnsi="Times New Roman"/>
          <w:sz w:val="24"/>
          <w:szCs w:val="24"/>
        </w:rPr>
        <w:t xml:space="preserve"> Press, Oxford and New York (2006).</w:t>
      </w:r>
    </w:p>
    <w:p w:rsidR="002039EE" w:rsidRPr="00C10D10" w:rsidRDefault="00703FE4" w:rsidP="0029216C">
      <w:pPr>
        <w:tabs>
          <w:tab w:val="left" w:pos="851"/>
        </w:tabs>
        <w:autoSpaceDE w:val="0"/>
        <w:autoSpaceDN w:val="0"/>
        <w:adjustRightInd w:val="0"/>
        <w:spacing w:before="120" w:line="360" w:lineRule="auto"/>
        <w:ind w:left="851" w:hanging="851"/>
        <w:jc w:val="both"/>
        <w:rPr>
          <w:rFonts w:ascii="Times New Roman" w:hAnsi="Times New Roman"/>
          <w:sz w:val="24"/>
          <w:szCs w:val="24"/>
        </w:rPr>
      </w:pPr>
      <w:r w:rsidRPr="00C10D10">
        <w:rPr>
          <w:rFonts w:ascii="Times New Roman" w:hAnsi="Times New Roman"/>
          <w:sz w:val="24"/>
          <w:szCs w:val="24"/>
        </w:rPr>
        <w:t>[</w:t>
      </w:r>
      <w:r w:rsidR="00E53D21" w:rsidRPr="00C10D10">
        <w:rPr>
          <w:rFonts w:ascii="Times New Roman" w:hAnsi="Times New Roman"/>
          <w:sz w:val="24"/>
          <w:szCs w:val="24"/>
        </w:rPr>
        <w:t>I-8</w:t>
      </w:r>
      <w:r w:rsidRPr="00C10D10">
        <w:rPr>
          <w:rFonts w:ascii="Times New Roman" w:hAnsi="Times New Roman"/>
          <w:sz w:val="24"/>
          <w:szCs w:val="24"/>
        </w:rPr>
        <w:t>]</w:t>
      </w:r>
      <w:r w:rsidR="000E21E1" w:rsidRPr="00C10D10">
        <w:rPr>
          <w:rFonts w:ascii="Times New Roman" w:hAnsi="Times New Roman"/>
          <w:sz w:val="24"/>
          <w:szCs w:val="24"/>
        </w:rPr>
        <w:tab/>
      </w:r>
      <w:r w:rsidR="002039EE" w:rsidRPr="00C10D10">
        <w:rPr>
          <w:rFonts w:ascii="Times New Roman" w:hAnsi="Times New Roman"/>
          <w:sz w:val="24"/>
          <w:szCs w:val="24"/>
        </w:rPr>
        <w:t>INTERNATIONAL ATOMIC ENERGY AGENCY</w:t>
      </w:r>
      <w:r w:rsidR="00BB5A97" w:rsidRPr="00C10D10">
        <w:rPr>
          <w:rFonts w:ascii="Times New Roman" w:hAnsi="Times New Roman"/>
          <w:sz w:val="24"/>
          <w:szCs w:val="24"/>
        </w:rPr>
        <w:t>,</w:t>
      </w:r>
      <w:r w:rsidR="002039EE" w:rsidRPr="00C10D10">
        <w:rPr>
          <w:rFonts w:ascii="Times New Roman" w:hAnsi="Times New Roman"/>
          <w:sz w:val="24"/>
          <w:szCs w:val="24"/>
        </w:rPr>
        <w:t xml:space="preserve"> Setting authorized limits for </w:t>
      </w:r>
      <w:r w:rsidR="00D1676F">
        <w:rPr>
          <w:rFonts w:ascii="Times New Roman" w:hAnsi="Times New Roman"/>
          <w:sz w:val="24"/>
          <w:szCs w:val="24"/>
        </w:rPr>
        <w:t xml:space="preserve">radioactive </w:t>
      </w:r>
      <w:r w:rsidR="002039EE" w:rsidRPr="00C10D10">
        <w:rPr>
          <w:rFonts w:ascii="Times New Roman" w:hAnsi="Times New Roman"/>
          <w:sz w:val="24"/>
          <w:szCs w:val="24"/>
        </w:rPr>
        <w:t xml:space="preserve">discharges: practical issues to consider. </w:t>
      </w:r>
      <w:proofErr w:type="gramStart"/>
      <w:r w:rsidR="00D1676F">
        <w:rPr>
          <w:rFonts w:ascii="Times New Roman" w:hAnsi="Times New Roman"/>
          <w:sz w:val="24"/>
          <w:szCs w:val="24"/>
        </w:rPr>
        <w:t>IAEA</w:t>
      </w:r>
      <w:r w:rsidR="007D62FD">
        <w:rPr>
          <w:rFonts w:ascii="Times New Roman" w:hAnsi="Times New Roman"/>
          <w:sz w:val="24"/>
          <w:szCs w:val="24"/>
        </w:rPr>
        <w:t>-</w:t>
      </w:r>
      <w:r w:rsidR="002039EE" w:rsidRPr="00C10D10">
        <w:rPr>
          <w:rFonts w:ascii="Times New Roman" w:hAnsi="Times New Roman"/>
          <w:sz w:val="24"/>
          <w:szCs w:val="24"/>
        </w:rPr>
        <w:t>TECDOC</w:t>
      </w:r>
      <w:r w:rsidR="007D62FD">
        <w:rPr>
          <w:rFonts w:ascii="Times New Roman" w:hAnsi="Times New Roman"/>
          <w:sz w:val="24"/>
          <w:szCs w:val="24"/>
        </w:rPr>
        <w:t>-</w:t>
      </w:r>
      <w:r w:rsidR="002039EE" w:rsidRPr="00C10D10">
        <w:rPr>
          <w:rFonts w:ascii="Times New Roman" w:hAnsi="Times New Roman"/>
          <w:sz w:val="24"/>
          <w:szCs w:val="24"/>
        </w:rPr>
        <w:t>1638, IAEA, Vienna (2010)</w:t>
      </w:r>
      <w:r w:rsidR="00BB5A97" w:rsidRPr="00C10D10">
        <w:rPr>
          <w:rFonts w:ascii="Times New Roman" w:hAnsi="Times New Roman"/>
          <w:sz w:val="24"/>
          <w:szCs w:val="24"/>
        </w:rPr>
        <w:t>.</w:t>
      </w:r>
      <w:proofErr w:type="gramEnd"/>
      <w:r w:rsidR="002039EE" w:rsidRPr="00C10D10">
        <w:rPr>
          <w:rFonts w:ascii="Times New Roman" w:hAnsi="Times New Roman"/>
          <w:sz w:val="24"/>
          <w:szCs w:val="24"/>
        </w:rPr>
        <w:t xml:space="preserve"> </w:t>
      </w:r>
    </w:p>
    <w:p w:rsidR="000E21E1" w:rsidRPr="00C10D10" w:rsidRDefault="003964D9" w:rsidP="00E53D21">
      <w:pPr>
        <w:tabs>
          <w:tab w:val="left" w:pos="851"/>
        </w:tabs>
        <w:autoSpaceDE w:val="0"/>
        <w:autoSpaceDN w:val="0"/>
        <w:adjustRightInd w:val="0"/>
        <w:spacing w:before="120" w:line="360" w:lineRule="auto"/>
        <w:ind w:left="851" w:hanging="851"/>
        <w:jc w:val="both"/>
        <w:rPr>
          <w:rFonts w:ascii="Times New Roman" w:hAnsi="Times New Roman"/>
          <w:sz w:val="24"/>
          <w:szCs w:val="24"/>
        </w:rPr>
      </w:pPr>
      <w:r w:rsidRPr="00C10D10">
        <w:rPr>
          <w:rFonts w:ascii="Times New Roman" w:hAnsi="Times New Roman"/>
          <w:sz w:val="24"/>
          <w:szCs w:val="24"/>
        </w:rPr>
        <w:lastRenderedPageBreak/>
        <w:t>[</w:t>
      </w:r>
      <w:r w:rsidR="00E53D21" w:rsidRPr="00C10D10">
        <w:rPr>
          <w:rFonts w:ascii="Times New Roman" w:hAnsi="Times New Roman"/>
          <w:sz w:val="24"/>
          <w:szCs w:val="24"/>
        </w:rPr>
        <w:t>I-</w:t>
      </w:r>
      <w:r w:rsidR="0029216C">
        <w:rPr>
          <w:rFonts w:ascii="Times New Roman" w:hAnsi="Times New Roman"/>
          <w:sz w:val="24"/>
          <w:szCs w:val="24"/>
        </w:rPr>
        <w:t>9</w:t>
      </w:r>
      <w:r w:rsidRPr="00C10D10">
        <w:rPr>
          <w:rFonts w:ascii="Times New Roman" w:hAnsi="Times New Roman"/>
          <w:sz w:val="24"/>
          <w:szCs w:val="24"/>
        </w:rPr>
        <w:t>]</w:t>
      </w:r>
      <w:r w:rsidRPr="00C10D10">
        <w:rPr>
          <w:rFonts w:ascii="Times New Roman" w:hAnsi="Times New Roman"/>
          <w:sz w:val="24"/>
          <w:szCs w:val="24"/>
        </w:rPr>
        <w:tab/>
      </w:r>
      <w:proofErr w:type="gramStart"/>
      <w:r w:rsidRPr="00C10D10">
        <w:rPr>
          <w:rFonts w:ascii="Times New Roman" w:hAnsi="Times New Roman"/>
          <w:sz w:val="24"/>
          <w:szCs w:val="24"/>
        </w:rPr>
        <w:t>INTERNATIONAL ATOMIC ENERGY AGENCY, Optimization of Radiation Protection in the Control of Occupational Exposure, Safety Reports Series No. 21, IAEA, Vienna (2002).</w:t>
      </w:r>
      <w:proofErr w:type="gramEnd"/>
    </w:p>
    <w:p w:rsidR="00703FE4" w:rsidRDefault="000E21E1" w:rsidP="00B42D70">
      <w:pPr>
        <w:tabs>
          <w:tab w:val="left" w:pos="851"/>
        </w:tabs>
        <w:autoSpaceDE w:val="0"/>
        <w:autoSpaceDN w:val="0"/>
        <w:adjustRightInd w:val="0"/>
        <w:spacing w:before="120" w:line="360" w:lineRule="auto"/>
        <w:ind w:left="851" w:hanging="851"/>
        <w:jc w:val="both"/>
        <w:rPr>
          <w:rFonts w:ascii="Times New Roman" w:hAnsi="Times New Roman"/>
          <w:sz w:val="24"/>
          <w:szCs w:val="24"/>
        </w:rPr>
      </w:pPr>
      <w:r w:rsidRPr="00C10D10">
        <w:rPr>
          <w:rFonts w:ascii="Times New Roman" w:hAnsi="Times New Roman"/>
          <w:sz w:val="24"/>
          <w:szCs w:val="24"/>
        </w:rPr>
        <w:t>[</w:t>
      </w:r>
      <w:r w:rsidR="00E53D21" w:rsidRPr="00C10D10">
        <w:rPr>
          <w:rFonts w:ascii="Times New Roman" w:hAnsi="Times New Roman"/>
          <w:sz w:val="24"/>
          <w:szCs w:val="24"/>
        </w:rPr>
        <w:t>I-1</w:t>
      </w:r>
      <w:r w:rsidR="0029216C">
        <w:rPr>
          <w:rFonts w:ascii="Times New Roman" w:hAnsi="Times New Roman"/>
          <w:sz w:val="24"/>
          <w:szCs w:val="24"/>
        </w:rPr>
        <w:t>0</w:t>
      </w:r>
      <w:r w:rsidRPr="00C10D10">
        <w:rPr>
          <w:rFonts w:ascii="Times New Roman" w:hAnsi="Times New Roman"/>
          <w:sz w:val="24"/>
          <w:szCs w:val="24"/>
        </w:rPr>
        <w:t>]</w:t>
      </w:r>
      <w:r w:rsidRPr="00C10D10">
        <w:rPr>
          <w:rFonts w:ascii="Times New Roman" w:hAnsi="Times New Roman"/>
          <w:sz w:val="24"/>
          <w:szCs w:val="24"/>
        </w:rPr>
        <w:tab/>
      </w:r>
      <w:proofErr w:type="gramStart"/>
      <w:r w:rsidRPr="00C10D10">
        <w:rPr>
          <w:rFonts w:ascii="Times New Roman" w:hAnsi="Times New Roman"/>
          <w:sz w:val="24"/>
          <w:szCs w:val="24"/>
        </w:rPr>
        <w:t xml:space="preserve">OSPAR COMMISSION FOR THE PROTECTION OF THE MARINE ENVIRONMENT OF THE NORTH-EAST ATLANTIC, </w:t>
      </w:r>
      <w:r w:rsidR="00FD41C5" w:rsidRPr="00FD41C5">
        <w:rPr>
          <w:rFonts w:ascii="Times New Roman" w:hAnsi="Times New Roman"/>
          <w:sz w:val="24"/>
          <w:szCs w:val="24"/>
        </w:rPr>
        <w:t xml:space="preserve">Recommendation 91/4 of 20 June, 1991 </w:t>
      </w:r>
      <w:r w:rsidR="00262CB3" w:rsidRPr="00FD41C5">
        <w:rPr>
          <w:rFonts w:ascii="Times New Roman" w:hAnsi="Times New Roman"/>
          <w:sz w:val="24"/>
          <w:szCs w:val="24"/>
        </w:rPr>
        <w:t>on</w:t>
      </w:r>
      <w:r w:rsidR="00FD41C5" w:rsidRPr="00FD41C5">
        <w:rPr>
          <w:rFonts w:ascii="Times New Roman" w:hAnsi="Times New Roman"/>
          <w:sz w:val="24"/>
          <w:szCs w:val="24"/>
        </w:rPr>
        <w:t xml:space="preserve"> Radioactive Discharges (1991).</w:t>
      </w:r>
      <w:proofErr w:type="gramEnd"/>
      <w:r w:rsidR="00FD41C5" w:rsidRPr="00FD41C5">
        <w:rPr>
          <w:rFonts w:ascii="Times New Roman" w:hAnsi="Times New Roman"/>
          <w:sz w:val="24"/>
          <w:szCs w:val="24"/>
        </w:rPr>
        <w:t xml:space="preserve"> </w:t>
      </w:r>
      <w:hyperlink r:id="rId16" w:history="1">
        <w:r w:rsidR="00B8550D" w:rsidRPr="00725781">
          <w:rPr>
            <w:rStyle w:val="Hyperlink"/>
            <w:rFonts w:ascii="Times New Roman" w:hAnsi="Times New Roman"/>
            <w:sz w:val="24"/>
            <w:szCs w:val="24"/>
          </w:rPr>
          <w:t>http://www.ospar.org/documents/dbase/decrecs/recommendations/pr91-04e.doc</w:t>
        </w:r>
      </w:hyperlink>
      <w:r w:rsidR="00FD41C5">
        <w:rPr>
          <w:rFonts w:ascii="Times New Roman" w:hAnsi="Times New Roman"/>
          <w:sz w:val="24"/>
          <w:szCs w:val="24"/>
        </w:rPr>
        <w:t>.</w:t>
      </w:r>
    </w:p>
    <w:p w:rsidR="00B8550D" w:rsidRPr="00C10D10" w:rsidRDefault="00B8550D" w:rsidP="00B42D70">
      <w:pPr>
        <w:tabs>
          <w:tab w:val="left" w:pos="851"/>
        </w:tabs>
        <w:autoSpaceDE w:val="0"/>
        <w:autoSpaceDN w:val="0"/>
        <w:adjustRightInd w:val="0"/>
        <w:spacing w:before="120" w:line="360" w:lineRule="auto"/>
        <w:ind w:left="851" w:hanging="851"/>
        <w:jc w:val="both"/>
        <w:rPr>
          <w:rFonts w:ascii="Times New Roman" w:hAnsi="Times New Roman"/>
          <w:sz w:val="24"/>
          <w:szCs w:val="24"/>
        </w:rPr>
      </w:pPr>
      <w:r w:rsidRPr="00B8550D">
        <w:rPr>
          <w:rFonts w:ascii="Times New Roman" w:hAnsi="Times New Roman"/>
          <w:sz w:val="24"/>
          <w:szCs w:val="24"/>
        </w:rPr>
        <w:t>[I-11]</w:t>
      </w:r>
      <w:r w:rsidRPr="00B8550D">
        <w:rPr>
          <w:rFonts w:ascii="Times New Roman" w:hAnsi="Times New Roman"/>
          <w:sz w:val="24"/>
          <w:szCs w:val="24"/>
        </w:rPr>
        <w:tab/>
      </w:r>
      <w:proofErr w:type="gramStart"/>
      <w:r w:rsidRPr="00B8550D">
        <w:rPr>
          <w:rFonts w:ascii="Times New Roman" w:hAnsi="Times New Roman"/>
          <w:bCs/>
          <w:sz w:val="24"/>
          <w:szCs w:val="24"/>
        </w:rPr>
        <w:t>EUROEPAN PARLIAMENT AND COUNCIL, Directive 2008/1/EC of the European Parliament and of the Council of 15 January 2008 concerning integrated pollution prevention and control, Brussels (2008).</w:t>
      </w:r>
      <w:proofErr w:type="gramEnd"/>
    </w:p>
    <w:p w:rsidR="00B8550D" w:rsidRDefault="00B8550D" w:rsidP="00B8550D">
      <w:pPr>
        <w:pStyle w:val="Heading1"/>
        <w:numPr>
          <w:ilvl w:val="0"/>
          <w:numId w:val="0"/>
        </w:numPr>
        <w:spacing w:before="120" w:after="0" w:line="360" w:lineRule="auto"/>
        <w:jc w:val="left"/>
        <w:rPr>
          <w:rFonts w:eastAsia="Calibri"/>
          <w:b w:val="0"/>
          <w:bCs w:val="0"/>
          <w:kern w:val="0"/>
          <w:sz w:val="24"/>
          <w:lang w:val="en-GB" w:eastAsia="en-US"/>
        </w:rPr>
      </w:pPr>
      <w:bookmarkStart w:id="65" w:name="_Toc396128285"/>
      <w:bookmarkStart w:id="66" w:name="_Toc396128901"/>
    </w:p>
    <w:p w:rsidR="00F52305" w:rsidRPr="00C10D10" w:rsidRDefault="00703FE4" w:rsidP="00B8550D">
      <w:pPr>
        <w:pStyle w:val="Heading1"/>
        <w:numPr>
          <w:ilvl w:val="0"/>
          <w:numId w:val="0"/>
        </w:numPr>
        <w:spacing w:before="120" w:after="0" w:line="360" w:lineRule="auto"/>
        <w:jc w:val="left"/>
        <w:rPr>
          <w:kern w:val="0"/>
          <w:sz w:val="24"/>
          <w:lang w:val="en-GB"/>
        </w:rPr>
      </w:pPr>
      <w:r w:rsidRPr="00B8550D">
        <w:rPr>
          <w:rFonts w:eastAsia="Calibri"/>
          <w:b w:val="0"/>
          <w:bCs w:val="0"/>
          <w:kern w:val="0"/>
          <w:sz w:val="24"/>
          <w:lang w:val="en-GB" w:eastAsia="en-US"/>
        </w:rPr>
        <w:br w:type="page"/>
      </w:r>
      <w:bookmarkStart w:id="67" w:name="_Toc452966964"/>
      <w:r w:rsidR="00F52305" w:rsidRPr="00C10D10">
        <w:rPr>
          <w:kern w:val="0"/>
          <w:sz w:val="24"/>
          <w:lang w:val="en-GB"/>
        </w:rPr>
        <w:lastRenderedPageBreak/>
        <w:t>CONTRIBUTORS TO DRAFTING AND REVIEW</w:t>
      </w:r>
      <w:bookmarkEnd w:id="65"/>
      <w:bookmarkEnd w:id="66"/>
      <w:bookmarkEnd w:id="67"/>
    </w:p>
    <w:p w:rsidR="00833419" w:rsidRDefault="00833419">
      <w:pPr>
        <w:pStyle w:val="BodyText"/>
      </w:pPr>
      <w:proofErr w:type="spellStart"/>
      <w:r>
        <w:t>Asfaw</w:t>
      </w:r>
      <w:proofErr w:type="spellEnd"/>
      <w:r>
        <w:t>, K.</w:t>
      </w:r>
      <w:r>
        <w:tab/>
      </w:r>
      <w:r w:rsidRPr="00833419">
        <w:t>International Atomic Energy Agency</w:t>
      </w:r>
    </w:p>
    <w:p w:rsidR="00F52305" w:rsidRPr="00C10D10" w:rsidRDefault="00F52305">
      <w:pPr>
        <w:pStyle w:val="BodyText"/>
      </w:pPr>
      <w:proofErr w:type="spellStart"/>
      <w:r w:rsidRPr="00C10D10">
        <w:t>Berkovskyy</w:t>
      </w:r>
      <w:proofErr w:type="spellEnd"/>
      <w:r w:rsidRPr="00C10D10">
        <w:t>, V.</w:t>
      </w:r>
      <w:r w:rsidR="000F3B7A" w:rsidRPr="00C10D10">
        <w:tab/>
        <w:t>Ukrainian Radiation Protection Institute, Ukraine</w:t>
      </w:r>
    </w:p>
    <w:p w:rsidR="008E02D3" w:rsidRDefault="008E02D3">
      <w:pPr>
        <w:pStyle w:val="BodyText"/>
      </w:pPr>
      <w:r>
        <w:t>Boal, T</w:t>
      </w:r>
      <w:r w:rsidR="00833419">
        <w:t>.</w:t>
      </w:r>
      <w:r>
        <w:tab/>
      </w:r>
      <w:r w:rsidRPr="008E02D3">
        <w:t>International Atomic Energy Agency</w:t>
      </w:r>
    </w:p>
    <w:p w:rsidR="00F52305" w:rsidRPr="00C10D10" w:rsidRDefault="00F52305">
      <w:pPr>
        <w:pStyle w:val="BodyText"/>
      </w:pPr>
      <w:proofErr w:type="spellStart"/>
      <w:r w:rsidRPr="00C10D10">
        <w:t>Bonchuk</w:t>
      </w:r>
      <w:proofErr w:type="spellEnd"/>
      <w:r w:rsidRPr="00C10D10">
        <w:t>, I.</w:t>
      </w:r>
      <w:r w:rsidR="000F3B7A" w:rsidRPr="00C10D10">
        <w:tab/>
      </w:r>
      <w:r w:rsidR="00BB5A97" w:rsidRPr="00C10D10">
        <w:t xml:space="preserve">Ukrainian </w:t>
      </w:r>
      <w:r w:rsidRPr="00C10D10">
        <w:t xml:space="preserve">Radiation Protection Institute, Ukraine </w:t>
      </w:r>
    </w:p>
    <w:p w:rsidR="00513100" w:rsidRPr="00C10D10" w:rsidRDefault="00513100" w:rsidP="003A41C1">
      <w:pPr>
        <w:pStyle w:val="BodyText2"/>
        <w:tabs>
          <w:tab w:val="left" w:pos="2835"/>
        </w:tabs>
        <w:spacing w:before="120" w:after="0" w:line="360" w:lineRule="auto"/>
        <w:jc w:val="both"/>
        <w:rPr>
          <w:rFonts w:ascii="Times New Roman" w:eastAsia="Times New Roman" w:hAnsi="Times New Roman"/>
          <w:sz w:val="24"/>
          <w:szCs w:val="24"/>
        </w:rPr>
      </w:pPr>
      <w:proofErr w:type="spellStart"/>
      <w:r w:rsidRPr="00C10D10">
        <w:rPr>
          <w:rFonts w:ascii="Times New Roman" w:eastAsia="Times New Roman" w:hAnsi="Times New Roman"/>
          <w:sz w:val="24"/>
          <w:szCs w:val="24"/>
        </w:rPr>
        <w:t>Cabianca</w:t>
      </w:r>
      <w:proofErr w:type="spellEnd"/>
      <w:r w:rsidRPr="00C10D10">
        <w:rPr>
          <w:rFonts w:ascii="Times New Roman" w:eastAsia="Times New Roman" w:hAnsi="Times New Roman"/>
          <w:sz w:val="24"/>
          <w:szCs w:val="24"/>
        </w:rPr>
        <w:t>, T.</w:t>
      </w:r>
      <w:r w:rsidRPr="00C10D10">
        <w:rPr>
          <w:rFonts w:ascii="Times New Roman" w:eastAsia="Times New Roman" w:hAnsi="Times New Roman"/>
          <w:sz w:val="24"/>
          <w:szCs w:val="24"/>
        </w:rPr>
        <w:tab/>
        <w:t xml:space="preserve">Public Health England, </w:t>
      </w:r>
      <w:r w:rsidR="00BB5A97" w:rsidRPr="00C10D10">
        <w:rPr>
          <w:rFonts w:ascii="Times New Roman" w:eastAsia="Times New Roman" w:hAnsi="Times New Roman"/>
          <w:sz w:val="24"/>
          <w:szCs w:val="24"/>
        </w:rPr>
        <w:t xml:space="preserve">HPE, </w:t>
      </w:r>
      <w:r w:rsidRPr="00C10D10">
        <w:rPr>
          <w:rFonts w:ascii="Times New Roman" w:eastAsia="Times New Roman" w:hAnsi="Times New Roman"/>
          <w:sz w:val="24"/>
          <w:szCs w:val="24"/>
        </w:rPr>
        <w:t>United Kingdom</w:t>
      </w:r>
    </w:p>
    <w:p w:rsidR="00F52305" w:rsidRPr="00C10D10" w:rsidRDefault="00F52305">
      <w:pPr>
        <w:pStyle w:val="BodyText"/>
        <w:rPr>
          <w:lang w:val="fr-FR"/>
        </w:rPr>
      </w:pPr>
      <w:r w:rsidRPr="00C10D10">
        <w:rPr>
          <w:lang w:val="fr-FR"/>
        </w:rPr>
        <w:t>Chartier, M.</w:t>
      </w:r>
      <w:r w:rsidR="000F3B7A" w:rsidRPr="00C10D10">
        <w:rPr>
          <w:lang w:val="fr-FR"/>
        </w:rPr>
        <w:tab/>
      </w:r>
      <w:r w:rsidRPr="00C10D10">
        <w:rPr>
          <w:lang w:val="fr-FR"/>
        </w:rPr>
        <w:t>Institut de Radioprotection et de Sureté Nucléaire, France</w:t>
      </w:r>
    </w:p>
    <w:p w:rsidR="00F52305" w:rsidRPr="00C10D10" w:rsidRDefault="00F52305">
      <w:pPr>
        <w:pStyle w:val="BodyText"/>
      </w:pPr>
      <w:r w:rsidRPr="00C10D10">
        <w:t>Conatser, R.L</w:t>
      </w:r>
      <w:r w:rsidR="000F3B7A" w:rsidRPr="00C10D10">
        <w:t>.</w:t>
      </w:r>
      <w:r w:rsidR="000F3B7A" w:rsidRPr="00C10D10">
        <w:tab/>
      </w:r>
      <w:r w:rsidRPr="00C10D10">
        <w:t>Nuclear Regulatory Commission, United States of America</w:t>
      </w:r>
    </w:p>
    <w:p w:rsidR="00F52305" w:rsidRPr="00C10D10" w:rsidRDefault="00F52305">
      <w:pPr>
        <w:pStyle w:val="BodyText"/>
      </w:pPr>
      <w:proofErr w:type="spellStart"/>
      <w:proofErr w:type="gramStart"/>
      <w:r w:rsidRPr="00C10D10">
        <w:t>Dehmel</w:t>
      </w:r>
      <w:proofErr w:type="spellEnd"/>
      <w:r w:rsidRPr="00C10D10">
        <w:t>, J.-C.</w:t>
      </w:r>
      <w:proofErr w:type="gramEnd"/>
      <w:r w:rsidR="000F3B7A" w:rsidRPr="00C10D10">
        <w:tab/>
      </w:r>
      <w:r w:rsidRPr="00C10D10">
        <w:t>Nuclear Regulatory Commission, United States of America</w:t>
      </w:r>
    </w:p>
    <w:p w:rsidR="00F52305" w:rsidRPr="00C10D10" w:rsidRDefault="00F52305">
      <w:pPr>
        <w:pStyle w:val="BodyText"/>
      </w:pPr>
      <w:proofErr w:type="spellStart"/>
      <w:r w:rsidRPr="00C10D10">
        <w:t>Hamlat</w:t>
      </w:r>
      <w:proofErr w:type="spellEnd"/>
      <w:r w:rsidRPr="00C10D10">
        <w:t>, M.S.</w:t>
      </w:r>
      <w:r w:rsidR="000F3B7A" w:rsidRPr="00C10D10">
        <w:tab/>
      </w:r>
      <w:r w:rsidRPr="00C10D10">
        <w:t>Canadian Nuclear Safety Commission, Canada</w:t>
      </w:r>
    </w:p>
    <w:p w:rsidR="003A41C1" w:rsidRPr="00C10D10" w:rsidRDefault="003A41C1">
      <w:pPr>
        <w:pStyle w:val="BodyText"/>
      </w:pPr>
      <w:r w:rsidRPr="00C10D10">
        <w:t>Harman, N.</w:t>
      </w:r>
      <w:r w:rsidRPr="00C10D10">
        <w:tab/>
        <w:t xml:space="preserve">Consultant, </w:t>
      </w:r>
      <w:proofErr w:type="spellStart"/>
      <w:r w:rsidRPr="00C10D10">
        <w:t>Amec</w:t>
      </w:r>
      <w:proofErr w:type="spellEnd"/>
      <w:r w:rsidRPr="00C10D10">
        <w:t xml:space="preserve">, </w:t>
      </w:r>
      <w:r w:rsidR="00BB5A97" w:rsidRPr="00C10D10">
        <w:t>United Kingdom</w:t>
      </w:r>
    </w:p>
    <w:p w:rsidR="00F52305" w:rsidRPr="00C10D10" w:rsidRDefault="00F52305">
      <w:pPr>
        <w:pStyle w:val="BodyText"/>
      </w:pPr>
      <w:proofErr w:type="spellStart"/>
      <w:r w:rsidRPr="00C10D10">
        <w:t>Iimoto</w:t>
      </w:r>
      <w:proofErr w:type="spellEnd"/>
      <w:r w:rsidRPr="00C10D10">
        <w:t>, T.</w:t>
      </w:r>
      <w:r w:rsidR="000F3B7A" w:rsidRPr="00C10D10">
        <w:tab/>
      </w:r>
      <w:r w:rsidRPr="00C10D10">
        <w:t>University of Tokyo, Japan</w:t>
      </w:r>
    </w:p>
    <w:p w:rsidR="00513100" w:rsidRPr="00C10D10" w:rsidRDefault="00513100" w:rsidP="003A41C1">
      <w:pPr>
        <w:pStyle w:val="BodyText2"/>
        <w:tabs>
          <w:tab w:val="left" w:pos="2835"/>
        </w:tabs>
        <w:spacing w:before="120" w:after="0" w:line="360" w:lineRule="auto"/>
        <w:jc w:val="both"/>
        <w:rPr>
          <w:rFonts w:ascii="Times New Roman" w:eastAsia="Times New Roman" w:hAnsi="Times New Roman"/>
          <w:sz w:val="24"/>
          <w:szCs w:val="24"/>
        </w:rPr>
      </w:pPr>
      <w:r w:rsidRPr="00C10D10">
        <w:rPr>
          <w:rFonts w:ascii="Times New Roman" w:eastAsia="Times New Roman" w:hAnsi="Times New Roman"/>
          <w:sz w:val="24"/>
          <w:szCs w:val="24"/>
        </w:rPr>
        <w:t>Jones, K.</w:t>
      </w:r>
      <w:r w:rsidRPr="00C10D10">
        <w:rPr>
          <w:rFonts w:ascii="Times New Roman" w:eastAsia="Times New Roman" w:hAnsi="Times New Roman"/>
          <w:sz w:val="24"/>
          <w:szCs w:val="24"/>
        </w:rPr>
        <w:tab/>
      </w:r>
      <w:r w:rsidR="00BB5A97" w:rsidRPr="00C10D10">
        <w:rPr>
          <w:rFonts w:ascii="Times New Roman" w:eastAsia="Times New Roman" w:hAnsi="Times New Roman"/>
          <w:sz w:val="24"/>
          <w:szCs w:val="24"/>
        </w:rPr>
        <w:t>Consultant</w:t>
      </w:r>
      <w:r w:rsidRPr="00C10D10">
        <w:rPr>
          <w:rFonts w:ascii="Times New Roman" w:eastAsia="Times New Roman" w:hAnsi="Times New Roman"/>
          <w:sz w:val="24"/>
          <w:szCs w:val="24"/>
        </w:rPr>
        <w:t xml:space="preserve">, </w:t>
      </w:r>
      <w:r w:rsidR="00BA5ADE" w:rsidRPr="00C10D10">
        <w:rPr>
          <w:rFonts w:ascii="Times New Roman" w:eastAsia="Times New Roman" w:hAnsi="Times New Roman"/>
          <w:sz w:val="24"/>
          <w:szCs w:val="24"/>
        </w:rPr>
        <w:t xml:space="preserve">HPE, </w:t>
      </w:r>
      <w:r w:rsidRPr="00C10D10">
        <w:rPr>
          <w:rFonts w:ascii="Times New Roman" w:eastAsia="Times New Roman" w:hAnsi="Times New Roman"/>
          <w:sz w:val="24"/>
          <w:szCs w:val="24"/>
        </w:rPr>
        <w:t>United Kingdom</w:t>
      </w:r>
    </w:p>
    <w:p w:rsidR="00513100" w:rsidRPr="00C10D10" w:rsidRDefault="00513100" w:rsidP="003A41C1">
      <w:pPr>
        <w:pStyle w:val="BodyText2"/>
        <w:tabs>
          <w:tab w:val="left" w:pos="2835"/>
        </w:tabs>
        <w:spacing w:before="120" w:after="0" w:line="360" w:lineRule="auto"/>
        <w:jc w:val="both"/>
        <w:rPr>
          <w:rFonts w:ascii="Times New Roman" w:eastAsia="Times New Roman" w:hAnsi="Times New Roman"/>
          <w:sz w:val="24"/>
          <w:szCs w:val="24"/>
        </w:rPr>
      </w:pPr>
      <w:proofErr w:type="spellStart"/>
      <w:r w:rsidRPr="00C10D10">
        <w:rPr>
          <w:rFonts w:ascii="Times New Roman" w:eastAsia="Times New Roman" w:hAnsi="Times New Roman"/>
          <w:sz w:val="24"/>
          <w:szCs w:val="24"/>
        </w:rPr>
        <w:t>Kliaus</w:t>
      </w:r>
      <w:proofErr w:type="spellEnd"/>
      <w:r w:rsidRPr="00C10D10">
        <w:rPr>
          <w:rFonts w:ascii="Times New Roman" w:eastAsia="Times New Roman" w:hAnsi="Times New Roman"/>
          <w:sz w:val="24"/>
          <w:szCs w:val="24"/>
        </w:rPr>
        <w:t>, V,</w:t>
      </w:r>
      <w:r w:rsidRPr="00C10D10">
        <w:rPr>
          <w:rFonts w:ascii="Times New Roman" w:eastAsia="Times New Roman" w:hAnsi="Times New Roman"/>
          <w:sz w:val="24"/>
          <w:szCs w:val="24"/>
        </w:rPr>
        <w:tab/>
        <w:t xml:space="preserve">Republican Scientific-Practical Centre of </w:t>
      </w:r>
      <w:proofErr w:type="gramStart"/>
      <w:r w:rsidRPr="00C10D10">
        <w:rPr>
          <w:rFonts w:ascii="Times New Roman" w:eastAsia="Times New Roman" w:hAnsi="Times New Roman"/>
          <w:sz w:val="24"/>
          <w:szCs w:val="24"/>
        </w:rPr>
        <w:t>Hygiene ,</w:t>
      </w:r>
      <w:proofErr w:type="gramEnd"/>
      <w:r w:rsidRPr="00C10D10">
        <w:rPr>
          <w:rFonts w:ascii="Times New Roman" w:eastAsia="Times New Roman" w:hAnsi="Times New Roman"/>
          <w:sz w:val="24"/>
          <w:szCs w:val="24"/>
        </w:rPr>
        <w:t xml:space="preserve"> Belarus</w:t>
      </w:r>
    </w:p>
    <w:p w:rsidR="00F52305" w:rsidRPr="00C10D10" w:rsidRDefault="00F52305">
      <w:pPr>
        <w:pStyle w:val="BodyText"/>
      </w:pPr>
      <w:proofErr w:type="spellStart"/>
      <w:r w:rsidRPr="00C10D10">
        <w:t>Linsley</w:t>
      </w:r>
      <w:proofErr w:type="spellEnd"/>
      <w:r w:rsidRPr="00C10D10">
        <w:t>, G.</w:t>
      </w:r>
      <w:r w:rsidR="000F3B7A" w:rsidRPr="00C10D10">
        <w:tab/>
      </w:r>
      <w:r w:rsidRPr="00C10D10">
        <w:t>Consultant, United Kingdom</w:t>
      </w:r>
    </w:p>
    <w:p w:rsidR="00F52305" w:rsidRPr="00C10D10" w:rsidRDefault="00F52305">
      <w:pPr>
        <w:pStyle w:val="BodyText"/>
      </w:pPr>
      <w:proofErr w:type="spellStart"/>
      <w:r w:rsidRPr="00C10D10">
        <w:t>Pr</w:t>
      </w:r>
      <w:r w:rsidR="000F3B7A" w:rsidRPr="00C10D10">
        <w:t>oe</w:t>
      </w:r>
      <w:r w:rsidRPr="00C10D10">
        <w:t>hl</w:t>
      </w:r>
      <w:proofErr w:type="spellEnd"/>
      <w:r w:rsidRPr="00C10D10">
        <w:t>, G.</w:t>
      </w:r>
      <w:r w:rsidR="000F3B7A" w:rsidRPr="00C10D10">
        <w:tab/>
      </w:r>
      <w:r w:rsidRPr="00C10D10">
        <w:t>International Atomic Energy Agency</w:t>
      </w:r>
    </w:p>
    <w:p w:rsidR="00F52305" w:rsidRPr="00257A49" w:rsidRDefault="00F52305">
      <w:pPr>
        <w:pStyle w:val="BodyText"/>
      </w:pPr>
      <w:r w:rsidRPr="00257A49">
        <w:t>Robinson, C.</w:t>
      </w:r>
      <w:r w:rsidR="000F3B7A" w:rsidRPr="00257A49">
        <w:tab/>
      </w:r>
      <w:r w:rsidR="00257A49" w:rsidRPr="00257A49">
        <w:t>United Nations Environment Programme</w:t>
      </w:r>
    </w:p>
    <w:p w:rsidR="00F52305" w:rsidRPr="00C10D10" w:rsidRDefault="00F52305">
      <w:pPr>
        <w:pStyle w:val="BodyText"/>
        <w:rPr>
          <w:lang w:val="es-ES"/>
        </w:rPr>
      </w:pPr>
      <w:proofErr w:type="spellStart"/>
      <w:r w:rsidRPr="00C10D10">
        <w:rPr>
          <w:lang w:val="es-ES"/>
        </w:rPr>
        <w:t>Rochedo</w:t>
      </w:r>
      <w:proofErr w:type="spellEnd"/>
      <w:r w:rsidRPr="00C10D10">
        <w:rPr>
          <w:lang w:val="es-ES"/>
        </w:rPr>
        <w:t>, E.</w:t>
      </w:r>
      <w:r w:rsidR="000F3B7A" w:rsidRPr="00C10D10">
        <w:rPr>
          <w:lang w:val="es-ES"/>
        </w:rPr>
        <w:tab/>
      </w:r>
      <w:proofErr w:type="spellStart"/>
      <w:r w:rsidRPr="00C10D10">
        <w:rPr>
          <w:lang w:val="es-ES"/>
        </w:rPr>
        <w:t>Comissáo</w:t>
      </w:r>
      <w:proofErr w:type="spellEnd"/>
      <w:r w:rsidRPr="00C10D10">
        <w:rPr>
          <w:lang w:val="es-ES"/>
        </w:rPr>
        <w:t xml:space="preserve"> Nacional de </w:t>
      </w:r>
      <w:proofErr w:type="spellStart"/>
      <w:r w:rsidRPr="00C10D10">
        <w:rPr>
          <w:lang w:val="es-ES"/>
        </w:rPr>
        <w:t>Energia</w:t>
      </w:r>
      <w:proofErr w:type="spellEnd"/>
      <w:r w:rsidRPr="00C10D10">
        <w:rPr>
          <w:lang w:val="es-ES"/>
        </w:rPr>
        <w:t xml:space="preserve"> Nuclear, </w:t>
      </w:r>
      <w:proofErr w:type="spellStart"/>
      <w:r w:rsidRPr="00C10D10">
        <w:rPr>
          <w:lang w:val="es-ES"/>
        </w:rPr>
        <w:t>Brazil</w:t>
      </w:r>
      <w:proofErr w:type="spellEnd"/>
    </w:p>
    <w:p w:rsidR="00513100" w:rsidRPr="00C10D10" w:rsidRDefault="00513100" w:rsidP="0094095E">
      <w:pPr>
        <w:pStyle w:val="BodyText2"/>
        <w:tabs>
          <w:tab w:val="left" w:pos="2835"/>
        </w:tabs>
        <w:spacing w:before="120" w:after="0" w:line="360" w:lineRule="auto"/>
        <w:jc w:val="both"/>
        <w:rPr>
          <w:rFonts w:ascii="Times New Roman" w:eastAsia="Times New Roman" w:hAnsi="Times New Roman"/>
          <w:sz w:val="24"/>
          <w:szCs w:val="24"/>
        </w:rPr>
      </w:pPr>
      <w:r w:rsidRPr="00C10D10">
        <w:rPr>
          <w:rFonts w:ascii="Times New Roman" w:eastAsia="Times New Roman" w:hAnsi="Times New Roman"/>
          <w:sz w:val="24"/>
          <w:szCs w:val="24"/>
        </w:rPr>
        <w:t>Simmonds, J.</w:t>
      </w:r>
      <w:r w:rsidRPr="00C10D10">
        <w:rPr>
          <w:rFonts w:ascii="Times New Roman" w:eastAsia="Times New Roman" w:hAnsi="Times New Roman"/>
          <w:sz w:val="24"/>
          <w:szCs w:val="24"/>
        </w:rPr>
        <w:tab/>
        <w:t>Consultant, United Kingdom</w:t>
      </w:r>
    </w:p>
    <w:p w:rsidR="00F70819" w:rsidRPr="00C10D10" w:rsidRDefault="00F70819">
      <w:pPr>
        <w:pStyle w:val="BodyText"/>
      </w:pPr>
      <w:proofErr w:type="spellStart"/>
      <w:r w:rsidRPr="00C10D10">
        <w:t>Telleria</w:t>
      </w:r>
      <w:proofErr w:type="spellEnd"/>
      <w:r w:rsidRPr="00C10D10">
        <w:t>, D.</w:t>
      </w:r>
      <w:r w:rsidRPr="00C10D10">
        <w:tab/>
        <w:t>International Atomic Energy Agency</w:t>
      </w:r>
    </w:p>
    <w:p w:rsidR="00F52305" w:rsidRPr="00C10D10" w:rsidRDefault="00F52305">
      <w:pPr>
        <w:pStyle w:val="BodyText"/>
      </w:pPr>
      <w:r w:rsidRPr="00C10D10">
        <w:t>Thompson, P.</w:t>
      </w:r>
      <w:r w:rsidR="000F3B7A" w:rsidRPr="00C10D10">
        <w:tab/>
      </w:r>
      <w:r w:rsidRPr="00C10D10">
        <w:t>Canadian Nuclear Safety Commission, Canada</w:t>
      </w:r>
    </w:p>
    <w:p w:rsidR="002D533B" w:rsidRPr="00C10D10" w:rsidRDefault="002D533B" w:rsidP="0094095E">
      <w:pPr>
        <w:pStyle w:val="BodyText2"/>
        <w:tabs>
          <w:tab w:val="left" w:pos="2835"/>
        </w:tabs>
        <w:spacing w:before="120" w:after="0" w:line="360" w:lineRule="auto"/>
        <w:jc w:val="both"/>
        <w:rPr>
          <w:rFonts w:ascii="Times New Roman" w:eastAsia="Times New Roman" w:hAnsi="Times New Roman"/>
          <w:sz w:val="24"/>
          <w:szCs w:val="24"/>
        </w:rPr>
      </w:pPr>
      <w:r w:rsidRPr="00C10D10">
        <w:rPr>
          <w:rFonts w:ascii="Times New Roman" w:eastAsia="Times New Roman" w:hAnsi="Times New Roman"/>
          <w:sz w:val="24"/>
          <w:szCs w:val="24"/>
        </w:rPr>
        <w:t>W</w:t>
      </w:r>
      <w:r w:rsidR="000F3B7A" w:rsidRPr="00C10D10">
        <w:rPr>
          <w:rFonts w:ascii="Times New Roman" w:eastAsia="Times New Roman" w:hAnsi="Times New Roman"/>
          <w:sz w:val="24"/>
          <w:szCs w:val="24"/>
        </w:rPr>
        <w:t>a</w:t>
      </w:r>
      <w:r w:rsidRPr="00C10D10">
        <w:rPr>
          <w:rFonts w:ascii="Times New Roman" w:eastAsia="Times New Roman" w:hAnsi="Times New Roman"/>
          <w:sz w:val="24"/>
          <w:szCs w:val="24"/>
        </w:rPr>
        <w:t>lker, J</w:t>
      </w:r>
      <w:r w:rsidR="000F3B7A" w:rsidRPr="00C10D10">
        <w:rPr>
          <w:rFonts w:ascii="Times New Roman" w:eastAsia="Times New Roman" w:hAnsi="Times New Roman"/>
          <w:sz w:val="24"/>
          <w:szCs w:val="24"/>
        </w:rPr>
        <w:t>.</w:t>
      </w:r>
      <w:r w:rsidR="000F3B7A" w:rsidRPr="00C10D10">
        <w:rPr>
          <w:rFonts w:ascii="Times New Roman" w:eastAsia="Times New Roman" w:hAnsi="Times New Roman"/>
          <w:sz w:val="24"/>
          <w:szCs w:val="24"/>
        </w:rPr>
        <w:tab/>
        <w:t>C</w:t>
      </w:r>
      <w:r w:rsidRPr="00C10D10">
        <w:rPr>
          <w:rFonts w:ascii="Times New Roman" w:eastAsia="Times New Roman" w:hAnsi="Times New Roman"/>
          <w:sz w:val="24"/>
          <w:szCs w:val="24"/>
        </w:rPr>
        <w:t>onsultant</w:t>
      </w:r>
      <w:r w:rsidR="003A41C1" w:rsidRPr="00C10D10">
        <w:rPr>
          <w:rFonts w:ascii="Times New Roman" w:eastAsia="Times New Roman" w:hAnsi="Times New Roman"/>
          <w:sz w:val="24"/>
          <w:szCs w:val="24"/>
        </w:rPr>
        <w:t>, Canada</w:t>
      </w:r>
    </w:p>
    <w:p w:rsidR="00513100" w:rsidRPr="00931A73" w:rsidRDefault="00513100" w:rsidP="0094095E">
      <w:pPr>
        <w:pStyle w:val="BodyText2"/>
        <w:tabs>
          <w:tab w:val="left" w:pos="2835"/>
        </w:tabs>
        <w:spacing w:before="120" w:after="0" w:line="360" w:lineRule="auto"/>
        <w:jc w:val="both"/>
        <w:rPr>
          <w:rFonts w:ascii="Times New Roman" w:eastAsia="Times New Roman" w:hAnsi="Times New Roman"/>
          <w:sz w:val="24"/>
          <w:szCs w:val="24"/>
        </w:rPr>
      </w:pPr>
      <w:proofErr w:type="spellStart"/>
      <w:r w:rsidRPr="00C10D10">
        <w:rPr>
          <w:rFonts w:ascii="Times New Roman" w:eastAsia="Times New Roman" w:hAnsi="Times New Roman"/>
          <w:sz w:val="24"/>
          <w:szCs w:val="24"/>
        </w:rPr>
        <w:t>Wrixon</w:t>
      </w:r>
      <w:proofErr w:type="spellEnd"/>
      <w:r w:rsidRPr="00C10D10">
        <w:rPr>
          <w:rFonts w:ascii="Times New Roman" w:eastAsia="Times New Roman" w:hAnsi="Times New Roman"/>
          <w:sz w:val="24"/>
          <w:szCs w:val="24"/>
        </w:rPr>
        <w:t>, A.D.</w:t>
      </w:r>
      <w:r w:rsidRPr="00C10D10">
        <w:rPr>
          <w:rFonts w:ascii="Times New Roman" w:eastAsia="Times New Roman" w:hAnsi="Times New Roman"/>
          <w:sz w:val="24"/>
          <w:szCs w:val="24"/>
        </w:rPr>
        <w:tab/>
        <w:t xml:space="preserve">Consultant, </w:t>
      </w:r>
      <w:r w:rsidR="00F70819" w:rsidRPr="00C10D10">
        <w:rPr>
          <w:rFonts w:ascii="Times New Roman" w:eastAsia="Times New Roman" w:hAnsi="Times New Roman"/>
          <w:sz w:val="24"/>
          <w:szCs w:val="24"/>
        </w:rPr>
        <w:t>Austria</w:t>
      </w:r>
    </w:p>
    <w:p w:rsidR="000F3B7A" w:rsidRPr="00931A73" w:rsidRDefault="000F3B7A">
      <w:pPr>
        <w:pStyle w:val="BodyText"/>
      </w:pPr>
    </w:p>
    <w:sectPr w:rsidR="000F3B7A" w:rsidRPr="00931A73" w:rsidSect="00CB6CAA">
      <w:footerReference w:type="even" r:id="rId17"/>
      <w:footerReference w:type="default" r:id="rId18"/>
      <w:pgSz w:w="11906" w:h="16838" w:code="9"/>
      <w:pgMar w:top="1134" w:right="1418" w:bottom="153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A3" w:rsidRDefault="001614A3" w:rsidP="00991960">
      <w:r>
        <w:separator/>
      </w:r>
    </w:p>
  </w:endnote>
  <w:endnote w:type="continuationSeparator" w:id="0">
    <w:p w:rsidR="001614A3" w:rsidRDefault="001614A3" w:rsidP="00991960">
      <w:r>
        <w:continuationSeparator/>
      </w:r>
    </w:p>
  </w:endnote>
  <w:endnote w:type="continuationNotice" w:id="1">
    <w:p w:rsidR="001614A3" w:rsidRDefault="00161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A3" w:rsidRPr="00CB6CAA" w:rsidRDefault="001614A3" w:rsidP="00540383">
    <w:pPr>
      <w:pStyle w:val="Footer"/>
      <w:rPr>
        <w:rFonts w:ascii="Times New Roman" w:hAnsi="Times New Roman"/>
        <w:sz w:val="24"/>
        <w:szCs w:val="24"/>
      </w:rPr>
    </w:pPr>
    <w:r w:rsidRPr="00CB6CAA">
      <w:rPr>
        <w:rFonts w:ascii="Times New Roman" w:hAnsi="Times New Roman"/>
        <w:sz w:val="24"/>
        <w:szCs w:val="24"/>
      </w:rPr>
      <w:fldChar w:fldCharType="begin"/>
    </w:r>
    <w:r w:rsidRPr="00CB6CAA">
      <w:rPr>
        <w:rFonts w:ascii="Times New Roman" w:hAnsi="Times New Roman"/>
        <w:sz w:val="24"/>
        <w:szCs w:val="24"/>
      </w:rPr>
      <w:instrText xml:space="preserve"> PAGE   \* MERGEFORMAT </w:instrText>
    </w:r>
    <w:r w:rsidRPr="00CB6CAA">
      <w:rPr>
        <w:rFonts w:ascii="Times New Roman" w:hAnsi="Times New Roman"/>
        <w:sz w:val="24"/>
        <w:szCs w:val="24"/>
      </w:rPr>
      <w:fldChar w:fldCharType="separate"/>
    </w:r>
    <w:r w:rsidR="00B03A44">
      <w:rPr>
        <w:rFonts w:ascii="Times New Roman" w:hAnsi="Times New Roman"/>
        <w:noProof/>
        <w:sz w:val="24"/>
        <w:szCs w:val="24"/>
      </w:rPr>
      <w:t>2</w:t>
    </w:r>
    <w:r w:rsidRPr="00CB6CAA">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A3" w:rsidRPr="00CB6CAA" w:rsidRDefault="001614A3" w:rsidP="00540383">
    <w:pPr>
      <w:pStyle w:val="Footer"/>
      <w:jc w:val="right"/>
      <w:rPr>
        <w:rFonts w:ascii="Times New Roman" w:hAnsi="Times New Roman"/>
        <w:sz w:val="24"/>
        <w:szCs w:val="24"/>
      </w:rPr>
    </w:pPr>
    <w:r w:rsidRPr="00CB6CAA">
      <w:rPr>
        <w:rFonts w:ascii="Times New Roman" w:hAnsi="Times New Roman"/>
        <w:sz w:val="24"/>
        <w:szCs w:val="24"/>
      </w:rPr>
      <w:fldChar w:fldCharType="begin"/>
    </w:r>
    <w:r w:rsidRPr="00CB6CAA">
      <w:rPr>
        <w:rFonts w:ascii="Times New Roman" w:hAnsi="Times New Roman"/>
        <w:sz w:val="24"/>
        <w:szCs w:val="24"/>
      </w:rPr>
      <w:instrText xml:space="preserve"> PAGE   \* MERGEFORMAT </w:instrText>
    </w:r>
    <w:r w:rsidRPr="00CB6CAA">
      <w:rPr>
        <w:rFonts w:ascii="Times New Roman" w:hAnsi="Times New Roman"/>
        <w:sz w:val="24"/>
        <w:szCs w:val="24"/>
      </w:rPr>
      <w:fldChar w:fldCharType="separate"/>
    </w:r>
    <w:r w:rsidR="00B03A44">
      <w:rPr>
        <w:rFonts w:ascii="Times New Roman" w:hAnsi="Times New Roman"/>
        <w:noProof/>
        <w:sz w:val="24"/>
        <w:szCs w:val="24"/>
      </w:rPr>
      <w:t>1</w:t>
    </w:r>
    <w:r w:rsidRPr="00CB6CAA">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A3" w:rsidRPr="00DA13A3" w:rsidRDefault="001614A3" w:rsidP="00DA13A3">
      <w:pPr>
        <w:spacing w:before="240" w:after="60"/>
        <w:rPr>
          <w:rFonts w:ascii="Times New Roman" w:hAnsi="Times New Roman"/>
          <w:sz w:val="20"/>
          <w:szCs w:val="20"/>
        </w:rPr>
      </w:pPr>
      <w:r w:rsidRPr="00DA13A3">
        <w:rPr>
          <w:rFonts w:ascii="Times New Roman" w:hAnsi="Times New Roman"/>
          <w:sz w:val="20"/>
          <w:szCs w:val="20"/>
        </w:rPr>
        <w:separator/>
      </w:r>
    </w:p>
  </w:footnote>
  <w:footnote w:type="continuationSeparator" w:id="0">
    <w:p w:rsidR="001614A3" w:rsidRDefault="001614A3" w:rsidP="00991960">
      <w:r>
        <w:continuationSeparator/>
      </w:r>
    </w:p>
  </w:footnote>
  <w:footnote w:type="continuationNotice" w:id="1">
    <w:p w:rsidR="001614A3" w:rsidRDefault="001614A3"/>
  </w:footnote>
  <w:footnote w:id="2">
    <w:p w:rsidR="001614A3" w:rsidRPr="00F24DD4" w:rsidRDefault="001614A3" w:rsidP="00BA5ADE">
      <w:pPr>
        <w:pStyle w:val="FootnoteText"/>
        <w:spacing w:line="276" w:lineRule="auto"/>
        <w:jc w:val="both"/>
      </w:pPr>
      <w:r w:rsidRPr="00F24DD4">
        <w:rPr>
          <w:rStyle w:val="FootnoteReference"/>
        </w:rPr>
        <w:footnoteRef/>
      </w:r>
      <w:r w:rsidRPr="00F24DD4">
        <w:t xml:space="preserve"> </w:t>
      </w:r>
      <w:r>
        <w:rPr>
          <w:lang w:val="en-GB"/>
        </w:rPr>
        <w:t xml:space="preserve">The term </w:t>
      </w:r>
      <w:r w:rsidRPr="00F24DD4">
        <w:rPr>
          <w:lang w:val="en-GB"/>
        </w:rPr>
        <w:t>‘</w:t>
      </w:r>
      <w:r>
        <w:rPr>
          <w:lang w:val="en-US"/>
        </w:rPr>
        <w:t>f</w:t>
      </w:r>
      <w:r w:rsidRPr="003A6F1A">
        <w:rPr>
          <w:lang w:val="en-US"/>
        </w:rPr>
        <w:t>acilities and activities</w:t>
      </w:r>
      <w:r>
        <w:rPr>
          <w:lang w:val="en-US"/>
        </w:rPr>
        <w:t>’</w:t>
      </w:r>
      <w:r w:rsidRPr="003A6F1A">
        <w:rPr>
          <w:lang w:val="en-US"/>
        </w:rPr>
        <w:t xml:space="preserve"> </w:t>
      </w:r>
      <w:proofErr w:type="gramStart"/>
      <w:r>
        <w:rPr>
          <w:lang w:val="en-US"/>
        </w:rPr>
        <w:t>is</w:t>
      </w:r>
      <w:proofErr w:type="gramEnd"/>
      <w:r w:rsidRPr="003A6F1A">
        <w:rPr>
          <w:lang w:val="en-US"/>
        </w:rPr>
        <w:t xml:space="preserve"> defined in Fundamental Safety Principles</w:t>
      </w:r>
      <w:r>
        <w:rPr>
          <w:lang w:val="en-US"/>
        </w:rPr>
        <w:t xml:space="preserve">, IAEA Safety Standards Series No. </w:t>
      </w:r>
      <w:proofErr w:type="gramStart"/>
      <w:r>
        <w:rPr>
          <w:lang w:val="en-US"/>
        </w:rPr>
        <w:t>SF-1</w:t>
      </w:r>
      <w:r w:rsidRPr="003A6F1A">
        <w:rPr>
          <w:lang w:val="en-US"/>
        </w:rPr>
        <w:t xml:space="preserve"> </w:t>
      </w:r>
      <w:r>
        <w:rPr>
          <w:lang w:val="en-US"/>
        </w:rPr>
        <w:t xml:space="preserve">[1] </w:t>
      </w:r>
      <w:r w:rsidRPr="003A6F1A">
        <w:rPr>
          <w:lang w:val="en-US"/>
        </w:rPr>
        <w:t xml:space="preserve">and the </w:t>
      </w:r>
      <w:r>
        <w:rPr>
          <w:lang w:val="en-US"/>
        </w:rPr>
        <w:t xml:space="preserve">IAEA </w:t>
      </w:r>
      <w:r w:rsidRPr="003A6F1A">
        <w:rPr>
          <w:lang w:val="en-US"/>
        </w:rPr>
        <w:t>Safety Glossary [</w:t>
      </w:r>
      <w:r>
        <w:rPr>
          <w:lang w:val="en-US"/>
        </w:rPr>
        <w:t>2</w:t>
      </w:r>
      <w:r w:rsidRPr="003A6F1A">
        <w:rPr>
          <w:lang w:val="en-US"/>
        </w:rPr>
        <w:t>]</w:t>
      </w:r>
      <w:r>
        <w:rPr>
          <w:lang w:val="en-US"/>
        </w:rPr>
        <w:t>.</w:t>
      </w:r>
      <w:proofErr w:type="gramEnd"/>
      <w:r w:rsidRPr="00C10D10">
        <w:rPr>
          <w:lang w:val="en-US"/>
        </w:rPr>
        <w:t xml:space="preserve"> It is a general term</w:t>
      </w:r>
      <w:r w:rsidRPr="00F24DD4">
        <w:rPr>
          <w:lang w:val="en-US"/>
        </w:rPr>
        <w:t xml:space="preserve"> encompassing all nuclear facilities and uses of all sources of ionizing radiation. The </w:t>
      </w:r>
      <w:r>
        <w:rPr>
          <w:lang w:val="en-US"/>
        </w:rPr>
        <w:t>recommendations of this Safety Guide apply</w:t>
      </w:r>
      <w:r w:rsidRPr="00F24DD4">
        <w:rPr>
          <w:lang w:val="en-US"/>
        </w:rPr>
        <w:t xml:space="preserve"> to certain activities and facilities</w:t>
      </w:r>
      <w:r>
        <w:rPr>
          <w:lang w:val="en-US"/>
        </w:rPr>
        <w:t>, as</w:t>
      </w:r>
      <w:r w:rsidRPr="00F24DD4">
        <w:rPr>
          <w:lang w:val="en-US"/>
        </w:rPr>
        <w:t xml:space="preserve"> described in </w:t>
      </w:r>
      <w:r>
        <w:rPr>
          <w:lang w:val="en-US"/>
        </w:rPr>
        <w:t>para 1.13</w:t>
      </w:r>
      <w:r w:rsidRPr="00F24DD4">
        <w:rPr>
          <w:lang w:val="en-US"/>
        </w:rPr>
        <w:t xml:space="preserve">. </w:t>
      </w:r>
    </w:p>
  </w:footnote>
  <w:footnote w:id="3">
    <w:p w:rsidR="001614A3" w:rsidRPr="00544A46" w:rsidRDefault="001614A3">
      <w:pPr>
        <w:pStyle w:val="FootnoteText"/>
        <w:rPr>
          <w:lang w:val="en-GB"/>
        </w:rPr>
      </w:pPr>
      <w:r>
        <w:rPr>
          <w:rStyle w:val="FootnoteReference"/>
        </w:rPr>
        <w:footnoteRef/>
      </w:r>
      <w:r>
        <w:t xml:space="preserve"> </w:t>
      </w:r>
      <w:r>
        <w:rPr>
          <w:lang w:val="en-GB"/>
        </w:rPr>
        <w:t xml:space="preserve">INTERNATIONAL ATOMIC ENERGY AGENCY, </w:t>
      </w:r>
      <w:r w:rsidRPr="009B1B5D">
        <w:rPr>
          <w:lang w:val="en-GB"/>
        </w:rPr>
        <w:t>Regulatory Control of Radioactive Discharges to the Environment</w:t>
      </w:r>
      <w:r>
        <w:rPr>
          <w:lang w:val="en-GB"/>
        </w:rPr>
        <w:t xml:space="preserve">, IAEA Safety Standards Series No. </w:t>
      </w:r>
      <w:proofErr w:type="gramStart"/>
      <w:r>
        <w:rPr>
          <w:lang w:val="en-GB"/>
        </w:rPr>
        <w:t>WS-G-2.3, IAEA, Vienna (2000).</w:t>
      </w:r>
      <w:proofErr w:type="gramEnd"/>
    </w:p>
  </w:footnote>
  <w:footnote w:id="4">
    <w:p w:rsidR="001614A3" w:rsidRPr="00BA5ADE" w:rsidRDefault="001614A3" w:rsidP="00BA5ADE">
      <w:pPr>
        <w:pStyle w:val="FootnoteText"/>
        <w:spacing w:line="276" w:lineRule="auto"/>
        <w:jc w:val="both"/>
        <w:rPr>
          <w:lang w:val="en-GB"/>
        </w:rPr>
      </w:pPr>
      <w:r w:rsidRPr="00C10D10">
        <w:rPr>
          <w:rStyle w:val="FootnoteReference"/>
        </w:rPr>
        <w:footnoteRef/>
      </w:r>
      <w:r w:rsidRPr="00C10D10">
        <w:t xml:space="preserve"> </w:t>
      </w:r>
      <w:r>
        <w:rPr>
          <w:lang w:val="en-GB"/>
        </w:rPr>
        <w:t>Requirements on t</w:t>
      </w:r>
      <w:r w:rsidRPr="00C10D10">
        <w:rPr>
          <w:lang w:val="en-GB"/>
        </w:rPr>
        <w:t xml:space="preserve">he authorization process for facilities and activities, </w:t>
      </w:r>
      <w:r>
        <w:rPr>
          <w:lang w:val="en-GB"/>
        </w:rPr>
        <w:t>as it</w:t>
      </w:r>
      <w:r w:rsidRPr="00C10D10">
        <w:rPr>
          <w:lang w:val="en-GB"/>
        </w:rPr>
        <w:t xml:space="preserve"> relate</w:t>
      </w:r>
      <w:r>
        <w:rPr>
          <w:lang w:val="en-GB"/>
        </w:rPr>
        <w:t>s</w:t>
      </w:r>
      <w:r w:rsidRPr="00C10D10">
        <w:rPr>
          <w:lang w:val="en-GB"/>
        </w:rPr>
        <w:t xml:space="preserve"> to </w:t>
      </w:r>
      <w:r>
        <w:rPr>
          <w:lang w:val="en-GB"/>
        </w:rPr>
        <w:t xml:space="preserve">the system of protection and </w:t>
      </w:r>
      <w:r w:rsidRPr="00C10D10">
        <w:rPr>
          <w:lang w:val="en-GB"/>
        </w:rPr>
        <w:t xml:space="preserve">safety, </w:t>
      </w:r>
      <w:r>
        <w:rPr>
          <w:lang w:val="en-GB"/>
        </w:rPr>
        <w:t>are</w:t>
      </w:r>
      <w:r w:rsidRPr="00C10D10">
        <w:rPr>
          <w:lang w:val="en-GB"/>
        </w:rPr>
        <w:t xml:space="preserve"> established in </w:t>
      </w:r>
      <w:r>
        <w:rPr>
          <w:lang w:val="en-GB"/>
        </w:rPr>
        <w:t>GSR</w:t>
      </w:r>
      <w:r w:rsidRPr="00C10D10">
        <w:rPr>
          <w:lang w:val="en-GB"/>
        </w:rPr>
        <w:t xml:space="preserve"> Part 3 [</w:t>
      </w:r>
      <w:r>
        <w:rPr>
          <w:lang w:val="en-GB"/>
        </w:rPr>
        <w:t>3</w:t>
      </w:r>
      <w:r w:rsidRPr="00C10D10">
        <w:rPr>
          <w:lang w:val="en-GB"/>
        </w:rPr>
        <w:t xml:space="preserve">]. </w:t>
      </w:r>
    </w:p>
  </w:footnote>
  <w:footnote w:id="5">
    <w:p w:rsidR="001614A3" w:rsidRPr="002E23C9" w:rsidRDefault="001614A3" w:rsidP="002E23C9">
      <w:pPr>
        <w:pStyle w:val="FootnoteText"/>
        <w:jc w:val="both"/>
        <w:rPr>
          <w:lang w:val="en-GB"/>
        </w:rPr>
      </w:pPr>
      <w:r>
        <w:rPr>
          <w:rStyle w:val="FootnoteReference"/>
        </w:rPr>
        <w:footnoteRef/>
      </w:r>
      <w:r>
        <w:t xml:space="preserve"> </w:t>
      </w:r>
      <w:r w:rsidRPr="0014379A">
        <w:t>A revision of Safety Reports Series No. 19</w:t>
      </w:r>
      <w:r>
        <w:t xml:space="preserve"> [1</w:t>
      </w:r>
      <w:r>
        <w:rPr>
          <w:lang w:val="en-GB"/>
        </w:rPr>
        <w:t>5</w:t>
      </w:r>
      <w:r>
        <w:t>]</w:t>
      </w:r>
      <w:r w:rsidRPr="0014379A">
        <w:t xml:space="preserve"> is in preparation, and will cover screening assessments of public exposure; generic models</w:t>
      </w:r>
      <w:r>
        <w:rPr>
          <w:lang w:val="en-GB"/>
        </w:rPr>
        <w:t xml:space="preserve"> and parameters</w:t>
      </w:r>
      <w:r w:rsidRPr="0014379A">
        <w:t xml:space="preserve"> for use in assessing the impact of radioactive discharges; and </w:t>
      </w:r>
      <w:r>
        <w:rPr>
          <w:lang w:val="en-GB"/>
        </w:rPr>
        <w:t xml:space="preserve">generic models and parameters for </w:t>
      </w:r>
      <w:r w:rsidRPr="0014379A">
        <w:t xml:space="preserve">assessing </w:t>
      </w:r>
      <w:r>
        <w:rPr>
          <w:lang w:val="en-GB"/>
        </w:rPr>
        <w:t>exposures of</w:t>
      </w:r>
      <w:r w:rsidRPr="0014379A">
        <w:t xml:space="preserve"> flora and fauna due to radioactive discharges from facilities and activities.</w:t>
      </w:r>
    </w:p>
  </w:footnote>
  <w:footnote w:id="6">
    <w:p w:rsidR="001614A3" w:rsidRPr="003B4AFD" w:rsidRDefault="001614A3" w:rsidP="003B6A85">
      <w:pPr>
        <w:pStyle w:val="FootnoteText"/>
        <w:jc w:val="both"/>
      </w:pPr>
      <w:r>
        <w:rPr>
          <w:rStyle w:val="FootnoteReference"/>
        </w:rPr>
        <w:footnoteRef/>
      </w:r>
      <w:r>
        <w:t xml:space="preserve"> </w:t>
      </w:r>
      <w:r w:rsidRPr="00205840">
        <w:rPr>
          <w:lang w:val="en-GB"/>
        </w:rPr>
        <w:t>The term ‘nuclear installation’ includes: nuclear power plants; research reactors (including subcritical and critical assemblies) and any adjoining radioisotope production facilities; spent fuel storage facilities; facilities for the enrichment of uranium; nuclear fuel fabrication facilities; conversion facilities; facilities for the reprocessing of spent fuel; facilities for the predisposal management of radioactive waste arising from nuclear fuel cycle facilities; and nuclear fuel cycle related research and development facilities</w:t>
      </w:r>
      <w:r>
        <w:rPr>
          <w:lang w:val="en-GB"/>
        </w:rPr>
        <w:t xml:space="preserve"> [3]</w:t>
      </w:r>
      <w:r w:rsidRPr="00291453">
        <w:rPr>
          <w:color w:val="0000FF"/>
          <w:sz w:val="22"/>
          <w:szCs w:val="22"/>
          <w:u w:val="single"/>
          <w:lang w:val="en-GB"/>
        </w:rPr>
        <w:t>.</w:t>
      </w:r>
    </w:p>
  </w:footnote>
  <w:footnote w:id="7">
    <w:p w:rsidR="001614A3" w:rsidRPr="00A30052" w:rsidRDefault="001614A3" w:rsidP="002E23C9">
      <w:pPr>
        <w:pStyle w:val="FootnoteText"/>
        <w:jc w:val="both"/>
        <w:rPr>
          <w:lang w:val="en-GB"/>
        </w:rPr>
      </w:pPr>
      <w:r>
        <w:rPr>
          <w:rStyle w:val="FootnoteReference"/>
        </w:rPr>
        <w:footnoteRef/>
      </w:r>
      <w:r>
        <w:t xml:space="preserve"> </w:t>
      </w:r>
      <w:r>
        <w:rPr>
          <w:lang w:val="en-GB"/>
        </w:rPr>
        <w:t>N</w:t>
      </w:r>
      <w:r w:rsidRPr="006F3C93">
        <w:rPr>
          <w:lang w:val="en-GB"/>
        </w:rPr>
        <w:t>aturally occurring radioactive material (NORM)</w:t>
      </w:r>
      <w:r>
        <w:rPr>
          <w:lang w:val="en-GB"/>
        </w:rPr>
        <w:t xml:space="preserve"> is r</w:t>
      </w:r>
      <w:r w:rsidRPr="006F3C93">
        <w:rPr>
          <w:lang w:val="en-GB"/>
        </w:rPr>
        <w:t>adioactive material containing no significant amounts of radionuclides</w:t>
      </w:r>
      <w:r>
        <w:rPr>
          <w:lang w:val="en-GB"/>
        </w:rPr>
        <w:t xml:space="preserve"> </w:t>
      </w:r>
      <w:r w:rsidRPr="006F3C93">
        <w:rPr>
          <w:lang w:val="en-GB"/>
        </w:rPr>
        <w:t xml:space="preserve">other than naturally occurring </w:t>
      </w:r>
      <w:r w:rsidRPr="003E3C54">
        <w:t>radionuclides</w:t>
      </w:r>
      <w:r>
        <w:rPr>
          <w:lang w:val="en-GB"/>
        </w:rPr>
        <w:t xml:space="preserve"> [3].</w:t>
      </w:r>
    </w:p>
  </w:footnote>
  <w:footnote w:id="8">
    <w:p w:rsidR="001614A3" w:rsidRPr="00F24DD4" w:rsidRDefault="001614A3" w:rsidP="00EA0344">
      <w:pPr>
        <w:pStyle w:val="FootnoteText"/>
        <w:spacing w:line="276" w:lineRule="auto"/>
        <w:jc w:val="both"/>
        <w:rPr>
          <w:lang w:val="en-US"/>
        </w:rPr>
      </w:pPr>
      <w:r w:rsidRPr="00F24DD4">
        <w:rPr>
          <w:rStyle w:val="FootnoteReference"/>
        </w:rPr>
        <w:footnoteRef/>
      </w:r>
      <w:r w:rsidRPr="00F24DD4">
        <w:t xml:space="preserve"> </w:t>
      </w:r>
      <w:r w:rsidRPr="00F24DD4">
        <w:rPr>
          <w:lang w:val="en-US"/>
        </w:rPr>
        <w:t>For example, in authorized</w:t>
      </w:r>
      <w:r>
        <w:rPr>
          <w:lang w:val="en-US"/>
        </w:rPr>
        <w:t>, justified and planned</w:t>
      </w:r>
      <w:r w:rsidRPr="00F24DD4">
        <w:rPr>
          <w:lang w:val="en-US"/>
        </w:rPr>
        <w:t xml:space="preserve"> operati</w:t>
      </w:r>
      <w:r>
        <w:rPr>
          <w:lang w:val="en-US"/>
        </w:rPr>
        <w:t>ng</w:t>
      </w:r>
      <w:r w:rsidRPr="00F24DD4">
        <w:rPr>
          <w:lang w:val="en-US"/>
        </w:rPr>
        <w:t xml:space="preserve"> conditions that lead to transitory increases </w:t>
      </w:r>
      <w:r>
        <w:rPr>
          <w:lang w:val="en-US"/>
        </w:rPr>
        <w:t>in</w:t>
      </w:r>
      <w:r w:rsidRPr="00F24DD4">
        <w:rPr>
          <w:lang w:val="en-US"/>
        </w:rPr>
        <w:t xml:space="preserve"> exposures.</w:t>
      </w:r>
    </w:p>
  </w:footnote>
  <w:footnote w:id="9">
    <w:p w:rsidR="001614A3" w:rsidRPr="0001043E" w:rsidRDefault="001614A3" w:rsidP="00154B89">
      <w:pPr>
        <w:pStyle w:val="FootnoteText"/>
        <w:jc w:val="both"/>
        <w:rPr>
          <w:lang w:val="en-GB"/>
        </w:rPr>
      </w:pPr>
      <w:r>
        <w:rPr>
          <w:rStyle w:val="FootnoteReference"/>
        </w:rPr>
        <w:footnoteRef/>
      </w:r>
      <w:r>
        <w:t xml:space="preserve"> </w:t>
      </w:r>
      <w:r>
        <w:rPr>
          <w:lang w:val="en-GB"/>
        </w:rPr>
        <w:t xml:space="preserve">GSR Part 3 [3] also establishes dose limits for the public for the equivalent dose to the lens of the eye and to the skin. Because </w:t>
      </w:r>
      <w:proofErr w:type="gramStart"/>
      <w:r>
        <w:rPr>
          <w:lang w:val="en-GB"/>
        </w:rPr>
        <w:t>of  the</w:t>
      </w:r>
      <w:proofErr w:type="gramEnd"/>
      <w:r>
        <w:rPr>
          <w:lang w:val="en-GB"/>
        </w:rPr>
        <w:t xml:space="preserve"> conditions in which such exposures would occur, these dose limits are not relevant for discharges to the environment during normal operation. </w:t>
      </w:r>
    </w:p>
  </w:footnote>
  <w:footnote w:id="10">
    <w:p w:rsidR="001614A3" w:rsidRPr="00B049D5" w:rsidRDefault="001614A3" w:rsidP="00BA5ADE">
      <w:pPr>
        <w:autoSpaceDE w:val="0"/>
        <w:autoSpaceDN w:val="0"/>
        <w:adjustRightInd w:val="0"/>
        <w:spacing w:line="276" w:lineRule="auto"/>
        <w:jc w:val="both"/>
        <w:rPr>
          <w:rStyle w:val="FootnoteReference"/>
          <w:rFonts w:ascii="Times New Roman" w:hAnsi="Times New Roman"/>
          <w:sz w:val="20"/>
          <w:szCs w:val="20"/>
          <w:vertAlign w:val="baseline"/>
        </w:rPr>
      </w:pPr>
      <w:r w:rsidRPr="00F24DD4">
        <w:rPr>
          <w:rStyle w:val="FootnoteReference"/>
          <w:rFonts w:ascii="Times New Roman" w:hAnsi="Times New Roman"/>
          <w:sz w:val="20"/>
          <w:szCs w:val="20"/>
        </w:rPr>
        <w:footnoteRef/>
      </w:r>
      <w:r w:rsidRPr="00F24DD4">
        <w:rPr>
          <w:rFonts w:ascii="Times New Roman" w:hAnsi="Times New Roman"/>
          <w:sz w:val="20"/>
          <w:szCs w:val="20"/>
        </w:rPr>
        <w:t xml:space="preserve"> </w:t>
      </w:r>
      <w:r>
        <w:rPr>
          <w:rFonts w:ascii="Times New Roman" w:hAnsi="Times New Roman"/>
          <w:sz w:val="20"/>
          <w:szCs w:val="20"/>
        </w:rPr>
        <w:t>The representative person is defined for the purposes of radiation protection as “</w:t>
      </w:r>
      <w:proofErr w:type="gramStart"/>
      <w:r>
        <w:rPr>
          <w:rFonts w:ascii="Times New Roman" w:hAnsi="Times New Roman"/>
          <w:sz w:val="20"/>
          <w:szCs w:val="20"/>
        </w:rPr>
        <w:t>a</w:t>
      </w:r>
      <w:r w:rsidRPr="00F24DD4">
        <w:rPr>
          <w:rFonts w:ascii="Times New Roman" w:hAnsi="Times New Roman"/>
          <w:sz w:val="20"/>
          <w:szCs w:val="20"/>
        </w:rPr>
        <w:t>n  individual</w:t>
      </w:r>
      <w:proofErr w:type="gramEnd"/>
      <w:r w:rsidRPr="00F24DD4">
        <w:rPr>
          <w:rFonts w:ascii="Times New Roman" w:hAnsi="Times New Roman"/>
          <w:sz w:val="20"/>
          <w:szCs w:val="20"/>
        </w:rPr>
        <w:t xml:space="preserve"> receiving a dose </w:t>
      </w:r>
      <w:r>
        <w:rPr>
          <w:rFonts w:ascii="Times New Roman" w:hAnsi="Times New Roman"/>
          <w:sz w:val="20"/>
          <w:szCs w:val="20"/>
        </w:rPr>
        <w:t xml:space="preserve">that is </w:t>
      </w:r>
      <w:r w:rsidRPr="00F24DD4">
        <w:rPr>
          <w:rFonts w:ascii="Times New Roman" w:hAnsi="Times New Roman"/>
          <w:sz w:val="20"/>
          <w:szCs w:val="20"/>
        </w:rPr>
        <w:t xml:space="preserve">representative of the more highly exposed individuals in the </w:t>
      </w:r>
      <w:r w:rsidRPr="00C10D10">
        <w:rPr>
          <w:rFonts w:ascii="Times New Roman" w:hAnsi="Times New Roman"/>
          <w:sz w:val="20"/>
          <w:szCs w:val="20"/>
        </w:rPr>
        <w:t>population</w:t>
      </w:r>
      <w:r>
        <w:rPr>
          <w:rFonts w:ascii="Times New Roman" w:hAnsi="Times New Roman"/>
          <w:sz w:val="20"/>
          <w:szCs w:val="20"/>
        </w:rPr>
        <w:t>” [3]</w:t>
      </w:r>
      <w:r w:rsidRPr="00C10D10">
        <w:rPr>
          <w:rFonts w:ascii="Times New Roman" w:hAnsi="Times New Roman"/>
          <w:sz w:val="20"/>
          <w:szCs w:val="20"/>
        </w:rPr>
        <w:t>.</w:t>
      </w:r>
      <w:r>
        <w:rPr>
          <w:rFonts w:ascii="Times New Roman" w:hAnsi="Times New Roman"/>
          <w:sz w:val="20"/>
          <w:szCs w:val="20"/>
        </w:rPr>
        <w:t xml:space="preserve"> </w:t>
      </w:r>
      <w:r w:rsidRPr="00461174">
        <w:rPr>
          <w:rFonts w:ascii="Times New Roman" w:hAnsi="Times New Roman"/>
          <w:sz w:val="20"/>
          <w:szCs w:val="20"/>
        </w:rPr>
        <w:t>The representative person will generally be a hypothetical construct and not an actual member of the population.</w:t>
      </w:r>
      <w:r w:rsidRPr="00C10D10">
        <w:rPr>
          <w:rFonts w:ascii="Times New Roman" w:hAnsi="Times New Roman"/>
          <w:sz w:val="20"/>
          <w:szCs w:val="20"/>
        </w:rPr>
        <w:t xml:space="preserve"> </w:t>
      </w:r>
      <w:proofErr w:type="spellStart"/>
      <w:r>
        <w:rPr>
          <w:rFonts w:ascii="Times New Roman" w:hAnsi="Times New Roman"/>
          <w:sz w:val="20"/>
          <w:szCs w:val="20"/>
          <w:lang w:eastAsia="x-none"/>
        </w:rPr>
        <w:t>T</w:t>
      </w:r>
      <w:r w:rsidRPr="00C10D10">
        <w:rPr>
          <w:rStyle w:val="FootnoteReference"/>
          <w:rFonts w:ascii="Times New Roman" w:hAnsi="Times New Roman"/>
          <w:sz w:val="20"/>
          <w:szCs w:val="20"/>
          <w:vertAlign w:val="baseline"/>
          <w:lang w:val="x-none" w:eastAsia="x-none"/>
        </w:rPr>
        <w:t>he</w:t>
      </w:r>
      <w:proofErr w:type="spellEnd"/>
      <w:r w:rsidRPr="00C10D10">
        <w:rPr>
          <w:rStyle w:val="FootnoteReference"/>
          <w:rFonts w:ascii="Times New Roman" w:hAnsi="Times New Roman"/>
          <w:sz w:val="20"/>
          <w:szCs w:val="20"/>
          <w:vertAlign w:val="baseline"/>
          <w:lang w:val="x-none" w:eastAsia="x-none"/>
        </w:rPr>
        <w:t xml:space="preserve"> representative person can be considered to be the same concept </w:t>
      </w:r>
      <w:r>
        <w:rPr>
          <w:rFonts w:ascii="Times New Roman" w:hAnsi="Times New Roman"/>
          <w:sz w:val="20"/>
          <w:szCs w:val="20"/>
          <w:lang w:eastAsia="x-none"/>
        </w:rPr>
        <w:t>as</w:t>
      </w:r>
      <w:r w:rsidRPr="00C10D10">
        <w:rPr>
          <w:rStyle w:val="FootnoteReference"/>
          <w:rFonts w:ascii="Times New Roman" w:hAnsi="Times New Roman"/>
          <w:sz w:val="20"/>
          <w:szCs w:val="20"/>
          <w:vertAlign w:val="baseline"/>
          <w:lang w:val="x-none" w:eastAsia="x-none"/>
        </w:rPr>
        <w:t xml:space="preserve"> the critical group</w:t>
      </w:r>
      <w:r>
        <w:rPr>
          <w:rFonts w:ascii="Times New Roman" w:hAnsi="Times New Roman"/>
          <w:sz w:val="20"/>
          <w:szCs w:val="20"/>
          <w:lang w:eastAsia="x-none"/>
        </w:rPr>
        <w:t>,</w:t>
      </w:r>
      <w:r w:rsidRPr="00C10D10">
        <w:rPr>
          <w:rStyle w:val="FootnoteReference"/>
          <w:rFonts w:ascii="Times New Roman" w:hAnsi="Times New Roman"/>
          <w:sz w:val="20"/>
          <w:szCs w:val="20"/>
          <w:vertAlign w:val="baseline"/>
          <w:lang w:val="x-none" w:eastAsia="x-none"/>
        </w:rPr>
        <w:t xml:space="preserve"> and similar methods can be used </w:t>
      </w:r>
      <w:r>
        <w:rPr>
          <w:rStyle w:val="FootnoteReference"/>
          <w:rFonts w:ascii="Times New Roman" w:hAnsi="Times New Roman"/>
          <w:sz w:val="20"/>
          <w:szCs w:val="20"/>
          <w:vertAlign w:val="baseline"/>
          <w:lang w:eastAsia="x-none"/>
        </w:rPr>
        <w:t>for</w:t>
      </w:r>
      <w:r w:rsidRPr="00C10D10">
        <w:rPr>
          <w:rStyle w:val="FootnoteReference"/>
          <w:rFonts w:ascii="Times New Roman" w:hAnsi="Times New Roman"/>
          <w:sz w:val="20"/>
          <w:szCs w:val="20"/>
          <w:vertAlign w:val="baseline"/>
          <w:lang w:val="x-none" w:eastAsia="x-none"/>
        </w:rPr>
        <w:t xml:space="preserve"> assess</w:t>
      </w:r>
      <w:r>
        <w:rPr>
          <w:rStyle w:val="FootnoteReference"/>
          <w:rFonts w:ascii="Times New Roman" w:hAnsi="Times New Roman"/>
          <w:sz w:val="20"/>
          <w:szCs w:val="20"/>
          <w:vertAlign w:val="baseline"/>
          <w:lang w:eastAsia="x-none"/>
        </w:rPr>
        <w:t>ing</w:t>
      </w:r>
      <w:r w:rsidRPr="00C10D10">
        <w:rPr>
          <w:rStyle w:val="FootnoteReference"/>
          <w:rFonts w:ascii="Times New Roman" w:hAnsi="Times New Roman"/>
          <w:sz w:val="20"/>
          <w:szCs w:val="20"/>
          <w:vertAlign w:val="baseline"/>
          <w:lang w:val="x-none" w:eastAsia="x-none"/>
        </w:rPr>
        <w:t xml:space="preserve"> doses to the representative person </w:t>
      </w:r>
      <w:r>
        <w:rPr>
          <w:rStyle w:val="FootnoteReference"/>
          <w:rFonts w:ascii="Times New Roman" w:hAnsi="Times New Roman"/>
          <w:sz w:val="20"/>
          <w:szCs w:val="20"/>
          <w:vertAlign w:val="baseline"/>
          <w:lang w:eastAsia="x-none"/>
        </w:rPr>
        <w:t>to those methods</w:t>
      </w:r>
      <w:r w:rsidRPr="00C10D10">
        <w:rPr>
          <w:rStyle w:val="FootnoteReference"/>
          <w:rFonts w:ascii="Times New Roman" w:hAnsi="Times New Roman"/>
          <w:sz w:val="20"/>
          <w:szCs w:val="20"/>
          <w:vertAlign w:val="baseline"/>
          <w:lang w:val="x-none" w:eastAsia="x-none"/>
        </w:rPr>
        <w:t xml:space="preserve"> used previously for </w:t>
      </w:r>
      <w:r>
        <w:rPr>
          <w:rFonts w:ascii="Times New Roman" w:hAnsi="Times New Roman"/>
          <w:sz w:val="20"/>
          <w:szCs w:val="20"/>
          <w:lang w:eastAsia="x-none"/>
        </w:rPr>
        <w:t xml:space="preserve">assessing doses to </w:t>
      </w:r>
      <w:r w:rsidRPr="00C10D10">
        <w:rPr>
          <w:rStyle w:val="FootnoteReference"/>
          <w:rFonts w:ascii="Times New Roman" w:hAnsi="Times New Roman"/>
          <w:sz w:val="20"/>
          <w:szCs w:val="20"/>
          <w:vertAlign w:val="baseline"/>
          <w:lang w:val="x-none" w:eastAsia="x-none"/>
        </w:rPr>
        <w:t>the critical group</w:t>
      </w:r>
      <w:r w:rsidRPr="00C10D10">
        <w:rPr>
          <w:rStyle w:val="FootnoteReference"/>
          <w:rFonts w:ascii="Times New Roman" w:hAnsi="Times New Roman"/>
          <w:sz w:val="20"/>
          <w:szCs w:val="20"/>
          <w:vertAlign w:val="baseline"/>
          <w:lang w:eastAsia="x-none"/>
        </w:rPr>
        <w:t xml:space="preserve"> [14, 16]</w:t>
      </w:r>
      <w:r w:rsidRPr="00C10D10">
        <w:rPr>
          <w:rStyle w:val="FootnoteReference"/>
          <w:rFonts w:ascii="Times New Roman" w:hAnsi="Times New Roman"/>
          <w:sz w:val="20"/>
          <w:szCs w:val="20"/>
          <w:vertAlign w:val="baseline"/>
          <w:lang w:val="x-none" w:eastAsia="x-none"/>
        </w:rPr>
        <w:t>.</w:t>
      </w:r>
    </w:p>
  </w:footnote>
  <w:footnote w:id="11">
    <w:p w:rsidR="001614A3" w:rsidRPr="00F24DD4" w:rsidRDefault="001614A3" w:rsidP="00BA5ADE">
      <w:pPr>
        <w:pStyle w:val="FootnoteText"/>
        <w:spacing w:line="276" w:lineRule="auto"/>
        <w:jc w:val="both"/>
        <w:rPr>
          <w:lang w:val="en-GB"/>
        </w:rPr>
      </w:pPr>
      <w:r w:rsidRPr="00C10D10">
        <w:rPr>
          <w:rStyle w:val="FootnoteReference"/>
        </w:rPr>
        <w:footnoteRef/>
      </w:r>
      <w:r w:rsidRPr="00C10D10">
        <w:rPr>
          <w:lang w:val="en-US"/>
        </w:rPr>
        <w:t xml:space="preserve"> </w:t>
      </w:r>
      <w:r w:rsidRPr="00C10D10">
        <w:rPr>
          <w:lang w:val="en-GB"/>
        </w:rPr>
        <w:t>Some States consider that, in addition to the optimization of the protection of the public, there may be a need to assess</w:t>
      </w:r>
      <w:r>
        <w:rPr>
          <w:lang w:val="en-GB"/>
        </w:rPr>
        <w:t xml:space="preserve"> and verify</w:t>
      </w:r>
      <w:r w:rsidRPr="00C10D10">
        <w:rPr>
          <w:lang w:val="en-GB"/>
        </w:rPr>
        <w:t xml:space="preserve"> more explicitly the protection of the environment, including, for instance, estimati</w:t>
      </w:r>
      <w:r>
        <w:rPr>
          <w:lang w:val="en-GB"/>
        </w:rPr>
        <w:t>ng the impact of</w:t>
      </w:r>
      <w:r w:rsidRPr="00C10D10">
        <w:rPr>
          <w:lang w:val="en-GB"/>
        </w:rPr>
        <w:t xml:space="preserve"> radiation exposure </w:t>
      </w:r>
      <w:r>
        <w:rPr>
          <w:lang w:val="en-GB"/>
        </w:rPr>
        <w:t>on</w:t>
      </w:r>
      <w:r w:rsidRPr="00C10D10">
        <w:rPr>
          <w:lang w:val="en-GB"/>
        </w:rPr>
        <w:t xml:space="preserve"> populations of flora and fauna.</w:t>
      </w:r>
      <w:r>
        <w:rPr>
          <w:lang w:val="en-GB"/>
        </w:rPr>
        <w:t xml:space="preserve"> DS427</w:t>
      </w:r>
      <w:r w:rsidRPr="00C10D10">
        <w:rPr>
          <w:lang w:val="en-GB"/>
        </w:rPr>
        <w:t xml:space="preserve"> [</w:t>
      </w:r>
      <w:r>
        <w:rPr>
          <w:lang w:val="en-GB"/>
        </w:rPr>
        <w:t>7</w:t>
      </w:r>
      <w:r w:rsidRPr="00C10D10">
        <w:rPr>
          <w:lang w:val="en-GB"/>
        </w:rPr>
        <w:t xml:space="preserve">] provides guidance on </w:t>
      </w:r>
      <w:r>
        <w:rPr>
          <w:lang w:val="en-GB"/>
        </w:rPr>
        <w:t xml:space="preserve">prospective </w:t>
      </w:r>
      <w:r w:rsidRPr="00C10D10">
        <w:rPr>
          <w:lang w:val="en-GB"/>
        </w:rPr>
        <w:t>radiological environmental impact assessment</w:t>
      </w:r>
      <w:r>
        <w:rPr>
          <w:lang w:val="en-GB"/>
        </w:rPr>
        <w:t xml:space="preserve"> that includes, as an example in an annex, a methodology for assessing exposures of flora and fauna and the relevant criteria. Usually</w:t>
      </w:r>
      <w:r w:rsidRPr="00C10D10">
        <w:rPr>
          <w:lang w:val="en-GB"/>
        </w:rPr>
        <w:t xml:space="preserve">, </w:t>
      </w:r>
      <w:r>
        <w:rPr>
          <w:lang w:val="en-GB"/>
        </w:rPr>
        <w:t xml:space="preserve">explicit </w:t>
      </w:r>
      <w:r w:rsidRPr="00C10D10">
        <w:rPr>
          <w:lang w:val="en-GB"/>
        </w:rPr>
        <w:t xml:space="preserve">consideration of the exposure of flora and fauna </w:t>
      </w:r>
      <w:r>
        <w:rPr>
          <w:lang w:val="en-GB"/>
        </w:rPr>
        <w:t xml:space="preserve">will not influence the setting of </w:t>
      </w:r>
      <w:r w:rsidRPr="00C10D10">
        <w:rPr>
          <w:lang w:val="en-GB"/>
        </w:rPr>
        <w:t xml:space="preserve">discharge </w:t>
      </w:r>
      <w:r w:rsidRPr="00C10D10">
        <w:rPr>
          <w:lang w:val="en-GB"/>
        </w:rPr>
        <w:t>limits</w:t>
      </w:r>
      <w:bookmarkStart w:id="25" w:name="_GoBack"/>
      <w:bookmarkEnd w:id="25"/>
      <w:r w:rsidRPr="00C10D10">
        <w:rPr>
          <w:lang w:val="en-GB"/>
        </w:rPr>
        <w:t>.</w:t>
      </w:r>
    </w:p>
  </w:footnote>
  <w:footnote w:id="12">
    <w:p w:rsidR="001614A3" w:rsidRPr="00BA5ADE" w:rsidRDefault="001614A3" w:rsidP="00BA5ADE">
      <w:pPr>
        <w:pStyle w:val="FootnoteText"/>
        <w:spacing w:line="276" w:lineRule="auto"/>
        <w:jc w:val="both"/>
        <w:rPr>
          <w:rStyle w:val="FootnoteReference"/>
          <w:vertAlign w:val="baseline"/>
        </w:rPr>
      </w:pPr>
      <w:r w:rsidRPr="00BA5ADE">
        <w:rPr>
          <w:rStyle w:val="FootnoteReference"/>
        </w:rPr>
        <w:footnoteRef/>
      </w:r>
      <w:r w:rsidRPr="00BA5ADE">
        <w:t xml:space="preserve"> </w:t>
      </w:r>
      <w:r w:rsidRPr="00F24DD4">
        <w:rPr>
          <w:rStyle w:val="FootnoteReference"/>
          <w:vertAlign w:val="baseline"/>
        </w:rPr>
        <w:t xml:space="preserve">Guidance on source </w:t>
      </w:r>
      <w:proofErr w:type="gramStart"/>
      <w:r>
        <w:rPr>
          <w:lang w:val="en-GB"/>
        </w:rPr>
        <w:t>monitoring</w:t>
      </w:r>
      <w:proofErr w:type="gramEnd"/>
      <w:r>
        <w:rPr>
          <w:lang w:val="en-GB"/>
        </w:rPr>
        <w:t xml:space="preserve"> </w:t>
      </w:r>
      <w:r w:rsidRPr="00F24DD4">
        <w:rPr>
          <w:rStyle w:val="FootnoteReference"/>
          <w:vertAlign w:val="baseline"/>
        </w:rPr>
        <w:t xml:space="preserve">and environmental monitoring </w:t>
      </w:r>
      <w:r>
        <w:rPr>
          <w:rStyle w:val="FootnoteReference"/>
          <w:vertAlign w:val="baseline"/>
          <w:lang w:val="en-GB"/>
        </w:rPr>
        <w:t>for use in</w:t>
      </w:r>
      <w:r w:rsidRPr="00F24DD4">
        <w:rPr>
          <w:rStyle w:val="FootnoteReference"/>
          <w:vertAlign w:val="baseline"/>
        </w:rPr>
        <w:t xml:space="preserve"> defining the monitoring programmes relat</w:t>
      </w:r>
      <w:r>
        <w:rPr>
          <w:lang w:val="en-GB"/>
        </w:rPr>
        <w:t>ing</w:t>
      </w:r>
      <w:r w:rsidRPr="00F24DD4">
        <w:rPr>
          <w:rStyle w:val="FootnoteReference"/>
          <w:vertAlign w:val="baseline"/>
        </w:rPr>
        <w:t xml:space="preserve"> to public exposure control is </w:t>
      </w:r>
      <w:r w:rsidRPr="00C10D10">
        <w:rPr>
          <w:rStyle w:val="FootnoteReference"/>
          <w:vertAlign w:val="baseline"/>
        </w:rPr>
        <w:t xml:space="preserve">provided in </w:t>
      </w:r>
      <w:r>
        <w:rPr>
          <w:lang w:val="en-GB"/>
        </w:rPr>
        <w:t>Environmental and Source Monitoring for Purposes of Radiation Protection, IAEA Safety Standards Series No. RS-G-1.8</w:t>
      </w:r>
      <w:r w:rsidRPr="00C10D10">
        <w:rPr>
          <w:lang w:val="en-GB"/>
        </w:rPr>
        <w:t xml:space="preserve"> </w:t>
      </w:r>
      <w:r w:rsidRPr="00C10D10">
        <w:rPr>
          <w:rStyle w:val="FootnoteReference"/>
          <w:vertAlign w:val="baseline"/>
        </w:rPr>
        <w:t>[</w:t>
      </w:r>
      <w:r>
        <w:rPr>
          <w:lang w:val="en-GB"/>
        </w:rPr>
        <w:t>9</w:t>
      </w:r>
      <w:r w:rsidRPr="00C10D10">
        <w:rPr>
          <w:rStyle w:val="FootnoteReference"/>
          <w:vertAlign w:val="baseline"/>
        </w:rPr>
        <w:t>]</w:t>
      </w:r>
      <w:r w:rsidRPr="00C10D10">
        <w:rPr>
          <w:rStyle w:val="FootnoteReference"/>
          <w:vertAlign w:val="baseline"/>
          <w:lang w:val="en-GB"/>
        </w:rPr>
        <w:t>.</w:t>
      </w:r>
    </w:p>
  </w:footnote>
  <w:footnote w:id="13">
    <w:p w:rsidR="001614A3" w:rsidRPr="00A1274B" w:rsidRDefault="001614A3" w:rsidP="00BA5ADE">
      <w:pPr>
        <w:pStyle w:val="FootnoteText"/>
        <w:spacing w:line="276" w:lineRule="auto"/>
        <w:jc w:val="both"/>
        <w:rPr>
          <w:lang w:val="en-GB"/>
        </w:rPr>
      </w:pPr>
      <w:r w:rsidRPr="00F24DD4">
        <w:rPr>
          <w:rStyle w:val="FootnoteReference"/>
        </w:rPr>
        <w:footnoteRef/>
      </w:r>
      <w:r w:rsidRPr="00F24DD4">
        <w:t xml:space="preserve"> The regulatory body should consider</w:t>
      </w:r>
      <w:r>
        <w:rPr>
          <w:lang w:val="en-GB"/>
        </w:rPr>
        <w:t>,</w:t>
      </w:r>
      <w:r w:rsidRPr="00F24DD4">
        <w:t xml:space="preserve"> on the basis of the </w:t>
      </w:r>
      <w:r>
        <w:rPr>
          <w:lang w:val="en-GB"/>
        </w:rPr>
        <w:t xml:space="preserve">actual characteristics of the </w:t>
      </w:r>
      <w:r w:rsidRPr="00F24DD4">
        <w:t xml:space="preserve">radiological impact </w:t>
      </w:r>
      <w:r>
        <w:rPr>
          <w:lang w:val="en-GB"/>
        </w:rPr>
        <w:t>on</w:t>
      </w:r>
      <w:r w:rsidRPr="00F24DD4">
        <w:t xml:space="preserve"> public</w:t>
      </w:r>
      <w:r>
        <w:rPr>
          <w:lang w:val="en-GB"/>
        </w:rPr>
        <w:t>,</w:t>
      </w:r>
      <w:r w:rsidRPr="00F24DD4">
        <w:t xml:space="preserve"> </w:t>
      </w:r>
      <w:r>
        <w:rPr>
          <w:lang w:val="en-GB"/>
        </w:rPr>
        <w:t>whether</w:t>
      </w:r>
      <w:r w:rsidRPr="00F24DD4">
        <w:t xml:space="preserve"> </w:t>
      </w:r>
      <w:r>
        <w:rPr>
          <w:lang w:val="en-GB"/>
        </w:rPr>
        <w:t xml:space="preserve">those practices that have </w:t>
      </w:r>
      <w:r w:rsidRPr="00F24DD4">
        <w:t>historically</w:t>
      </w:r>
      <w:r>
        <w:rPr>
          <w:lang w:val="en-GB"/>
        </w:rPr>
        <w:t xml:space="preserve"> been</w:t>
      </w:r>
      <w:r w:rsidRPr="00F24DD4">
        <w:t xml:space="preserve"> excluded</w:t>
      </w:r>
      <w:r>
        <w:rPr>
          <w:lang w:val="en-GB"/>
        </w:rPr>
        <w:t xml:space="preserve"> from regulatory control should indeed be incorporated into the regulatory system</w:t>
      </w:r>
      <w:r w:rsidRPr="00F24DD4">
        <w:t>.</w:t>
      </w:r>
    </w:p>
  </w:footnote>
  <w:footnote w:id="14">
    <w:p w:rsidR="001614A3" w:rsidRPr="00802C1C" w:rsidRDefault="001614A3" w:rsidP="00A1274B">
      <w:pPr>
        <w:pStyle w:val="FootnoteText"/>
        <w:jc w:val="both"/>
        <w:rPr>
          <w:lang w:val="en-GB"/>
        </w:rPr>
      </w:pPr>
      <w:r>
        <w:rPr>
          <w:rStyle w:val="FootnoteReference"/>
        </w:rPr>
        <w:footnoteRef/>
      </w:r>
      <w:r>
        <w:t xml:space="preserve"> </w:t>
      </w:r>
      <w:r>
        <w:rPr>
          <w:lang w:val="en-GB"/>
        </w:rPr>
        <w:t xml:space="preserve">Schedule I in GSR Part 3 [3] also provides </w:t>
      </w:r>
      <w:r w:rsidRPr="00802C1C">
        <w:t xml:space="preserve">information on levels of activity and activity concentration </w:t>
      </w:r>
      <w:r>
        <w:rPr>
          <w:lang w:val="en-GB"/>
        </w:rPr>
        <w:t>for</w:t>
      </w:r>
      <w:r w:rsidRPr="00802C1C">
        <w:t xml:space="preserve"> a large number of radionuclides to assist with </w:t>
      </w:r>
      <w:r>
        <w:rPr>
          <w:lang w:val="en-GB"/>
        </w:rPr>
        <w:t>determining whether</w:t>
      </w:r>
      <w:r w:rsidRPr="00802C1C">
        <w:t xml:space="preserve"> moderate amounts of materials and bulk amounts of solid materials</w:t>
      </w:r>
      <w:r>
        <w:rPr>
          <w:lang w:val="en-GB"/>
        </w:rPr>
        <w:t xml:space="preserve"> can be exempted from the requirements</w:t>
      </w:r>
      <w:r w:rsidRPr="00802C1C">
        <w:t xml:space="preserve">. However, those levels are not intended for and should not be applied to the control of discharges. Further information is provided in </w:t>
      </w:r>
      <w:r>
        <w:rPr>
          <w:lang w:val="en-GB"/>
        </w:rPr>
        <w:t xml:space="preserve">Application of the Concepts of Exclusion, Exemption and Clearance, IAEA Safety Standards Series No. </w:t>
      </w:r>
      <w:proofErr w:type="gramStart"/>
      <w:r>
        <w:rPr>
          <w:lang w:val="en-GB"/>
        </w:rPr>
        <w:t xml:space="preserve">RS-G-1.7 </w:t>
      </w:r>
      <w:r w:rsidRPr="00802C1C">
        <w:t>[2</w:t>
      </w:r>
      <w:r>
        <w:rPr>
          <w:lang w:val="en-GB"/>
        </w:rPr>
        <w:t>0</w:t>
      </w:r>
      <w:r w:rsidRPr="00802C1C">
        <w:t>].</w:t>
      </w:r>
      <w:proofErr w:type="gramEnd"/>
    </w:p>
  </w:footnote>
  <w:footnote w:id="15">
    <w:p w:rsidR="001614A3" w:rsidRPr="0095724E" w:rsidRDefault="001614A3">
      <w:pPr>
        <w:pStyle w:val="FootnoteText"/>
      </w:pPr>
      <w:r>
        <w:rPr>
          <w:rStyle w:val="FootnoteReference"/>
        </w:rPr>
        <w:footnoteRef/>
      </w:r>
      <w:r>
        <w:t xml:space="preserve"> </w:t>
      </w:r>
      <w:r w:rsidRPr="0095724E">
        <w:rPr>
          <w:lang w:val="en-GB"/>
        </w:rPr>
        <w:t>DS427 [</w:t>
      </w:r>
      <w:r>
        <w:rPr>
          <w:lang w:val="en-GB"/>
        </w:rPr>
        <w:t>7</w:t>
      </w:r>
      <w:r w:rsidRPr="0095724E">
        <w:rPr>
          <w:lang w:val="en-GB"/>
        </w:rPr>
        <w:t>] provides guidance for determining whether a simple or complex radiological environmental impact assessment is appropriate for a particular facility or activity and sets out relevant factors in Table 1 of DS427 [</w:t>
      </w:r>
      <w:r>
        <w:rPr>
          <w:lang w:val="en-GB"/>
        </w:rPr>
        <w:t>7</w:t>
      </w:r>
      <w:r w:rsidRPr="0095724E">
        <w:rPr>
          <w:lang w:val="en-GB"/>
        </w:rPr>
        <w:t>]. The same factors could also be used in applying a graded approach to determining the necessary level of detail in the provisions for discharges to be included in the authorization for a facility or activity</w:t>
      </w:r>
      <w:r>
        <w:rPr>
          <w:lang w:val="en-GB"/>
        </w:rPr>
        <w:t>.</w:t>
      </w:r>
    </w:p>
  </w:footnote>
  <w:footnote w:id="16">
    <w:p w:rsidR="001614A3" w:rsidRPr="0050053F" w:rsidRDefault="001614A3" w:rsidP="00A1274B">
      <w:pPr>
        <w:pStyle w:val="FootnoteText"/>
        <w:jc w:val="both"/>
        <w:rPr>
          <w:lang w:val="en-GB"/>
        </w:rPr>
      </w:pPr>
      <w:r>
        <w:rPr>
          <w:rStyle w:val="FootnoteReference"/>
        </w:rPr>
        <w:footnoteRef/>
      </w:r>
      <w:r>
        <w:t xml:space="preserve"> The regulatory body may determine what additional</w:t>
      </w:r>
      <w:r>
        <w:rPr>
          <w:lang w:val="en-GB"/>
        </w:rPr>
        <w:t xml:space="preserve"> </w:t>
      </w:r>
      <w:r>
        <w:t>restrictions, if considered necessary, are required to ensure that the</w:t>
      </w:r>
      <w:r>
        <w:rPr>
          <w:lang w:val="en-GB"/>
        </w:rPr>
        <w:t xml:space="preserve"> </w:t>
      </w:r>
      <w:r>
        <w:t xml:space="preserve">dose limits specified in GRS Part 3 for </w:t>
      </w:r>
      <w:r>
        <w:rPr>
          <w:lang w:val="en-GB"/>
        </w:rPr>
        <w:t xml:space="preserve">the </w:t>
      </w:r>
      <w:r>
        <w:t>public in planned exposure</w:t>
      </w:r>
      <w:r>
        <w:rPr>
          <w:lang w:val="en-GB"/>
        </w:rPr>
        <w:t xml:space="preserve"> </w:t>
      </w:r>
      <w:r>
        <w:t>situations are not exceeded owing to possible combination</w:t>
      </w:r>
      <w:r>
        <w:rPr>
          <w:lang w:val="en-GB"/>
        </w:rPr>
        <w:t>s</w:t>
      </w:r>
      <w:r>
        <w:t xml:space="preserve"> of doses</w:t>
      </w:r>
      <w:r>
        <w:rPr>
          <w:lang w:val="en-GB"/>
        </w:rPr>
        <w:t xml:space="preserve"> </w:t>
      </w:r>
      <w:r>
        <w:t>from exposures due to different authorized practices [</w:t>
      </w:r>
      <w:r>
        <w:rPr>
          <w:lang w:val="en-GB"/>
        </w:rPr>
        <w:t>3</w:t>
      </w:r>
      <w:r>
        <w:t>].</w:t>
      </w:r>
    </w:p>
  </w:footnote>
  <w:footnote w:id="17">
    <w:p w:rsidR="001614A3" w:rsidRPr="00C35AEB" w:rsidRDefault="001614A3" w:rsidP="003866B4">
      <w:pPr>
        <w:pStyle w:val="FootnoteText"/>
        <w:rPr>
          <w:lang w:val="en-GB"/>
        </w:rPr>
      </w:pPr>
      <w:r>
        <w:rPr>
          <w:rStyle w:val="FootnoteReference"/>
        </w:rPr>
        <w:footnoteRef/>
      </w:r>
      <w:r>
        <w:t xml:space="preserve"> </w:t>
      </w:r>
      <w:r>
        <w:rPr>
          <w:lang w:val="en-GB"/>
        </w:rPr>
        <w:t>Such workers are subject to the dose limits for members of the public; see para 3.78 of GSR Part 3 [3].</w:t>
      </w:r>
    </w:p>
  </w:footnote>
  <w:footnote w:id="18">
    <w:p w:rsidR="001614A3" w:rsidRPr="00815589" w:rsidRDefault="001614A3" w:rsidP="00125BB9">
      <w:pPr>
        <w:pStyle w:val="FootnoteText"/>
        <w:jc w:val="both"/>
        <w:rPr>
          <w:lang w:val="en-GB"/>
        </w:rPr>
      </w:pPr>
      <w:r>
        <w:rPr>
          <w:rStyle w:val="FootnoteReference"/>
        </w:rPr>
        <w:footnoteRef/>
      </w:r>
      <w:r>
        <w:t xml:space="preserve"> </w:t>
      </w:r>
      <w:r>
        <w:rPr>
          <w:lang w:val="en-GB"/>
        </w:rPr>
        <w:t xml:space="preserve">Low </w:t>
      </w:r>
      <w:r w:rsidRPr="00D72543">
        <w:rPr>
          <w:lang w:val="en-GB"/>
        </w:rPr>
        <w:t>level waste</w:t>
      </w:r>
      <w:r>
        <w:rPr>
          <w:lang w:val="en-GB"/>
        </w:rPr>
        <w:t xml:space="preserve"> is w</w:t>
      </w:r>
      <w:r w:rsidRPr="00D72543">
        <w:rPr>
          <w:lang w:val="en-GB"/>
        </w:rPr>
        <w:t>aste that is above clearance levels, but with limited amounts of long lived radionuclides</w:t>
      </w:r>
      <w:r>
        <w:rPr>
          <w:lang w:val="en-GB"/>
        </w:rPr>
        <w:t xml:space="preserve"> </w:t>
      </w:r>
      <w:proofErr w:type="gramStart"/>
      <w:r>
        <w:rPr>
          <w:lang w:val="en-GB"/>
        </w:rPr>
        <w:t>( see</w:t>
      </w:r>
      <w:proofErr w:type="gramEnd"/>
      <w:r>
        <w:rPr>
          <w:lang w:val="en-GB"/>
        </w:rPr>
        <w:t xml:space="preserve"> </w:t>
      </w:r>
      <w:r w:rsidRPr="00125BB9">
        <w:rPr>
          <w:lang w:val="en-GB"/>
        </w:rPr>
        <w:t xml:space="preserve">Classification of Radioactive Waste, IAEA Safety Standards Series No. </w:t>
      </w:r>
      <w:proofErr w:type="gramStart"/>
      <w:r w:rsidRPr="00125BB9">
        <w:rPr>
          <w:lang w:val="en-GB"/>
        </w:rPr>
        <w:t>GSG-1</w:t>
      </w:r>
      <w:r>
        <w:rPr>
          <w:lang w:val="en-GB"/>
        </w:rPr>
        <w:t xml:space="preserve"> [24]).</w:t>
      </w:r>
      <w:proofErr w:type="gramEnd"/>
    </w:p>
  </w:footnote>
  <w:footnote w:id="19">
    <w:p w:rsidR="001614A3" w:rsidRPr="003147B9" w:rsidRDefault="001614A3">
      <w:pPr>
        <w:pStyle w:val="FootnoteText"/>
        <w:rPr>
          <w:lang w:val="en-GB"/>
        </w:rPr>
      </w:pPr>
      <w:r>
        <w:rPr>
          <w:rStyle w:val="FootnoteReference"/>
        </w:rPr>
        <w:footnoteRef/>
      </w:r>
      <w:r>
        <w:t xml:space="preserve"> </w:t>
      </w:r>
      <w:r w:rsidRPr="003147B9">
        <w:t>If accreditation is used as a means to demonstrate qualification</w:t>
      </w:r>
      <w:r>
        <w:rPr>
          <w:lang w:val="en-GB"/>
        </w:rPr>
        <w:t>,</w:t>
      </w:r>
      <w:r w:rsidRPr="003147B9">
        <w:t xml:space="preserve"> the related requi</w:t>
      </w:r>
      <w:r>
        <w:rPr>
          <w:lang w:val="en-GB"/>
        </w:rPr>
        <w:t xml:space="preserve">sites </w:t>
      </w:r>
      <w:r w:rsidRPr="003147B9">
        <w:t xml:space="preserve"> should be </w:t>
      </w:r>
      <w:r>
        <w:rPr>
          <w:lang w:val="en-GB"/>
        </w:rPr>
        <w:t>made available to the laboratory concerned</w:t>
      </w:r>
      <w:r w:rsidRPr="003147B9">
        <w:t>.</w:t>
      </w:r>
    </w:p>
  </w:footnote>
  <w:footnote w:id="20">
    <w:p w:rsidR="001614A3" w:rsidRPr="00DE388F" w:rsidRDefault="001614A3" w:rsidP="0020478A">
      <w:pPr>
        <w:pStyle w:val="FootnoteText"/>
        <w:jc w:val="both"/>
        <w:rPr>
          <w:lang w:val="en-GB"/>
        </w:rPr>
      </w:pPr>
      <w:r>
        <w:rPr>
          <w:rStyle w:val="FootnoteReference"/>
        </w:rPr>
        <w:footnoteRef/>
      </w:r>
      <w:r>
        <w:t xml:space="preserve"> </w:t>
      </w:r>
      <w:r w:rsidRPr="00DE388F">
        <w:t>In the context of this Safety Guide, interested parties typically include individuals or organizations representing members of the public, the industry, government agencies or departments whose responsibilities may cover public health, nuclear energy and environment, scientific bodies, the news media, environmental groups [2, 3] and groups in the population with particular habits that may be affected significantly by the discharges, such as local producers and indigenous peoples living in the vicinity of the facility or activity under consideration</w:t>
      </w:r>
      <w:r>
        <w:rPr>
          <w:lang w:val="en-GB"/>
        </w:rPr>
        <w:t>.</w:t>
      </w:r>
    </w:p>
  </w:footnote>
  <w:footnote w:id="21">
    <w:p w:rsidR="001614A3" w:rsidRPr="00BA5ADE" w:rsidRDefault="001614A3" w:rsidP="0020478A">
      <w:pPr>
        <w:pStyle w:val="FootnoteText"/>
        <w:spacing w:line="276" w:lineRule="auto"/>
        <w:jc w:val="both"/>
        <w:rPr>
          <w:lang w:val="en-GB"/>
        </w:rPr>
      </w:pPr>
      <w:r w:rsidRPr="00C10D10">
        <w:rPr>
          <w:rStyle w:val="FootnoteReference"/>
        </w:rPr>
        <w:footnoteRef/>
      </w:r>
      <w:r w:rsidRPr="00C10D10">
        <w:t xml:space="preserve"> </w:t>
      </w:r>
      <w:r>
        <w:rPr>
          <w:lang w:val="en-GB"/>
        </w:rPr>
        <w:t>DS427</w:t>
      </w:r>
      <w:r w:rsidRPr="00C10D10">
        <w:rPr>
          <w:lang w:val="en-GB"/>
        </w:rPr>
        <w:t xml:space="preserve"> [</w:t>
      </w:r>
      <w:r>
        <w:rPr>
          <w:lang w:val="en-GB"/>
        </w:rPr>
        <w:t>7</w:t>
      </w:r>
      <w:r w:rsidRPr="00C10D10">
        <w:rPr>
          <w:lang w:val="en-GB"/>
        </w:rPr>
        <w:t xml:space="preserve">] </w:t>
      </w:r>
      <w:r>
        <w:rPr>
          <w:lang w:val="en-GB"/>
        </w:rPr>
        <w:t>addresses</w:t>
      </w:r>
      <w:r w:rsidRPr="00C10D10">
        <w:rPr>
          <w:lang w:val="en-GB"/>
        </w:rPr>
        <w:t xml:space="preserve"> the information relevant for different interested parties, i</w:t>
      </w:r>
      <w:r>
        <w:rPr>
          <w:lang w:val="en-GB"/>
        </w:rPr>
        <w:t>n</w:t>
      </w:r>
      <w:r w:rsidRPr="00C10D10">
        <w:rPr>
          <w:lang w:val="en-GB"/>
        </w:rPr>
        <w:t xml:space="preserve"> the framework of governmental decision</w:t>
      </w:r>
      <w:r>
        <w:rPr>
          <w:lang w:val="en-GB"/>
        </w:rPr>
        <w:t xml:space="preserve"> making</w:t>
      </w:r>
      <w:r w:rsidRPr="00C10D10">
        <w:rPr>
          <w:lang w:val="en-GB"/>
        </w:rPr>
        <w:t xml:space="preserve"> and </w:t>
      </w:r>
      <w:r w:rsidRPr="00BA5ADE">
        <w:rPr>
          <w:lang w:val="en-GB"/>
        </w:rPr>
        <w:t>authorization processes relat</w:t>
      </w:r>
      <w:r>
        <w:rPr>
          <w:lang w:val="en-GB"/>
        </w:rPr>
        <w:t>ing</w:t>
      </w:r>
      <w:r w:rsidRPr="00BA5ADE">
        <w:rPr>
          <w:lang w:val="en-GB"/>
        </w:rPr>
        <w:t xml:space="preserve"> to facilities and activities</w:t>
      </w:r>
      <w:r>
        <w:rPr>
          <w:lang w:val="en-GB"/>
        </w:rPr>
        <w:t>.</w:t>
      </w:r>
    </w:p>
  </w:footnote>
  <w:footnote w:id="22">
    <w:p w:rsidR="001614A3" w:rsidRPr="00F24DD4" w:rsidRDefault="001614A3" w:rsidP="00BA5ADE">
      <w:pPr>
        <w:pStyle w:val="FootnoteText"/>
        <w:spacing w:line="276" w:lineRule="auto"/>
        <w:jc w:val="both"/>
        <w:rPr>
          <w:lang w:val="en-US"/>
        </w:rPr>
      </w:pPr>
      <w:r w:rsidRPr="00F24DD4">
        <w:rPr>
          <w:rStyle w:val="FootnoteReference"/>
        </w:rPr>
        <w:footnoteRef/>
      </w:r>
      <w:r w:rsidRPr="00F24DD4">
        <w:t xml:space="preserve"> </w:t>
      </w:r>
      <w:r w:rsidRPr="00F24DD4">
        <w:rPr>
          <w:lang w:val="en-GB"/>
        </w:rPr>
        <w:t xml:space="preserve">Information exchange and, in some cases, consultation with the public and other interested parties is a policy </w:t>
      </w:r>
      <w:r w:rsidRPr="00C10D10">
        <w:rPr>
          <w:lang w:val="en-GB"/>
        </w:rPr>
        <w:t>requirement for environmental decisions in some States, for example, for parties to the Aarhus Convention [</w:t>
      </w:r>
      <w:r>
        <w:rPr>
          <w:lang w:val="en-GB"/>
        </w:rPr>
        <w:t>31</w:t>
      </w:r>
      <w:r w:rsidRPr="00C10D10">
        <w:rPr>
          <w:lang w:val="en-GB"/>
        </w:rPr>
        <w:t>].</w:t>
      </w:r>
    </w:p>
  </w:footnote>
  <w:footnote w:id="23">
    <w:p w:rsidR="001614A3" w:rsidRPr="00D61365" w:rsidRDefault="001614A3" w:rsidP="00107DBB">
      <w:pPr>
        <w:pStyle w:val="FootnoteText"/>
        <w:rPr>
          <w:lang w:val="en-GB"/>
        </w:rPr>
      </w:pPr>
      <w:r>
        <w:rPr>
          <w:rStyle w:val="FootnoteReference"/>
        </w:rPr>
        <w:footnoteRef/>
      </w:r>
      <w:r>
        <w:t xml:space="preserve"> </w:t>
      </w:r>
      <w:r>
        <w:rPr>
          <w:lang w:val="en-GB"/>
        </w:rPr>
        <w:t xml:space="preserve">Safety Reports and a Technical Report have been issued on </w:t>
      </w:r>
      <w:r w:rsidRPr="00001215">
        <w:t>radiation protection and</w:t>
      </w:r>
      <w:r>
        <w:rPr>
          <w:lang w:val="en-GB"/>
        </w:rPr>
        <w:t xml:space="preserve"> radioactive waste management </w:t>
      </w:r>
      <w:r w:rsidRPr="00001215">
        <w:t xml:space="preserve">in </w:t>
      </w:r>
      <w:r>
        <w:rPr>
          <w:lang w:val="en-GB"/>
        </w:rPr>
        <w:t xml:space="preserve">industrial activities involving naturally occurring radioactive material (see </w:t>
      </w:r>
      <w:r w:rsidRPr="00001215">
        <w:t xml:space="preserve">Refs </w:t>
      </w:r>
      <w:r>
        <w:rPr>
          <w:lang w:val="en-GB"/>
        </w:rPr>
        <w:t>[32] to [38])</w:t>
      </w:r>
      <w:r w:rsidRPr="007A2582">
        <w:rPr>
          <w:lang w:val="en-GB"/>
        </w:rPr>
        <w:t>.</w:t>
      </w:r>
    </w:p>
  </w:footnote>
  <w:footnote w:id="24">
    <w:p w:rsidR="001614A3" w:rsidRPr="00342F01" w:rsidRDefault="001614A3" w:rsidP="008F6528">
      <w:pPr>
        <w:pStyle w:val="FootnoteText"/>
      </w:pPr>
      <w:r>
        <w:rPr>
          <w:rStyle w:val="FootnoteReference"/>
        </w:rPr>
        <w:footnoteRef/>
      </w:r>
      <w:r>
        <w:t xml:space="preserve"> </w:t>
      </w:r>
      <w:r>
        <w:rPr>
          <w:lang w:val="en-GB"/>
        </w:rPr>
        <w:t xml:space="preserve">Ref. [39] provides information on the use of reference discharge situations for effluents </w:t>
      </w:r>
      <w:proofErr w:type="gramStart"/>
      <w:r>
        <w:rPr>
          <w:lang w:val="en-GB"/>
        </w:rPr>
        <w:t>from  industries</w:t>
      </w:r>
      <w:proofErr w:type="gramEnd"/>
      <w:r>
        <w:rPr>
          <w:lang w:val="en-GB"/>
        </w:rPr>
        <w:t xml:space="preserve"> involving naturally occurring radioactive material.</w:t>
      </w:r>
    </w:p>
  </w:footnote>
  <w:footnote w:id="25">
    <w:p w:rsidR="001614A3" w:rsidRPr="004021D6" w:rsidRDefault="001614A3">
      <w:pPr>
        <w:pStyle w:val="FootnoteText"/>
        <w:rPr>
          <w:lang w:val="en-GB"/>
        </w:rPr>
      </w:pPr>
      <w:r>
        <w:rPr>
          <w:rStyle w:val="FootnoteReference"/>
        </w:rPr>
        <w:footnoteRef/>
      </w:r>
      <w:r>
        <w:t xml:space="preserve"> </w:t>
      </w:r>
      <w:r>
        <w:rPr>
          <w:lang w:val="en-GB"/>
        </w:rPr>
        <w:t xml:space="preserve">INTERNATIONAL ATOMIC ENERGY AGENCY, </w:t>
      </w:r>
      <w:r w:rsidRPr="009B1B5D">
        <w:rPr>
          <w:lang w:val="en-GB"/>
        </w:rPr>
        <w:t>Regulatory Control of Radioactive Discharges to the Environment</w:t>
      </w:r>
      <w:r>
        <w:rPr>
          <w:lang w:val="en-GB"/>
        </w:rPr>
        <w:t xml:space="preserve">, IAEA Safety Standards Series No. </w:t>
      </w:r>
      <w:proofErr w:type="gramStart"/>
      <w:r>
        <w:rPr>
          <w:lang w:val="en-GB"/>
        </w:rPr>
        <w:t>WS-G-2.3, IAEA, Vienna (2000).</w:t>
      </w:r>
      <w:proofErr w:type="gramEnd"/>
    </w:p>
  </w:footnote>
  <w:footnote w:id="26">
    <w:p w:rsidR="001614A3" w:rsidRPr="00037116" w:rsidRDefault="001614A3">
      <w:pPr>
        <w:pStyle w:val="FootnoteText"/>
        <w:rPr>
          <w:lang w:val="en-GB"/>
        </w:rPr>
      </w:pPr>
      <w:r>
        <w:rPr>
          <w:rStyle w:val="FootnoteReference"/>
        </w:rPr>
        <w:footnoteRef/>
      </w:r>
      <w:r>
        <w:t xml:space="preserve"> </w:t>
      </w:r>
      <w:r>
        <w:rPr>
          <w:lang w:val="en-GB"/>
        </w:rPr>
        <w:t xml:space="preserve">Such workers are not normally monitored for occupational exposure </w:t>
      </w:r>
      <w:r w:rsidRPr="00D80F30">
        <w:rPr>
          <w:lang w:val="en-GB"/>
        </w:rPr>
        <w:t>and are subject to the dose limits for public exposure</w:t>
      </w:r>
      <w:r>
        <w:rPr>
          <w:lang w:val="en-GB"/>
        </w:rPr>
        <w:t xml:space="preserve"> (see GSR Part 3 [I-1], para. 3.78); the representative person may be such a worker.</w:t>
      </w:r>
    </w:p>
  </w:footnote>
  <w:footnote w:id="27">
    <w:p w:rsidR="001614A3" w:rsidRPr="00187B4A" w:rsidRDefault="001614A3" w:rsidP="00917BD1">
      <w:pPr>
        <w:pStyle w:val="FootnoteText"/>
        <w:jc w:val="both"/>
        <w:rPr>
          <w:lang w:val="en-GB"/>
        </w:rPr>
      </w:pPr>
      <w:r>
        <w:rPr>
          <w:rStyle w:val="FootnoteReference"/>
        </w:rPr>
        <w:footnoteRef/>
      </w:r>
      <w:r>
        <w:t xml:space="preserve"> </w:t>
      </w:r>
      <w:r w:rsidRPr="00187B4A">
        <w:rPr>
          <w:lang w:val="en-GB"/>
        </w:rPr>
        <w:t xml:space="preserve">The European Commission has </w:t>
      </w:r>
      <w:r>
        <w:rPr>
          <w:lang w:val="en-GB"/>
        </w:rPr>
        <w:t xml:space="preserve">developed </w:t>
      </w:r>
      <w:r w:rsidRPr="00187B4A">
        <w:rPr>
          <w:lang w:val="en-GB"/>
        </w:rPr>
        <w:t>a series of reference documents on the application of best available techniques to specific industries</w:t>
      </w:r>
      <w:r>
        <w:rPr>
          <w:lang w:val="en-GB"/>
        </w:rPr>
        <w:t>,</w:t>
      </w:r>
      <w:r w:rsidRPr="00187B4A">
        <w:rPr>
          <w:lang w:val="en-GB"/>
        </w:rPr>
        <w:t xml:space="preserve"> which </w:t>
      </w:r>
      <w:r>
        <w:rPr>
          <w:lang w:val="en-GB"/>
        </w:rPr>
        <w:t>provide</w:t>
      </w:r>
      <w:r w:rsidRPr="00187B4A">
        <w:rPr>
          <w:lang w:val="en-GB"/>
        </w:rPr>
        <w:t xml:space="preserve"> information on relevant techniques, processes used, current emission levels, techniques to consider in determining best available techniques and emerging techniques</w:t>
      </w:r>
      <w:r>
        <w:rPr>
          <w:lang w:val="en-GB"/>
        </w:rPr>
        <w:t xml:space="preserve">. See </w:t>
      </w:r>
      <w:r w:rsidRPr="00187B4A">
        <w:rPr>
          <w:lang w:val="en-GB"/>
        </w:rPr>
        <w:t>http://eippcb.jrc.ec.europa.eu/reference/</w:t>
      </w:r>
      <w:r>
        <w:rPr>
          <w:lang w:val="en-GB"/>
        </w:rPr>
        <w:t>.</w:t>
      </w:r>
    </w:p>
  </w:footnote>
  <w:footnote w:id="28">
    <w:p w:rsidR="001614A3" w:rsidRPr="00851E0F" w:rsidRDefault="001614A3">
      <w:pPr>
        <w:pStyle w:val="FootnoteText"/>
        <w:rPr>
          <w:lang w:val="en-GB"/>
        </w:rPr>
      </w:pPr>
      <w:r>
        <w:rPr>
          <w:rStyle w:val="FootnoteReference"/>
        </w:rPr>
        <w:footnoteRef/>
      </w:r>
      <w:r>
        <w:t xml:space="preserve"> </w:t>
      </w:r>
      <w:r>
        <w:rPr>
          <w:lang w:val="en-GB"/>
        </w:rPr>
        <w:t>In the case where discharge limits are set in terms of activity concentration, this has to be related to a total activity or a total volume of the effluents for a given period, usually per year.</w:t>
      </w:r>
    </w:p>
  </w:footnote>
  <w:footnote w:id="29">
    <w:p w:rsidR="001614A3" w:rsidRPr="008E63C0" w:rsidRDefault="001614A3" w:rsidP="001D2189">
      <w:pPr>
        <w:pStyle w:val="FootnoteText"/>
        <w:jc w:val="both"/>
        <w:rPr>
          <w:lang w:val="en-GB"/>
        </w:rPr>
      </w:pPr>
      <w:r>
        <w:rPr>
          <w:rStyle w:val="FootnoteReference"/>
        </w:rPr>
        <w:footnoteRef/>
      </w:r>
      <w:r>
        <w:t xml:space="preserve"> Periodic review may need to be </w:t>
      </w:r>
      <w:r>
        <w:rPr>
          <w:lang w:val="en-GB"/>
        </w:rPr>
        <w:t>under</w:t>
      </w:r>
      <w:r>
        <w:t xml:space="preserve">taken if there is reason to believe that the ratio of </w:t>
      </w:r>
      <w:r>
        <w:rPr>
          <w:lang w:val="en-GB"/>
        </w:rPr>
        <w:t xml:space="preserve">the </w:t>
      </w:r>
      <w:r>
        <w:t xml:space="preserve">various </w:t>
      </w:r>
      <w:r>
        <w:rPr>
          <w:lang w:val="en-GB"/>
        </w:rPr>
        <w:t>radio</w:t>
      </w:r>
      <w:r>
        <w:t>nuclides in the group might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2D23C7E"/>
    <w:lvl w:ilvl="0">
      <w:start w:val="1"/>
      <w:numFmt w:val="lowerLetter"/>
      <w:pStyle w:val="ListNumber2"/>
      <w:lvlText w:val="(%1)"/>
      <w:lvlJc w:val="left"/>
      <w:pPr>
        <w:ind w:left="360" w:hanging="360"/>
      </w:pPr>
      <w:rPr>
        <w:rFonts w:hint="default"/>
      </w:rPr>
    </w:lvl>
  </w:abstractNum>
  <w:abstractNum w:abstractNumId="1">
    <w:nsid w:val="03284E6C"/>
    <w:multiLevelType w:val="hybridMultilevel"/>
    <w:tmpl w:val="6FB632E2"/>
    <w:lvl w:ilvl="0" w:tplc="5E6CBCA6">
      <w:start w:val="1"/>
      <w:numFmt w:val="decimal"/>
      <w:lvlText w:val="2.%1."/>
      <w:lvlJc w:val="left"/>
      <w:pPr>
        <w:tabs>
          <w:tab w:val="num" w:pos="851"/>
        </w:tabs>
        <w:ind w:left="0" w:firstLine="0"/>
      </w:pPr>
      <w:rPr>
        <w:rFonts w:cs="Times New Roman" w:hint="default"/>
        <w:b w:val="0"/>
      </w:rPr>
    </w:lvl>
    <w:lvl w:ilvl="1" w:tplc="CEAAD4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04CA8"/>
    <w:multiLevelType w:val="hybridMultilevel"/>
    <w:tmpl w:val="96721A14"/>
    <w:lvl w:ilvl="0" w:tplc="2F8A5072">
      <w:start w:val="1"/>
      <w:numFmt w:val="decimal"/>
      <w:lvlText w:val="5.%1."/>
      <w:lvlJc w:val="left"/>
      <w:pPr>
        <w:tabs>
          <w:tab w:val="num" w:pos="851"/>
        </w:tabs>
        <w:ind w:left="0" w:firstLine="0"/>
      </w:pPr>
      <w:rPr>
        <w:rFonts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48602F"/>
    <w:multiLevelType w:val="multilevel"/>
    <w:tmpl w:val="52EA4B0E"/>
    <w:lvl w:ilvl="0">
      <w:start w:val="1"/>
      <w:numFmt w:val="decimal"/>
      <w:lvlText w:val="5.%1."/>
      <w:lvlJc w:val="left"/>
      <w:pPr>
        <w:tabs>
          <w:tab w:val="num" w:pos="851"/>
        </w:tabs>
        <w:ind w:left="0" w:firstLine="0"/>
      </w:pPr>
      <w:rPr>
        <w:rFonts w:cs="Times New Roman"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CA42510"/>
    <w:multiLevelType w:val="hybridMultilevel"/>
    <w:tmpl w:val="18E8BA86"/>
    <w:lvl w:ilvl="0" w:tplc="921A812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2F3997"/>
    <w:multiLevelType w:val="hybridMultilevel"/>
    <w:tmpl w:val="3BC66466"/>
    <w:lvl w:ilvl="0" w:tplc="CEAAD41A">
      <w:start w:val="1"/>
      <w:numFmt w:val="lowerLetter"/>
      <w:lvlText w:val="(%1)"/>
      <w:lvlJc w:val="left"/>
      <w:pPr>
        <w:ind w:left="720" w:hanging="360"/>
      </w:pPr>
      <w:rPr>
        <w:rFonts w:hint="default"/>
      </w:rPr>
    </w:lvl>
    <w:lvl w:ilvl="1" w:tplc="CEAAD41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5B05EE"/>
    <w:multiLevelType w:val="hybridMultilevel"/>
    <w:tmpl w:val="BB32FC02"/>
    <w:lvl w:ilvl="0" w:tplc="921A812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F7D9A"/>
    <w:multiLevelType w:val="hybridMultilevel"/>
    <w:tmpl w:val="D2CA5144"/>
    <w:lvl w:ilvl="0" w:tplc="CEAAD41A">
      <w:start w:val="1"/>
      <w:numFmt w:val="lowerLetter"/>
      <w:lvlText w:val="(%1)"/>
      <w:lvlJc w:val="left"/>
      <w:pPr>
        <w:ind w:left="720" w:hanging="360"/>
      </w:pPr>
      <w:rPr>
        <w:rFonts w:hint="default"/>
      </w:rPr>
    </w:lvl>
    <w:lvl w:ilvl="1" w:tplc="CEAAD41A">
      <w:start w:val="1"/>
      <w:numFmt w:val="lowerLetter"/>
      <w:lvlText w:val="(%2)"/>
      <w:lvlJc w:val="left"/>
      <w:pPr>
        <w:ind w:left="1440" w:hanging="360"/>
      </w:pPr>
      <w:rPr>
        <w:rFonts w:hint="default"/>
      </w:rPr>
    </w:lvl>
    <w:lvl w:ilvl="2" w:tplc="28C8F582">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2F5350"/>
    <w:multiLevelType w:val="multilevel"/>
    <w:tmpl w:val="CD0AA8CE"/>
    <w:lvl w:ilvl="0">
      <w:start w:val="1"/>
      <w:numFmt w:val="decimal"/>
      <w:pStyle w:val="Heading1"/>
      <w:lvlText w:val="%1."/>
      <w:lvlJc w:val="left"/>
      <w:pPr>
        <w:ind w:left="3196" w:hanging="360"/>
      </w:pPr>
      <w:rPr>
        <w:rFonts w:ascii="Times New Roman" w:hAnsi="Times New Roman" w:cs="Times New Roman" w:hint="default"/>
        <w:sz w:val="24"/>
        <w:szCs w:val="24"/>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96506DA"/>
    <w:multiLevelType w:val="hybridMultilevel"/>
    <w:tmpl w:val="1994B8E6"/>
    <w:lvl w:ilvl="0" w:tplc="AA94992A">
      <w:start w:val="1"/>
      <w:numFmt w:val="decimal"/>
      <w:lvlText w:val="4.%1."/>
      <w:lvlJc w:val="left"/>
      <w:pPr>
        <w:tabs>
          <w:tab w:val="num" w:pos="851"/>
        </w:tabs>
        <w:ind w:left="0" w:firstLine="0"/>
      </w:pPr>
      <w:rPr>
        <w:rFonts w:cs="Times New Roman" w:hint="default"/>
        <w:b w:val="0"/>
      </w:rPr>
    </w:lvl>
    <w:lvl w:ilvl="1" w:tplc="CEAAD41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B849A6"/>
    <w:multiLevelType w:val="hybridMultilevel"/>
    <w:tmpl w:val="8774FBB6"/>
    <w:lvl w:ilvl="0" w:tplc="22E034AA">
      <w:start w:val="1"/>
      <w:numFmt w:val="decimal"/>
      <w:lvlText w:val="2.%1."/>
      <w:lvlJc w:val="left"/>
      <w:pPr>
        <w:tabs>
          <w:tab w:val="num" w:pos="851"/>
        </w:tabs>
        <w:ind w:left="0" w:firstLine="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1E3086"/>
    <w:multiLevelType w:val="hybridMultilevel"/>
    <w:tmpl w:val="FA08AAEC"/>
    <w:lvl w:ilvl="0" w:tplc="20EC7572">
      <w:start w:val="1"/>
      <w:numFmt w:val="decimal"/>
      <w:lvlText w:val="1.%1."/>
      <w:lvlJc w:val="left"/>
      <w:pPr>
        <w:tabs>
          <w:tab w:val="num" w:pos="851"/>
        </w:tabs>
        <w:ind w:left="0" w:firstLine="0"/>
      </w:pPr>
      <w:rPr>
        <w:rFonts w:cs="Times New Roman" w:hint="default"/>
        <w:b w:val="0"/>
      </w:rPr>
    </w:lvl>
    <w:lvl w:ilvl="1" w:tplc="040C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2370B40"/>
    <w:multiLevelType w:val="hybridMultilevel"/>
    <w:tmpl w:val="30ACB55C"/>
    <w:lvl w:ilvl="0" w:tplc="05F84450">
      <w:start w:val="1"/>
      <w:numFmt w:val="decimal"/>
      <w:lvlText w:val="8.%1."/>
      <w:lvlJc w:val="left"/>
      <w:pPr>
        <w:tabs>
          <w:tab w:val="num" w:pos="851"/>
        </w:tabs>
        <w:ind w:left="0" w:firstLine="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F30323"/>
    <w:multiLevelType w:val="hybridMultilevel"/>
    <w:tmpl w:val="D6B69D48"/>
    <w:lvl w:ilvl="0" w:tplc="0B14745A">
      <w:numFmt w:val="bullet"/>
      <w:lvlText w:val="—"/>
      <w:lvlJc w:val="left"/>
      <w:pPr>
        <w:ind w:left="720" w:hanging="360"/>
      </w:pPr>
      <w:rPr>
        <w:rFonts w:ascii="Times New Roman" w:eastAsia="Calibri" w:hAnsi="Times New Roman" w:cs="Times New Roman"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E27AE4"/>
    <w:multiLevelType w:val="hybridMultilevel"/>
    <w:tmpl w:val="3CA8560C"/>
    <w:lvl w:ilvl="0" w:tplc="7A5A2DB0">
      <w:start w:val="1"/>
      <w:numFmt w:val="decimal"/>
      <w:lvlText w:val="6.%1."/>
      <w:lvlJc w:val="left"/>
      <w:pPr>
        <w:tabs>
          <w:tab w:val="num" w:pos="851"/>
        </w:tabs>
        <w:ind w:left="0" w:firstLine="0"/>
      </w:pPr>
      <w:rPr>
        <w:rFonts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1620E7"/>
    <w:multiLevelType w:val="hybridMultilevel"/>
    <w:tmpl w:val="F4786A26"/>
    <w:lvl w:ilvl="0" w:tplc="226CC9FA">
      <w:start w:val="1"/>
      <w:numFmt w:val="decimal"/>
      <w:lvlText w:val="7.%1."/>
      <w:lvlJc w:val="left"/>
      <w:pPr>
        <w:tabs>
          <w:tab w:val="num" w:pos="851"/>
        </w:tabs>
        <w:ind w:left="0" w:firstLine="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FC56E8"/>
    <w:multiLevelType w:val="hybridMultilevel"/>
    <w:tmpl w:val="C57013D8"/>
    <w:lvl w:ilvl="0" w:tplc="DA7ED2CC">
      <w:start w:val="1"/>
      <w:numFmt w:val="decimal"/>
      <w:lvlText w:val="3.%1."/>
      <w:lvlJc w:val="left"/>
      <w:pPr>
        <w:tabs>
          <w:tab w:val="num" w:pos="851"/>
        </w:tabs>
        <w:ind w:left="0" w:firstLine="0"/>
      </w:pPr>
      <w:rPr>
        <w:rFonts w:cs="Times New Roman" w:hint="default"/>
        <w:b w:val="0"/>
      </w:rPr>
    </w:lvl>
    <w:lvl w:ilvl="1" w:tplc="4EB861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12DFB"/>
    <w:multiLevelType w:val="multilevel"/>
    <w:tmpl w:val="7CD8EA14"/>
    <w:lvl w:ilvl="0">
      <w:start w:val="4"/>
      <w:numFmt w:val="decimal"/>
      <w:lvlText w:val="3.%1."/>
      <w:lvlJc w:val="left"/>
      <w:pPr>
        <w:tabs>
          <w:tab w:val="num" w:pos="851"/>
        </w:tabs>
        <w:ind w:left="0" w:firstLine="0"/>
      </w:pPr>
      <w:rPr>
        <w:rFonts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3E76623"/>
    <w:multiLevelType w:val="hybridMultilevel"/>
    <w:tmpl w:val="2F868068"/>
    <w:lvl w:ilvl="0" w:tplc="CEAAD41A">
      <w:start w:val="1"/>
      <w:numFmt w:val="lowerLetter"/>
      <w:lvlText w:val="(%1)"/>
      <w:lvlJc w:val="left"/>
      <w:pPr>
        <w:ind w:left="720" w:hanging="360"/>
      </w:pPr>
      <w:rPr>
        <w:rFonts w:hint="default"/>
      </w:rPr>
    </w:lvl>
    <w:lvl w:ilvl="1" w:tplc="CEAAD41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B31BF3"/>
    <w:multiLevelType w:val="multilevel"/>
    <w:tmpl w:val="01D0086C"/>
    <w:lvl w:ilvl="0">
      <w:start w:val="1"/>
      <w:numFmt w:val="decimal"/>
      <w:lvlText w:val="5.%1."/>
      <w:lvlJc w:val="left"/>
      <w:pPr>
        <w:tabs>
          <w:tab w:val="num" w:pos="851"/>
        </w:tabs>
        <w:ind w:left="0" w:firstLine="0"/>
      </w:pPr>
      <w:rPr>
        <w:rFonts w:cs="Times New Roman"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680A08E1"/>
    <w:multiLevelType w:val="hybridMultilevel"/>
    <w:tmpl w:val="2AF2061C"/>
    <w:lvl w:ilvl="0" w:tplc="B0AA1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6625B7"/>
    <w:multiLevelType w:val="hybridMultilevel"/>
    <w:tmpl w:val="8D2EC3B4"/>
    <w:lvl w:ilvl="0" w:tplc="4238CEC6">
      <w:start w:val="1"/>
      <w:numFmt w:val="decimal"/>
      <w:lvlText w:val="I-%1."/>
      <w:lvlJc w:val="left"/>
      <w:pPr>
        <w:tabs>
          <w:tab w:val="num" w:pos="851"/>
        </w:tabs>
        <w:ind w:left="0" w:firstLine="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55744D"/>
    <w:multiLevelType w:val="hybridMultilevel"/>
    <w:tmpl w:val="2236FAB8"/>
    <w:lvl w:ilvl="0" w:tplc="C6649FC0">
      <w:start w:val="1"/>
      <w:numFmt w:val="decimal"/>
      <w:lvlText w:val="4.%1."/>
      <w:lvlJc w:val="left"/>
      <w:pPr>
        <w:tabs>
          <w:tab w:val="num" w:pos="851"/>
        </w:tabs>
        <w:ind w:left="0" w:firstLine="0"/>
      </w:pPr>
      <w:rPr>
        <w:rFonts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6"/>
  </w:num>
  <w:num w:numId="4">
    <w:abstractNumId w:val="6"/>
  </w:num>
  <w:num w:numId="5">
    <w:abstractNumId w:val="1"/>
  </w:num>
  <w:num w:numId="6">
    <w:abstractNumId w:val="22"/>
  </w:num>
  <w:num w:numId="7">
    <w:abstractNumId w:val="2"/>
  </w:num>
  <w:num w:numId="8">
    <w:abstractNumId w:val="9"/>
  </w:num>
  <w:num w:numId="9">
    <w:abstractNumId w:val="17"/>
  </w:num>
  <w:num w:numId="10">
    <w:abstractNumId w:val="19"/>
  </w:num>
  <w:num w:numId="11">
    <w:abstractNumId w:val="3"/>
  </w:num>
  <w:num w:numId="12">
    <w:abstractNumId w:val="18"/>
  </w:num>
  <w:num w:numId="13">
    <w:abstractNumId w:val="15"/>
  </w:num>
  <w:num w:numId="14">
    <w:abstractNumId w:val="5"/>
  </w:num>
  <w:num w:numId="15">
    <w:abstractNumId w:val="7"/>
  </w:num>
  <w:num w:numId="16">
    <w:abstractNumId w:val="12"/>
  </w:num>
  <w:num w:numId="17">
    <w:abstractNumId w:val="14"/>
  </w:num>
  <w:num w:numId="18">
    <w:abstractNumId w:val="10"/>
  </w:num>
  <w:num w:numId="19">
    <w:abstractNumId w:val="20"/>
  </w:num>
  <w:num w:numId="20">
    <w:abstractNumId w:val="21"/>
  </w:num>
  <w:num w:numId="21">
    <w:abstractNumId w:val="13"/>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num>
  <w:num w:numId="29">
    <w:abstractNumId w:val="0"/>
    <w:lvlOverride w:ilvl="0">
      <w:startOverride w:val="1"/>
    </w:lvlOverride>
  </w:num>
  <w:num w:numId="30">
    <w:abstractNumId w:val="0"/>
    <w:lvlOverride w:ilvl="0">
      <w:startOverride w:val="1"/>
    </w:lvlOverride>
  </w:num>
  <w:num w:numId="31">
    <w:abstractNumId w:val="4"/>
  </w:num>
  <w:num w:numId="32">
    <w:abstractNumId w:val="0"/>
    <w:lvlOverride w:ilvl="0">
      <w:startOverride w:val="1"/>
    </w:lvlOverride>
  </w:num>
  <w:num w:numId="33">
    <w:abstractNumId w:val="0"/>
  </w:num>
  <w:num w:numId="34">
    <w:abstractNumId w:val="0"/>
  </w:num>
  <w:num w:numId="35">
    <w:abstractNumId w:val="0"/>
  </w:num>
  <w:num w:numId="36">
    <w:abstractNumId w:val="0"/>
  </w:num>
  <w:num w:numId="37">
    <w:abstractNumId w:val="0"/>
  </w:num>
  <w:num w:numId="38">
    <w:abstractNumId w:val="0"/>
  </w:num>
  <w:num w:numId="39">
    <w:abstractNumId w:val="8"/>
  </w:num>
  <w:num w:numId="40">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TrueTypeFonts/>
  <w:saveSubsetFonts/>
  <w:proofState w:spelling="clean" w:grammar="clean"/>
  <w:defaultTabStop w:val="567"/>
  <w:evenAndOddHeaders/>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CA"/>
    <w:rsid w:val="0000034B"/>
    <w:rsid w:val="0000048F"/>
    <w:rsid w:val="00000A31"/>
    <w:rsid w:val="00000AF4"/>
    <w:rsid w:val="00001215"/>
    <w:rsid w:val="00002123"/>
    <w:rsid w:val="00002481"/>
    <w:rsid w:val="00002A7E"/>
    <w:rsid w:val="00003609"/>
    <w:rsid w:val="00003A36"/>
    <w:rsid w:val="00003B66"/>
    <w:rsid w:val="00004085"/>
    <w:rsid w:val="00004209"/>
    <w:rsid w:val="00004415"/>
    <w:rsid w:val="000045D3"/>
    <w:rsid w:val="000048F3"/>
    <w:rsid w:val="00004A31"/>
    <w:rsid w:val="00005647"/>
    <w:rsid w:val="00005EF4"/>
    <w:rsid w:val="00006251"/>
    <w:rsid w:val="00006553"/>
    <w:rsid w:val="0000686C"/>
    <w:rsid w:val="00007489"/>
    <w:rsid w:val="00007856"/>
    <w:rsid w:val="0001043E"/>
    <w:rsid w:val="00010757"/>
    <w:rsid w:val="000108B9"/>
    <w:rsid w:val="000108FF"/>
    <w:rsid w:val="0001103A"/>
    <w:rsid w:val="00011F2B"/>
    <w:rsid w:val="000123E6"/>
    <w:rsid w:val="0001314C"/>
    <w:rsid w:val="0001341D"/>
    <w:rsid w:val="0001356C"/>
    <w:rsid w:val="00013A89"/>
    <w:rsid w:val="0001413C"/>
    <w:rsid w:val="000147F0"/>
    <w:rsid w:val="00014BA3"/>
    <w:rsid w:val="00014FF2"/>
    <w:rsid w:val="00015104"/>
    <w:rsid w:val="00015FFD"/>
    <w:rsid w:val="00016E19"/>
    <w:rsid w:val="00017FDE"/>
    <w:rsid w:val="00020DC3"/>
    <w:rsid w:val="00020F2E"/>
    <w:rsid w:val="00021B0E"/>
    <w:rsid w:val="0002341D"/>
    <w:rsid w:val="0002367E"/>
    <w:rsid w:val="00023785"/>
    <w:rsid w:val="00023E12"/>
    <w:rsid w:val="0002408F"/>
    <w:rsid w:val="00024A78"/>
    <w:rsid w:val="0002524D"/>
    <w:rsid w:val="000256A3"/>
    <w:rsid w:val="0002732C"/>
    <w:rsid w:val="00027577"/>
    <w:rsid w:val="000275F7"/>
    <w:rsid w:val="00027C99"/>
    <w:rsid w:val="0003198F"/>
    <w:rsid w:val="0003235D"/>
    <w:rsid w:val="00032EA7"/>
    <w:rsid w:val="0003348E"/>
    <w:rsid w:val="000334AF"/>
    <w:rsid w:val="00033D55"/>
    <w:rsid w:val="00034FE2"/>
    <w:rsid w:val="0003546C"/>
    <w:rsid w:val="000355B3"/>
    <w:rsid w:val="000358FE"/>
    <w:rsid w:val="000359A3"/>
    <w:rsid w:val="00035BDA"/>
    <w:rsid w:val="00035E39"/>
    <w:rsid w:val="00036065"/>
    <w:rsid w:val="00037116"/>
    <w:rsid w:val="00037DD5"/>
    <w:rsid w:val="000402E4"/>
    <w:rsid w:val="000403CC"/>
    <w:rsid w:val="0004075F"/>
    <w:rsid w:val="000409D7"/>
    <w:rsid w:val="00040D09"/>
    <w:rsid w:val="00041779"/>
    <w:rsid w:val="00041B02"/>
    <w:rsid w:val="00041BAF"/>
    <w:rsid w:val="0004213B"/>
    <w:rsid w:val="00042455"/>
    <w:rsid w:val="000429C9"/>
    <w:rsid w:val="00042B1A"/>
    <w:rsid w:val="00042B46"/>
    <w:rsid w:val="00042C0E"/>
    <w:rsid w:val="00043179"/>
    <w:rsid w:val="00043E84"/>
    <w:rsid w:val="0004418B"/>
    <w:rsid w:val="000444FB"/>
    <w:rsid w:val="00044E1A"/>
    <w:rsid w:val="00044F45"/>
    <w:rsid w:val="00045419"/>
    <w:rsid w:val="00045C5C"/>
    <w:rsid w:val="00047AF0"/>
    <w:rsid w:val="00047FD7"/>
    <w:rsid w:val="00050450"/>
    <w:rsid w:val="00050495"/>
    <w:rsid w:val="00050918"/>
    <w:rsid w:val="00050A9D"/>
    <w:rsid w:val="00050CD1"/>
    <w:rsid w:val="00051141"/>
    <w:rsid w:val="00051A40"/>
    <w:rsid w:val="0005243C"/>
    <w:rsid w:val="00052A2E"/>
    <w:rsid w:val="00052B38"/>
    <w:rsid w:val="00052C4A"/>
    <w:rsid w:val="00053016"/>
    <w:rsid w:val="00053607"/>
    <w:rsid w:val="000539FB"/>
    <w:rsid w:val="00053A11"/>
    <w:rsid w:val="00053CAF"/>
    <w:rsid w:val="00053CCB"/>
    <w:rsid w:val="00053F38"/>
    <w:rsid w:val="00054343"/>
    <w:rsid w:val="00055817"/>
    <w:rsid w:val="00055C4C"/>
    <w:rsid w:val="0005619A"/>
    <w:rsid w:val="0005656A"/>
    <w:rsid w:val="00056CCC"/>
    <w:rsid w:val="0005712E"/>
    <w:rsid w:val="00057394"/>
    <w:rsid w:val="000608F4"/>
    <w:rsid w:val="00060E82"/>
    <w:rsid w:val="0006142C"/>
    <w:rsid w:val="0006150D"/>
    <w:rsid w:val="00061893"/>
    <w:rsid w:val="00061D62"/>
    <w:rsid w:val="00062173"/>
    <w:rsid w:val="000625E3"/>
    <w:rsid w:val="000625FD"/>
    <w:rsid w:val="00062CDA"/>
    <w:rsid w:val="00063477"/>
    <w:rsid w:val="00064067"/>
    <w:rsid w:val="0006459E"/>
    <w:rsid w:val="000645DB"/>
    <w:rsid w:val="000649F6"/>
    <w:rsid w:val="00064D29"/>
    <w:rsid w:val="00065231"/>
    <w:rsid w:val="00065AEE"/>
    <w:rsid w:val="00065EB4"/>
    <w:rsid w:val="00066453"/>
    <w:rsid w:val="00066BC5"/>
    <w:rsid w:val="000670D4"/>
    <w:rsid w:val="000673DD"/>
    <w:rsid w:val="00067D35"/>
    <w:rsid w:val="00067E6D"/>
    <w:rsid w:val="00070151"/>
    <w:rsid w:val="000705CC"/>
    <w:rsid w:val="000706DF"/>
    <w:rsid w:val="00070775"/>
    <w:rsid w:val="00070911"/>
    <w:rsid w:val="0007110E"/>
    <w:rsid w:val="00071483"/>
    <w:rsid w:val="000717E0"/>
    <w:rsid w:val="000719A4"/>
    <w:rsid w:val="00071CA6"/>
    <w:rsid w:val="000722AA"/>
    <w:rsid w:val="00072493"/>
    <w:rsid w:val="0007265E"/>
    <w:rsid w:val="00072CF2"/>
    <w:rsid w:val="000731D1"/>
    <w:rsid w:val="0007344B"/>
    <w:rsid w:val="00075638"/>
    <w:rsid w:val="0007576A"/>
    <w:rsid w:val="00075B52"/>
    <w:rsid w:val="00075C9D"/>
    <w:rsid w:val="00075F9C"/>
    <w:rsid w:val="00076078"/>
    <w:rsid w:val="0007637A"/>
    <w:rsid w:val="0007658F"/>
    <w:rsid w:val="0007773B"/>
    <w:rsid w:val="0008033C"/>
    <w:rsid w:val="000805E5"/>
    <w:rsid w:val="000808C8"/>
    <w:rsid w:val="00080909"/>
    <w:rsid w:val="00080C1B"/>
    <w:rsid w:val="00081319"/>
    <w:rsid w:val="000814DE"/>
    <w:rsid w:val="000817E8"/>
    <w:rsid w:val="00081B1D"/>
    <w:rsid w:val="0008251C"/>
    <w:rsid w:val="0008261C"/>
    <w:rsid w:val="00082698"/>
    <w:rsid w:val="000828BB"/>
    <w:rsid w:val="00082D72"/>
    <w:rsid w:val="00082DF6"/>
    <w:rsid w:val="00083527"/>
    <w:rsid w:val="00083692"/>
    <w:rsid w:val="000845D2"/>
    <w:rsid w:val="00084724"/>
    <w:rsid w:val="000847CB"/>
    <w:rsid w:val="00084873"/>
    <w:rsid w:val="00084F7B"/>
    <w:rsid w:val="00085069"/>
    <w:rsid w:val="00085076"/>
    <w:rsid w:val="000852A7"/>
    <w:rsid w:val="000855BF"/>
    <w:rsid w:val="00085F3B"/>
    <w:rsid w:val="00086F0E"/>
    <w:rsid w:val="00087584"/>
    <w:rsid w:val="00087A44"/>
    <w:rsid w:val="00090DDA"/>
    <w:rsid w:val="00090F83"/>
    <w:rsid w:val="00091CDB"/>
    <w:rsid w:val="000920BB"/>
    <w:rsid w:val="00092139"/>
    <w:rsid w:val="00092167"/>
    <w:rsid w:val="000925AD"/>
    <w:rsid w:val="0009274B"/>
    <w:rsid w:val="00092B72"/>
    <w:rsid w:val="00093930"/>
    <w:rsid w:val="00093C39"/>
    <w:rsid w:val="00093CF5"/>
    <w:rsid w:val="00093D7E"/>
    <w:rsid w:val="000951C3"/>
    <w:rsid w:val="000956D2"/>
    <w:rsid w:val="00095B6C"/>
    <w:rsid w:val="00095E94"/>
    <w:rsid w:val="00096217"/>
    <w:rsid w:val="00096878"/>
    <w:rsid w:val="000969B8"/>
    <w:rsid w:val="00096FCE"/>
    <w:rsid w:val="00097C9B"/>
    <w:rsid w:val="00097DA0"/>
    <w:rsid w:val="00097DE2"/>
    <w:rsid w:val="00097F5A"/>
    <w:rsid w:val="000A06F5"/>
    <w:rsid w:val="000A0711"/>
    <w:rsid w:val="000A0A48"/>
    <w:rsid w:val="000A0DC3"/>
    <w:rsid w:val="000A1980"/>
    <w:rsid w:val="000A262D"/>
    <w:rsid w:val="000A2B26"/>
    <w:rsid w:val="000A345A"/>
    <w:rsid w:val="000A34AA"/>
    <w:rsid w:val="000A36A3"/>
    <w:rsid w:val="000A38FA"/>
    <w:rsid w:val="000A3DF5"/>
    <w:rsid w:val="000A4A35"/>
    <w:rsid w:val="000A5217"/>
    <w:rsid w:val="000A532C"/>
    <w:rsid w:val="000A5937"/>
    <w:rsid w:val="000A5C6E"/>
    <w:rsid w:val="000A5F43"/>
    <w:rsid w:val="000A7E76"/>
    <w:rsid w:val="000B02FA"/>
    <w:rsid w:val="000B06E3"/>
    <w:rsid w:val="000B0C92"/>
    <w:rsid w:val="000B1569"/>
    <w:rsid w:val="000B1E5E"/>
    <w:rsid w:val="000B3690"/>
    <w:rsid w:val="000B371B"/>
    <w:rsid w:val="000B379D"/>
    <w:rsid w:val="000B44FA"/>
    <w:rsid w:val="000B4930"/>
    <w:rsid w:val="000B4B98"/>
    <w:rsid w:val="000B4E92"/>
    <w:rsid w:val="000B57BE"/>
    <w:rsid w:val="000B5CD0"/>
    <w:rsid w:val="000B6C95"/>
    <w:rsid w:val="000B6CCF"/>
    <w:rsid w:val="000B70C0"/>
    <w:rsid w:val="000B72C1"/>
    <w:rsid w:val="000B7B48"/>
    <w:rsid w:val="000C020C"/>
    <w:rsid w:val="000C02B9"/>
    <w:rsid w:val="000C09BC"/>
    <w:rsid w:val="000C11C9"/>
    <w:rsid w:val="000C2273"/>
    <w:rsid w:val="000C2694"/>
    <w:rsid w:val="000C26D9"/>
    <w:rsid w:val="000C2B1A"/>
    <w:rsid w:val="000C2C93"/>
    <w:rsid w:val="000C2EF5"/>
    <w:rsid w:val="000C34B8"/>
    <w:rsid w:val="000C39A0"/>
    <w:rsid w:val="000C3C4A"/>
    <w:rsid w:val="000C52C8"/>
    <w:rsid w:val="000C5D31"/>
    <w:rsid w:val="000C5FD1"/>
    <w:rsid w:val="000C5FD8"/>
    <w:rsid w:val="000C6036"/>
    <w:rsid w:val="000C630A"/>
    <w:rsid w:val="000C63B4"/>
    <w:rsid w:val="000C6874"/>
    <w:rsid w:val="000C7175"/>
    <w:rsid w:val="000C72F7"/>
    <w:rsid w:val="000C772C"/>
    <w:rsid w:val="000C7D86"/>
    <w:rsid w:val="000C7E76"/>
    <w:rsid w:val="000C7F6F"/>
    <w:rsid w:val="000D0740"/>
    <w:rsid w:val="000D0AFA"/>
    <w:rsid w:val="000D1B09"/>
    <w:rsid w:val="000D22C6"/>
    <w:rsid w:val="000D2885"/>
    <w:rsid w:val="000D29E4"/>
    <w:rsid w:val="000D301A"/>
    <w:rsid w:val="000D3709"/>
    <w:rsid w:val="000D39F9"/>
    <w:rsid w:val="000D3CC4"/>
    <w:rsid w:val="000D4144"/>
    <w:rsid w:val="000D4455"/>
    <w:rsid w:val="000D4717"/>
    <w:rsid w:val="000D5169"/>
    <w:rsid w:val="000D5867"/>
    <w:rsid w:val="000D615D"/>
    <w:rsid w:val="000D61FB"/>
    <w:rsid w:val="000D6FCA"/>
    <w:rsid w:val="000D7743"/>
    <w:rsid w:val="000D7E0A"/>
    <w:rsid w:val="000D7F48"/>
    <w:rsid w:val="000E0A8E"/>
    <w:rsid w:val="000E108B"/>
    <w:rsid w:val="000E10D8"/>
    <w:rsid w:val="000E1489"/>
    <w:rsid w:val="000E15A0"/>
    <w:rsid w:val="000E1924"/>
    <w:rsid w:val="000E21E1"/>
    <w:rsid w:val="000E25B2"/>
    <w:rsid w:val="000E261E"/>
    <w:rsid w:val="000E2D99"/>
    <w:rsid w:val="000E3D7F"/>
    <w:rsid w:val="000E3D8D"/>
    <w:rsid w:val="000E4014"/>
    <w:rsid w:val="000E466E"/>
    <w:rsid w:val="000E46B6"/>
    <w:rsid w:val="000E4E0E"/>
    <w:rsid w:val="000E4EC2"/>
    <w:rsid w:val="000E5CC2"/>
    <w:rsid w:val="000E7ADB"/>
    <w:rsid w:val="000E7D96"/>
    <w:rsid w:val="000F0541"/>
    <w:rsid w:val="000F0C83"/>
    <w:rsid w:val="000F0FF3"/>
    <w:rsid w:val="000F2517"/>
    <w:rsid w:val="000F2996"/>
    <w:rsid w:val="000F3045"/>
    <w:rsid w:val="000F33BB"/>
    <w:rsid w:val="000F38FE"/>
    <w:rsid w:val="000F3B7A"/>
    <w:rsid w:val="000F40A9"/>
    <w:rsid w:val="000F43D3"/>
    <w:rsid w:val="000F4C1B"/>
    <w:rsid w:val="000F56B6"/>
    <w:rsid w:val="000F56FB"/>
    <w:rsid w:val="000F591E"/>
    <w:rsid w:val="000F594C"/>
    <w:rsid w:val="000F650F"/>
    <w:rsid w:val="000F6E20"/>
    <w:rsid w:val="000F709C"/>
    <w:rsid w:val="00100C27"/>
    <w:rsid w:val="00100F7B"/>
    <w:rsid w:val="00100F99"/>
    <w:rsid w:val="00101348"/>
    <w:rsid w:val="00101A79"/>
    <w:rsid w:val="00101F32"/>
    <w:rsid w:val="001020AA"/>
    <w:rsid w:val="0010273E"/>
    <w:rsid w:val="00103187"/>
    <w:rsid w:val="00103333"/>
    <w:rsid w:val="0010365F"/>
    <w:rsid w:val="00103BE4"/>
    <w:rsid w:val="00103CDB"/>
    <w:rsid w:val="00103E63"/>
    <w:rsid w:val="00104344"/>
    <w:rsid w:val="00104527"/>
    <w:rsid w:val="0010474F"/>
    <w:rsid w:val="00104FC2"/>
    <w:rsid w:val="00105B5D"/>
    <w:rsid w:val="00105D47"/>
    <w:rsid w:val="001064A1"/>
    <w:rsid w:val="00106E2B"/>
    <w:rsid w:val="00107478"/>
    <w:rsid w:val="00107637"/>
    <w:rsid w:val="00107AA9"/>
    <w:rsid w:val="00107BB5"/>
    <w:rsid w:val="00107DBB"/>
    <w:rsid w:val="00107DC9"/>
    <w:rsid w:val="00110391"/>
    <w:rsid w:val="001108C4"/>
    <w:rsid w:val="00110D0B"/>
    <w:rsid w:val="001112EC"/>
    <w:rsid w:val="001115A3"/>
    <w:rsid w:val="00111E0F"/>
    <w:rsid w:val="00111E7D"/>
    <w:rsid w:val="00112AA9"/>
    <w:rsid w:val="00113469"/>
    <w:rsid w:val="001139AA"/>
    <w:rsid w:val="0011435E"/>
    <w:rsid w:val="00114A49"/>
    <w:rsid w:val="00115013"/>
    <w:rsid w:val="00115088"/>
    <w:rsid w:val="001151DE"/>
    <w:rsid w:val="00115252"/>
    <w:rsid w:val="001156BE"/>
    <w:rsid w:val="001156E1"/>
    <w:rsid w:val="001160A8"/>
    <w:rsid w:val="0011641B"/>
    <w:rsid w:val="0011688A"/>
    <w:rsid w:val="00116F1B"/>
    <w:rsid w:val="0011746E"/>
    <w:rsid w:val="001175D9"/>
    <w:rsid w:val="001176A3"/>
    <w:rsid w:val="00117DA2"/>
    <w:rsid w:val="00117E87"/>
    <w:rsid w:val="001200EA"/>
    <w:rsid w:val="001213D0"/>
    <w:rsid w:val="00121FB9"/>
    <w:rsid w:val="00122056"/>
    <w:rsid w:val="0012218A"/>
    <w:rsid w:val="00122CDD"/>
    <w:rsid w:val="00122E64"/>
    <w:rsid w:val="00122FB7"/>
    <w:rsid w:val="0012379B"/>
    <w:rsid w:val="001244A5"/>
    <w:rsid w:val="001244DC"/>
    <w:rsid w:val="00124BC3"/>
    <w:rsid w:val="00125BB9"/>
    <w:rsid w:val="00126576"/>
    <w:rsid w:val="0012682F"/>
    <w:rsid w:val="00127960"/>
    <w:rsid w:val="00127ADF"/>
    <w:rsid w:val="001302E2"/>
    <w:rsid w:val="00130953"/>
    <w:rsid w:val="00130F9F"/>
    <w:rsid w:val="001310D3"/>
    <w:rsid w:val="00131183"/>
    <w:rsid w:val="00131B24"/>
    <w:rsid w:val="00131D51"/>
    <w:rsid w:val="00131F3D"/>
    <w:rsid w:val="001320E3"/>
    <w:rsid w:val="001326E9"/>
    <w:rsid w:val="00133B8C"/>
    <w:rsid w:val="00133BE7"/>
    <w:rsid w:val="00133C73"/>
    <w:rsid w:val="00134020"/>
    <w:rsid w:val="001340B0"/>
    <w:rsid w:val="001345F5"/>
    <w:rsid w:val="00134C7E"/>
    <w:rsid w:val="001354A8"/>
    <w:rsid w:val="00135AB3"/>
    <w:rsid w:val="00135BC7"/>
    <w:rsid w:val="00136793"/>
    <w:rsid w:val="001368B9"/>
    <w:rsid w:val="00136AC2"/>
    <w:rsid w:val="00136C44"/>
    <w:rsid w:val="00137008"/>
    <w:rsid w:val="001373C3"/>
    <w:rsid w:val="001373D3"/>
    <w:rsid w:val="0013750F"/>
    <w:rsid w:val="001377CB"/>
    <w:rsid w:val="001402FA"/>
    <w:rsid w:val="001422DC"/>
    <w:rsid w:val="001425D1"/>
    <w:rsid w:val="001426CC"/>
    <w:rsid w:val="001428DF"/>
    <w:rsid w:val="00143EFD"/>
    <w:rsid w:val="0014441E"/>
    <w:rsid w:val="00145ADA"/>
    <w:rsid w:val="00145EB4"/>
    <w:rsid w:val="00145FB5"/>
    <w:rsid w:val="001464BA"/>
    <w:rsid w:val="0014685C"/>
    <w:rsid w:val="00146955"/>
    <w:rsid w:val="00147270"/>
    <w:rsid w:val="00147746"/>
    <w:rsid w:val="001502AA"/>
    <w:rsid w:val="00150AA6"/>
    <w:rsid w:val="00150C32"/>
    <w:rsid w:val="001510E2"/>
    <w:rsid w:val="00151552"/>
    <w:rsid w:val="0015174A"/>
    <w:rsid w:val="00151D17"/>
    <w:rsid w:val="001522C0"/>
    <w:rsid w:val="00152736"/>
    <w:rsid w:val="00152803"/>
    <w:rsid w:val="00152815"/>
    <w:rsid w:val="001528EC"/>
    <w:rsid w:val="001531DA"/>
    <w:rsid w:val="00153695"/>
    <w:rsid w:val="00153729"/>
    <w:rsid w:val="00154B89"/>
    <w:rsid w:val="00157B95"/>
    <w:rsid w:val="00157C49"/>
    <w:rsid w:val="00160ED5"/>
    <w:rsid w:val="00161040"/>
    <w:rsid w:val="00161270"/>
    <w:rsid w:val="001614A3"/>
    <w:rsid w:val="001622F0"/>
    <w:rsid w:val="0016263F"/>
    <w:rsid w:val="00162828"/>
    <w:rsid w:val="00162D00"/>
    <w:rsid w:val="001631A3"/>
    <w:rsid w:val="001633AC"/>
    <w:rsid w:val="0016346A"/>
    <w:rsid w:val="0016377E"/>
    <w:rsid w:val="00164360"/>
    <w:rsid w:val="001645BF"/>
    <w:rsid w:val="0016555F"/>
    <w:rsid w:val="0016630F"/>
    <w:rsid w:val="001664AF"/>
    <w:rsid w:val="00166761"/>
    <w:rsid w:val="00166A72"/>
    <w:rsid w:val="0016705B"/>
    <w:rsid w:val="00167528"/>
    <w:rsid w:val="001676E8"/>
    <w:rsid w:val="001679AC"/>
    <w:rsid w:val="00167D01"/>
    <w:rsid w:val="001712C4"/>
    <w:rsid w:val="001716C0"/>
    <w:rsid w:val="001718FB"/>
    <w:rsid w:val="0017232D"/>
    <w:rsid w:val="0017289D"/>
    <w:rsid w:val="00173D09"/>
    <w:rsid w:val="00174344"/>
    <w:rsid w:val="00174B3B"/>
    <w:rsid w:val="00174BA2"/>
    <w:rsid w:val="00174D49"/>
    <w:rsid w:val="00175236"/>
    <w:rsid w:val="00176B6B"/>
    <w:rsid w:val="00176DE1"/>
    <w:rsid w:val="00177D1E"/>
    <w:rsid w:val="00180464"/>
    <w:rsid w:val="001805B4"/>
    <w:rsid w:val="0018123B"/>
    <w:rsid w:val="001815D3"/>
    <w:rsid w:val="001819D2"/>
    <w:rsid w:val="00181EF3"/>
    <w:rsid w:val="001829E9"/>
    <w:rsid w:val="00182FFA"/>
    <w:rsid w:val="0018325D"/>
    <w:rsid w:val="001837EB"/>
    <w:rsid w:val="00183992"/>
    <w:rsid w:val="00183B20"/>
    <w:rsid w:val="00184F5B"/>
    <w:rsid w:val="00185177"/>
    <w:rsid w:val="001859FC"/>
    <w:rsid w:val="00186380"/>
    <w:rsid w:val="001868A0"/>
    <w:rsid w:val="00186A3B"/>
    <w:rsid w:val="00186B2E"/>
    <w:rsid w:val="00186B47"/>
    <w:rsid w:val="00187B3E"/>
    <w:rsid w:val="00187B4A"/>
    <w:rsid w:val="00187ED5"/>
    <w:rsid w:val="00190DD7"/>
    <w:rsid w:val="00190F72"/>
    <w:rsid w:val="001910EB"/>
    <w:rsid w:val="001917E7"/>
    <w:rsid w:val="00191F4C"/>
    <w:rsid w:val="001924B2"/>
    <w:rsid w:val="0019464E"/>
    <w:rsid w:val="00194C3F"/>
    <w:rsid w:val="001951CF"/>
    <w:rsid w:val="00195244"/>
    <w:rsid w:val="001956EB"/>
    <w:rsid w:val="0019572A"/>
    <w:rsid w:val="0019683C"/>
    <w:rsid w:val="00196B94"/>
    <w:rsid w:val="0019713A"/>
    <w:rsid w:val="001A066D"/>
    <w:rsid w:val="001A08F0"/>
    <w:rsid w:val="001A1016"/>
    <w:rsid w:val="001A1BEC"/>
    <w:rsid w:val="001A2796"/>
    <w:rsid w:val="001A29FB"/>
    <w:rsid w:val="001A2A14"/>
    <w:rsid w:val="001A3F94"/>
    <w:rsid w:val="001A55B5"/>
    <w:rsid w:val="001A579B"/>
    <w:rsid w:val="001A60CC"/>
    <w:rsid w:val="001A68A5"/>
    <w:rsid w:val="001B08FF"/>
    <w:rsid w:val="001B1B78"/>
    <w:rsid w:val="001B2074"/>
    <w:rsid w:val="001B23B5"/>
    <w:rsid w:val="001B28CE"/>
    <w:rsid w:val="001B2920"/>
    <w:rsid w:val="001B29C4"/>
    <w:rsid w:val="001B2A91"/>
    <w:rsid w:val="001B2F71"/>
    <w:rsid w:val="001B3258"/>
    <w:rsid w:val="001B339B"/>
    <w:rsid w:val="001B3550"/>
    <w:rsid w:val="001B4550"/>
    <w:rsid w:val="001B462E"/>
    <w:rsid w:val="001B49A7"/>
    <w:rsid w:val="001B4A5C"/>
    <w:rsid w:val="001B5434"/>
    <w:rsid w:val="001B5650"/>
    <w:rsid w:val="001B6024"/>
    <w:rsid w:val="001B71E5"/>
    <w:rsid w:val="001B76BB"/>
    <w:rsid w:val="001B77BB"/>
    <w:rsid w:val="001B794C"/>
    <w:rsid w:val="001B7DBE"/>
    <w:rsid w:val="001C0ADF"/>
    <w:rsid w:val="001C0BC2"/>
    <w:rsid w:val="001C0C71"/>
    <w:rsid w:val="001C13D2"/>
    <w:rsid w:val="001C14A6"/>
    <w:rsid w:val="001C1604"/>
    <w:rsid w:val="001C1B8F"/>
    <w:rsid w:val="001C1F1D"/>
    <w:rsid w:val="001C1F55"/>
    <w:rsid w:val="001C283F"/>
    <w:rsid w:val="001C3291"/>
    <w:rsid w:val="001C3F0F"/>
    <w:rsid w:val="001C4E9F"/>
    <w:rsid w:val="001C511B"/>
    <w:rsid w:val="001C522C"/>
    <w:rsid w:val="001C5663"/>
    <w:rsid w:val="001C6683"/>
    <w:rsid w:val="001C6688"/>
    <w:rsid w:val="001C7428"/>
    <w:rsid w:val="001C747C"/>
    <w:rsid w:val="001D0273"/>
    <w:rsid w:val="001D08A4"/>
    <w:rsid w:val="001D0D83"/>
    <w:rsid w:val="001D0F6B"/>
    <w:rsid w:val="001D1075"/>
    <w:rsid w:val="001D111D"/>
    <w:rsid w:val="001D1D1C"/>
    <w:rsid w:val="001D2189"/>
    <w:rsid w:val="001D2EC1"/>
    <w:rsid w:val="001D3404"/>
    <w:rsid w:val="001D38DD"/>
    <w:rsid w:val="001D45F0"/>
    <w:rsid w:val="001D496C"/>
    <w:rsid w:val="001D4D62"/>
    <w:rsid w:val="001D575B"/>
    <w:rsid w:val="001D5A1A"/>
    <w:rsid w:val="001D5F04"/>
    <w:rsid w:val="001D6BAC"/>
    <w:rsid w:val="001D6F95"/>
    <w:rsid w:val="001E0DBC"/>
    <w:rsid w:val="001E209C"/>
    <w:rsid w:val="001E2567"/>
    <w:rsid w:val="001E2CBA"/>
    <w:rsid w:val="001E2D17"/>
    <w:rsid w:val="001E303B"/>
    <w:rsid w:val="001E33D4"/>
    <w:rsid w:val="001E40E5"/>
    <w:rsid w:val="001E414E"/>
    <w:rsid w:val="001E4382"/>
    <w:rsid w:val="001E4BCB"/>
    <w:rsid w:val="001E5108"/>
    <w:rsid w:val="001E5436"/>
    <w:rsid w:val="001E60ED"/>
    <w:rsid w:val="001E628A"/>
    <w:rsid w:val="001E62EE"/>
    <w:rsid w:val="001E65FC"/>
    <w:rsid w:val="001E6B91"/>
    <w:rsid w:val="001E6D89"/>
    <w:rsid w:val="001E6F4F"/>
    <w:rsid w:val="001E7433"/>
    <w:rsid w:val="001E7891"/>
    <w:rsid w:val="001E78D4"/>
    <w:rsid w:val="001E7BD9"/>
    <w:rsid w:val="001E7D2A"/>
    <w:rsid w:val="001F01B1"/>
    <w:rsid w:val="001F0B4A"/>
    <w:rsid w:val="001F1D41"/>
    <w:rsid w:val="001F1D7F"/>
    <w:rsid w:val="001F23B9"/>
    <w:rsid w:val="001F2553"/>
    <w:rsid w:val="001F277E"/>
    <w:rsid w:val="001F2D6E"/>
    <w:rsid w:val="001F30A8"/>
    <w:rsid w:val="001F3388"/>
    <w:rsid w:val="001F371B"/>
    <w:rsid w:val="001F3CEB"/>
    <w:rsid w:val="001F3D0B"/>
    <w:rsid w:val="001F486A"/>
    <w:rsid w:val="001F514C"/>
    <w:rsid w:val="001F6454"/>
    <w:rsid w:val="001F703C"/>
    <w:rsid w:val="001F71E7"/>
    <w:rsid w:val="001F7269"/>
    <w:rsid w:val="001F7996"/>
    <w:rsid w:val="001F7AA1"/>
    <w:rsid w:val="002008B4"/>
    <w:rsid w:val="0020094B"/>
    <w:rsid w:val="00201C35"/>
    <w:rsid w:val="00201CBD"/>
    <w:rsid w:val="00202A3D"/>
    <w:rsid w:val="00202B01"/>
    <w:rsid w:val="00202E93"/>
    <w:rsid w:val="00203217"/>
    <w:rsid w:val="002038B2"/>
    <w:rsid w:val="002039EE"/>
    <w:rsid w:val="00203F14"/>
    <w:rsid w:val="00203FD7"/>
    <w:rsid w:val="0020478A"/>
    <w:rsid w:val="00205840"/>
    <w:rsid w:val="00205987"/>
    <w:rsid w:val="002062F2"/>
    <w:rsid w:val="0020682F"/>
    <w:rsid w:val="002100BE"/>
    <w:rsid w:val="002100EB"/>
    <w:rsid w:val="002101B9"/>
    <w:rsid w:val="00210599"/>
    <w:rsid w:val="002107B5"/>
    <w:rsid w:val="00210974"/>
    <w:rsid w:val="00211097"/>
    <w:rsid w:val="0021120B"/>
    <w:rsid w:val="0021211F"/>
    <w:rsid w:val="0021222E"/>
    <w:rsid w:val="00214027"/>
    <w:rsid w:val="00214F7F"/>
    <w:rsid w:val="00215B58"/>
    <w:rsid w:val="00215D85"/>
    <w:rsid w:val="00215FA3"/>
    <w:rsid w:val="002167A2"/>
    <w:rsid w:val="00216C95"/>
    <w:rsid w:val="00217560"/>
    <w:rsid w:val="002177CA"/>
    <w:rsid w:val="0021799F"/>
    <w:rsid w:val="0022047F"/>
    <w:rsid w:val="002206CA"/>
    <w:rsid w:val="00220A39"/>
    <w:rsid w:val="0022237E"/>
    <w:rsid w:val="002224DD"/>
    <w:rsid w:val="00222818"/>
    <w:rsid w:val="002229A0"/>
    <w:rsid w:val="00222A13"/>
    <w:rsid w:val="002233B4"/>
    <w:rsid w:val="002236EB"/>
    <w:rsid w:val="00223909"/>
    <w:rsid w:val="00223C05"/>
    <w:rsid w:val="00223FE6"/>
    <w:rsid w:val="0022402C"/>
    <w:rsid w:val="00224DD7"/>
    <w:rsid w:val="00224FC5"/>
    <w:rsid w:val="00225629"/>
    <w:rsid w:val="00225F0E"/>
    <w:rsid w:val="00226273"/>
    <w:rsid w:val="002264D2"/>
    <w:rsid w:val="00226AB0"/>
    <w:rsid w:val="00227F46"/>
    <w:rsid w:val="00230E46"/>
    <w:rsid w:val="00231659"/>
    <w:rsid w:val="0023195F"/>
    <w:rsid w:val="002319EA"/>
    <w:rsid w:val="00231F50"/>
    <w:rsid w:val="00231F60"/>
    <w:rsid w:val="00231F72"/>
    <w:rsid w:val="00232A65"/>
    <w:rsid w:val="00232A82"/>
    <w:rsid w:val="00232B76"/>
    <w:rsid w:val="002341E2"/>
    <w:rsid w:val="002343FA"/>
    <w:rsid w:val="0023442C"/>
    <w:rsid w:val="002344F6"/>
    <w:rsid w:val="00234F30"/>
    <w:rsid w:val="00235B23"/>
    <w:rsid w:val="0023603E"/>
    <w:rsid w:val="00236ECA"/>
    <w:rsid w:val="00237067"/>
    <w:rsid w:val="00237A4D"/>
    <w:rsid w:val="00237AB6"/>
    <w:rsid w:val="00237C82"/>
    <w:rsid w:val="002401D9"/>
    <w:rsid w:val="002401E6"/>
    <w:rsid w:val="002403FD"/>
    <w:rsid w:val="00240750"/>
    <w:rsid w:val="00240AB8"/>
    <w:rsid w:val="00240ED5"/>
    <w:rsid w:val="00241F5B"/>
    <w:rsid w:val="00242162"/>
    <w:rsid w:val="0024225D"/>
    <w:rsid w:val="002422EC"/>
    <w:rsid w:val="002428B2"/>
    <w:rsid w:val="002441AF"/>
    <w:rsid w:val="002448F5"/>
    <w:rsid w:val="00245163"/>
    <w:rsid w:val="00245487"/>
    <w:rsid w:val="002464EB"/>
    <w:rsid w:val="002466B5"/>
    <w:rsid w:val="00246E97"/>
    <w:rsid w:val="00246EB9"/>
    <w:rsid w:val="0025038D"/>
    <w:rsid w:val="002505F7"/>
    <w:rsid w:val="00250CF0"/>
    <w:rsid w:val="00250D95"/>
    <w:rsid w:val="00250E24"/>
    <w:rsid w:val="002510D3"/>
    <w:rsid w:val="002513CA"/>
    <w:rsid w:val="0025147D"/>
    <w:rsid w:val="00251767"/>
    <w:rsid w:val="00251CCE"/>
    <w:rsid w:val="00251E74"/>
    <w:rsid w:val="00251FD6"/>
    <w:rsid w:val="00252303"/>
    <w:rsid w:val="002529AB"/>
    <w:rsid w:val="00252C76"/>
    <w:rsid w:val="002535D6"/>
    <w:rsid w:val="00253819"/>
    <w:rsid w:val="00254104"/>
    <w:rsid w:val="002565D3"/>
    <w:rsid w:val="002569E1"/>
    <w:rsid w:val="002573E9"/>
    <w:rsid w:val="00257523"/>
    <w:rsid w:val="00257A49"/>
    <w:rsid w:val="00257A86"/>
    <w:rsid w:val="00257B5F"/>
    <w:rsid w:val="0026074C"/>
    <w:rsid w:val="0026109A"/>
    <w:rsid w:val="00261D6C"/>
    <w:rsid w:val="002621E0"/>
    <w:rsid w:val="00262A11"/>
    <w:rsid w:val="00262AD2"/>
    <w:rsid w:val="00262CB3"/>
    <w:rsid w:val="00262F33"/>
    <w:rsid w:val="002631CD"/>
    <w:rsid w:val="00263516"/>
    <w:rsid w:val="00263A21"/>
    <w:rsid w:val="00263C64"/>
    <w:rsid w:val="00263DB8"/>
    <w:rsid w:val="00263DF2"/>
    <w:rsid w:val="00264AA6"/>
    <w:rsid w:val="00264ADB"/>
    <w:rsid w:val="00264F71"/>
    <w:rsid w:val="0026503A"/>
    <w:rsid w:val="002651D5"/>
    <w:rsid w:val="00265B6C"/>
    <w:rsid w:val="0026626C"/>
    <w:rsid w:val="00266769"/>
    <w:rsid w:val="002668E5"/>
    <w:rsid w:val="00266A0B"/>
    <w:rsid w:val="00266FE8"/>
    <w:rsid w:val="0026700D"/>
    <w:rsid w:val="00267D3A"/>
    <w:rsid w:val="00270247"/>
    <w:rsid w:val="002704B6"/>
    <w:rsid w:val="00270DE3"/>
    <w:rsid w:val="00271401"/>
    <w:rsid w:val="00272547"/>
    <w:rsid w:val="00274032"/>
    <w:rsid w:val="002746B5"/>
    <w:rsid w:val="0027493E"/>
    <w:rsid w:val="00275A66"/>
    <w:rsid w:val="00275F7B"/>
    <w:rsid w:val="0027610C"/>
    <w:rsid w:val="00276227"/>
    <w:rsid w:val="002765E0"/>
    <w:rsid w:val="00276D86"/>
    <w:rsid w:val="0027715B"/>
    <w:rsid w:val="00277431"/>
    <w:rsid w:val="00277522"/>
    <w:rsid w:val="00277CF2"/>
    <w:rsid w:val="00281082"/>
    <w:rsid w:val="0028123A"/>
    <w:rsid w:val="00281688"/>
    <w:rsid w:val="002818CA"/>
    <w:rsid w:val="00281CAE"/>
    <w:rsid w:val="00282BE2"/>
    <w:rsid w:val="002839E4"/>
    <w:rsid w:val="00284387"/>
    <w:rsid w:val="00284BD8"/>
    <w:rsid w:val="002867E6"/>
    <w:rsid w:val="0028705A"/>
    <w:rsid w:val="0028747C"/>
    <w:rsid w:val="002874D7"/>
    <w:rsid w:val="00287675"/>
    <w:rsid w:val="00290020"/>
    <w:rsid w:val="00290294"/>
    <w:rsid w:val="00290EA2"/>
    <w:rsid w:val="002911E9"/>
    <w:rsid w:val="00291831"/>
    <w:rsid w:val="002918CC"/>
    <w:rsid w:val="00291D17"/>
    <w:rsid w:val="00291FB1"/>
    <w:rsid w:val="0029216C"/>
    <w:rsid w:val="00292846"/>
    <w:rsid w:val="00292CCF"/>
    <w:rsid w:val="00293467"/>
    <w:rsid w:val="0029368E"/>
    <w:rsid w:val="002936CC"/>
    <w:rsid w:val="00293736"/>
    <w:rsid w:val="00293A21"/>
    <w:rsid w:val="00293B4E"/>
    <w:rsid w:val="00293FAD"/>
    <w:rsid w:val="00294150"/>
    <w:rsid w:val="002947F7"/>
    <w:rsid w:val="00294ADA"/>
    <w:rsid w:val="00294CB4"/>
    <w:rsid w:val="00294D3B"/>
    <w:rsid w:val="00294DB9"/>
    <w:rsid w:val="00294E66"/>
    <w:rsid w:val="00295232"/>
    <w:rsid w:val="00295269"/>
    <w:rsid w:val="002958FB"/>
    <w:rsid w:val="00295980"/>
    <w:rsid w:val="00295DF7"/>
    <w:rsid w:val="002967F9"/>
    <w:rsid w:val="00296BC2"/>
    <w:rsid w:val="00296C24"/>
    <w:rsid w:val="00296DF1"/>
    <w:rsid w:val="0029731B"/>
    <w:rsid w:val="00297B04"/>
    <w:rsid w:val="002A10FB"/>
    <w:rsid w:val="002A143D"/>
    <w:rsid w:val="002A19E0"/>
    <w:rsid w:val="002A1AAD"/>
    <w:rsid w:val="002A1D1B"/>
    <w:rsid w:val="002A1DA5"/>
    <w:rsid w:val="002A2014"/>
    <w:rsid w:val="002A27A0"/>
    <w:rsid w:val="002A27DD"/>
    <w:rsid w:val="002A28D5"/>
    <w:rsid w:val="002A360E"/>
    <w:rsid w:val="002A3C3C"/>
    <w:rsid w:val="002A4371"/>
    <w:rsid w:val="002A4510"/>
    <w:rsid w:val="002A5663"/>
    <w:rsid w:val="002A5CF6"/>
    <w:rsid w:val="002A5D51"/>
    <w:rsid w:val="002A6D55"/>
    <w:rsid w:val="002A7051"/>
    <w:rsid w:val="002A70D5"/>
    <w:rsid w:val="002A72A2"/>
    <w:rsid w:val="002A7404"/>
    <w:rsid w:val="002A766C"/>
    <w:rsid w:val="002B02EC"/>
    <w:rsid w:val="002B17EE"/>
    <w:rsid w:val="002B1E7C"/>
    <w:rsid w:val="002B1F11"/>
    <w:rsid w:val="002B208F"/>
    <w:rsid w:val="002B29DB"/>
    <w:rsid w:val="002B3967"/>
    <w:rsid w:val="002B3F5C"/>
    <w:rsid w:val="002B44A7"/>
    <w:rsid w:val="002B4CF2"/>
    <w:rsid w:val="002B4FAE"/>
    <w:rsid w:val="002B529B"/>
    <w:rsid w:val="002B5382"/>
    <w:rsid w:val="002B5CA8"/>
    <w:rsid w:val="002C0A36"/>
    <w:rsid w:val="002C15C4"/>
    <w:rsid w:val="002C1885"/>
    <w:rsid w:val="002C19F3"/>
    <w:rsid w:val="002C1CD8"/>
    <w:rsid w:val="002C20BC"/>
    <w:rsid w:val="002C2522"/>
    <w:rsid w:val="002C3168"/>
    <w:rsid w:val="002C36AD"/>
    <w:rsid w:val="002C3B0B"/>
    <w:rsid w:val="002C442E"/>
    <w:rsid w:val="002C46D2"/>
    <w:rsid w:val="002C4B8C"/>
    <w:rsid w:val="002C56A4"/>
    <w:rsid w:val="002C5CB1"/>
    <w:rsid w:val="002C6374"/>
    <w:rsid w:val="002C71F9"/>
    <w:rsid w:val="002C76B4"/>
    <w:rsid w:val="002C77B3"/>
    <w:rsid w:val="002C7C02"/>
    <w:rsid w:val="002D1172"/>
    <w:rsid w:val="002D1F19"/>
    <w:rsid w:val="002D23F4"/>
    <w:rsid w:val="002D24B0"/>
    <w:rsid w:val="002D26A2"/>
    <w:rsid w:val="002D2709"/>
    <w:rsid w:val="002D2BB9"/>
    <w:rsid w:val="002D2E19"/>
    <w:rsid w:val="002D3479"/>
    <w:rsid w:val="002D377D"/>
    <w:rsid w:val="002D420C"/>
    <w:rsid w:val="002D533B"/>
    <w:rsid w:val="002D5C6E"/>
    <w:rsid w:val="002D6732"/>
    <w:rsid w:val="002D6ECB"/>
    <w:rsid w:val="002D6F0D"/>
    <w:rsid w:val="002D7932"/>
    <w:rsid w:val="002D7C01"/>
    <w:rsid w:val="002D7F7F"/>
    <w:rsid w:val="002E015A"/>
    <w:rsid w:val="002E0B62"/>
    <w:rsid w:val="002E0C58"/>
    <w:rsid w:val="002E0ECA"/>
    <w:rsid w:val="002E1194"/>
    <w:rsid w:val="002E1468"/>
    <w:rsid w:val="002E1923"/>
    <w:rsid w:val="002E1A89"/>
    <w:rsid w:val="002E1B3A"/>
    <w:rsid w:val="002E23C9"/>
    <w:rsid w:val="002E2478"/>
    <w:rsid w:val="002E24BF"/>
    <w:rsid w:val="002E27D1"/>
    <w:rsid w:val="002E2950"/>
    <w:rsid w:val="002E2CA8"/>
    <w:rsid w:val="002E37EF"/>
    <w:rsid w:val="002E39E3"/>
    <w:rsid w:val="002E3E3D"/>
    <w:rsid w:val="002E4662"/>
    <w:rsid w:val="002E494D"/>
    <w:rsid w:val="002E4A86"/>
    <w:rsid w:val="002E5048"/>
    <w:rsid w:val="002E5155"/>
    <w:rsid w:val="002E53A5"/>
    <w:rsid w:val="002E5CAE"/>
    <w:rsid w:val="002E67DB"/>
    <w:rsid w:val="002E6B76"/>
    <w:rsid w:val="002E6DF9"/>
    <w:rsid w:val="002E7CA7"/>
    <w:rsid w:val="002F0E65"/>
    <w:rsid w:val="002F0E75"/>
    <w:rsid w:val="002F10DA"/>
    <w:rsid w:val="002F1438"/>
    <w:rsid w:val="002F146B"/>
    <w:rsid w:val="002F149E"/>
    <w:rsid w:val="002F17EF"/>
    <w:rsid w:val="002F23D4"/>
    <w:rsid w:val="002F256B"/>
    <w:rsid w:val="002F2C6A"/>
    <w:rsid w:val="002F3782"/>
    <w:rsid w:val="002F3AA9"/>
    <w:rsid w:val="002F3DD5"/>
    <w:rsid w:val="002F423A"/>
    <w:rsid w:val="002F52D7"/>
    <w:rsid w:val="002F5412"/>
    <w:rsid w:val="002F59D3"/>
    <w:rsid w:val="002F5ACE"/>
    <w:rsid w:val="002F6075"/>
    <w:rsid w:val="002F6637"/>
    <w:rsid w:val="002F6796"/>
    <w:rsid w:val="002F6A68"/>
    <w:rsid w:val="002F6C2A"/>
    <w:rsid w:val="002F79AF"/>
    <w:rsid w:val="002F7FC1"/>
    <w:rsid w:val="003006E9"/>
    <w:rsid w:val="00300EA3"/>
    <w:rsid w:val="00300ED1"/>
    <w:rsid w:val="00300F47"/>
    <w:rsid w:val="00303020"/>
    <w:rsid w:val="00304675"/>
    <w:rsid w:val="00304C47"/>
    <w:rsid w:val="00304E1A"/>
    <w:rsid w:val="003052C3"/>
    <w:rsid w:val="00305AAF"/>
    <w:rsid w:val="00305B3C"/>
    <w:rsid w:val="003064BA"/>
    <w:rsid w:val="00306581"/>
    <w:rsid w:val="00306646"/>
    <w:rsid w:val="00306F90"/>
    <w:rsid w:val="00307586"/>
    <w:rsid w:val="0031027D"/>
    <w:rsid w:val="0031061A"/>
    <w:rsid w:val="00310736"/>
    <w:rsid w:val="0031073D"/>
    <w:rsid w:val="00310D2A"/>
    <w:rsid w:val="00310DE8"/>
    <w:rsid w:val="003111E9"/>
    <w:rsid w:val="0031130D"/>
    <w:rsid w:val="00311BB9"/>
    <w:rsid w:val="003128A1"/>
    <w:rsid w:val="00312EC1"/>
    <w:rsid w:val="003147B9"/>
    <w:rsid w:val="00314D1D"/>
    <w:rsid w:val="00315811"/>
    <w:rsid w:val="00315D23"/>
    <w:rsid w:val="00315D98"/>
    <w:rsid w:val="0031624B"/>
    <w:rsid w:val="00316903"/>
    <w:rsid w:val="00316DD8"/>
    <w:rsid w:val="00317350"/>
    <w:rsid w:val="003175D8"/>
    <w:rsid w:val="00317850"/>
    <w:rsid w:val="003178F7"/>
    <w:rsid w:val="0032031E"/>
    <w:rsid w:val="0032137E"/>
    <w:rsid w:val="003215F0"/>
    <w:rsid w:val="003219C7"/>
    <w:rsid w:val="00322111"/>
    <w:rsid w:val="0032254F"/>
    <w:rsid w:val="0032282B"/>
    <w:rsid w:val="003231FD"/>
    <w:rsid w:val="003239B6"/>
    <w:rsid w:val="00323A16"/>
    <w:rsid w:val="00324A73"/>
    <w:rsid w:val="0032533C"/>
    <w:rsid w:val="00325943"/>
    <w:rsid w:val="00326133"/>
    <w:rsid w:val="00326C46"/>
    <w:rsid w:val="0032728B"/>
    <w:rsid w:val="00327989"/>
    <w:rsid w:val="00327CAD"/>
    <w:rsid w:val="003300AD"/>
    <w:rsid w:val="0033011B"/>
    <w:rsid w:val="003302E4"/>
    <w:rsid w:val="00331295"/>
    <w:rsid w:val="0033192D"/>
    <w:rsid w:val="00331AA1"/>
    <w:rsid w:val="00332081"/>
    <w:rsid w:val="00332637"/>
    <w:rsid w:val="00333243"/>
    <w:rsid w:val="00333DC6"/>
    <w:rsid w:val="00334189"/>
    <w:rsid w:val="00334BFE"/>
    <w:rsid w:val="00334C27"/>
    <w:rsid w:val="00335710"/>
    <w:rsid w:val="0033613F"/>
    <w:rsid w:val="00336CB1"/>
    <w:rsid w:val="003370E2"/>
    <w:rsid w:val="003373D4"/>
    <w:rsid w:val="00337F06"/>
    <w:rsid w:val="0034002E"/>
    <w:rsid w:val="003402AE"/>
    <w:rsid w:val="003402B2"/>
    <w:rsid w:val="00340415"/>
    <w:rsid w:val="0034047E"/>
    <w:rsid w:val="00340673"/>
    <w:rsid w:val="003407C9"/>
    <w:rsid w:val="003407FC"/>
    <w:rsid w:val="00341703"/>
    <w:rsid w:val="00341C82"/>
    <w:rsid w:val="00341D87"/>
    <w:rsid w:val="00342214"/>
    <w:rsid w:val="003429A6"/>
    <w:rsid w:val="00342C42"/>
    <w:rsid w:val="00342F01"/>
    <w:rsid w:val="00343017"/>
    <w:rsid w:val="0034324F"/>
    <w:rsid w:val="00343928"/>
    <w:rsid w:val="00343C9E"/>
    <w:rsid w:val="00343F70"/>
    <w:rsid w:val="00344255"/>
    <w:rsid w:val="003442A1"/>
    <w:rsid w:val="00344332"/>
    <w:rsid w:val="003444C4"/>
    <w:rsid w:val="00344C98"/>
    <w:rsid w:val="00345253"/>
    <w:rsid w:val="00346506"/>
    <w:rsid w:val="0034651E"/>
    <w:rsid w:val="0034786D"/>
    <w:rsid w:val="0034798F"/>
    <w:rsid w:val="003502D9"/>
    <w:rsid w:val="0035046E"/>
    <w:rsid w:val="00350DA4"/>
    <w:rsid w:val="00351D56"/>
    <w:rsid w:val="00351F84"/>
    <w:rsid w:val="003529DD"/>
    <w:rsid w:val="00352DA5"/>
    <w:rsid w:val="00353319"/>
    <w:rsid w:val="00353896"/>
    <w:rsid w:val="00353AC6"/>
    <w:rsid w:val="00353F79"/>
    <w:rsid w:val="00354F05"/>
    <w:rsid w:val="00355747"/>
    <w:rsid w:val="003564B8"/>
    <w:rsid w:val="0035654B"/>
    <w:rsid w:val="00357729"/>
    <w:rsid w:val="00357899"/>
    <w:rsid w:val="003606AE"/>
    <w:rsid w:val="00361BF1"/>
    <w:rsid w:val="00361C72"/>
    <w:rsid w:val="00362315"/>
    <w:rsid w:val="0036252B"/>
    <w:rsid w:val="00362C19"/>
    <w:rsid w:val="00362F58"/>
    <w:rsid w:val="003643CD"/>
    <w:rsid w:val="0036463C"/>
    <w:rsid w:val="003648D8"/>
    <w:rsid w:val="00364D84"/>
    <w:rsid w:val="0036512D"/>
    <w:rsid w:val="0036548F"/>
    <w:rsid w:val="00365828"/>
    <w:rsid w:val="00365C0C"/>
    <w:rsid w:val="003664FD"/>
    <w:rsid w:val="00366D7B"/>
    <w:rsid w:val="00367266"/>
    <w:rsid w:val="003672B9"/>
    <w:rsid w:val="003674E4"/>
    <w:rsid w:val="003676BA"/>
    <w:rsid w:val="00367A39"/>
    <w:rsid w:val="00367C09"/>
    <w:rsid w:val="003703F4"/>
    <w:rsid w:val="0037045E"/>
    <w:rsid w:val="00370FDE"/>
    <w:rsid w:val="003713B9"/>
    <w:rsid w:val="003734F1"/>
    <w:rsid w:val="003735E9"/>
    <w:rsid w:val="00373F09"/>
    <w:rsid w:val="00374556"/>
    <w:rsid w:val="00374568"/>
    <w:rsid w:val="003746D2"/>
    <w:rsid w:val="003747AE"/>
    <w:rsid w:val="003759F4"/>
    <w:rsid w:val="00376111"/>
    <w:rsid w:val="00376C16"/>
    <w:rsid w:val="00376CA4"/>
    <w:rsid w:val="00376E18"/>
    <w:rsid w:val="00380037"/>
    <w:rsid w:val="00380B2E"/>
    <w:rsid w:val="00380B3D"/>
    <w:rsid w:val="00381186"/>
    <w:rsid w:val="00381CB6"/>
    <w:rsid w:val="00381F76"/>
    <w:rsid w:val="00382044"/>
    <w:rsid w:val="0038204A"/>
    <w:rsid w:val="003828A9"/>
    <w:rsid w:val="00382B19"/>
    <w:rsid w:val="003833F4"/>
    <w:rsid w:val="00383DE9"/>
    <w:rsid w:val="0038469A"/>
    <w:rsid w:val="003849E5"/>
    <w:rsid w:val="00384EFE"/>
    <w:rsid w:val="003852F3"/>
    <w:rsid w:val="003863A5"/>
    <w:rsid w:val="00386611"/>
    <w:rsid w:val="003866B4"/>
    <w:rsid w:val="00386C39"/>
    <w:rsid w:val="003901D0"/>
    <w:rsid w:val="00390BD8"/>
    <w:rsid w:val="00391FE9"/>
    <w:rsid w:val="003920D7"/>
    <w:rsid w:val="003927EF"/>
    <w:rsid w:val="00393145"/>
    <w:rsid w:val="00393468"/>
    <w:rsid w:val="00393925"/>
    <w:rsid w:val="0039460B"/>
    <w:rsid w:val="00394677"/>
    <w:rsid w:val="00395804"/>
    <w:rsid w:val="003958A7"/>
    <w:rsid w:val="003959B3"/>
    <w:rsid w:val="003964D9"/>
    <w:rsid w:val="003969E5"/>
    <w:rsid w:val="00397F5B"/>
    <w:rsid w:val="003A0601"/>
    <w:rsid w:val="003A204F"/>
    <w:rsid w:val="003A2709"/>
    <w:rsid w:val="003A288C"/>
    <w:rsid w:val="003A294E"/>
    <w:rsid w:val="003A2AB1"/>
    <w:rsid w:val="003A2B14"/>
    <w:rsid w:val="003A2CE4"/>
    <w:rsid w:val="003A3C43"/>
    <w:rsid w:val="003A3E5C"/>
    <w:rsid w:val="003A3F3A"/>
    <w:rsid w:val="003A3F75"/>
    <w:rsid w:val="003A415E"/>
    <w:rsid w:val="003A41C1"/>
    <w:rsid w:val="003A4321"/>
    <w:rsid w:val="003A43C9"/>
    <w:rsid w:val="003A44FF"/>
    <w:rsid w:val="003A49AD"/>
    <w:rsid w:val="003A4D7D"/>
    <w:rsid w:val="003A553D"/>
    <w:rsid w:val="003A5609"/>
    <w:rsid w:val="003A56ED"/>
    <w:rsid w:val="003A602F"/>
    <w:rsid w:val="003A6179"/>
    <w:rsid w:val="003A661E"/>
    <w:rsid w:val="003A6635"/>
    <w:rsid w:val="003A66FA"/>
    <w:rsid w:val="003A6789"/>
    <w:rsid w:val="003A6DBF"/>
    <w:rsid w:val="003A6F1A"/>
    <w:rsid w:val="003A745E"/>
    <w:rsid w:val="003A7BD6"/>
    <w:rsid w:val="003A7ED6"/>
    <w:rsid w:val="003B01D4"/>
    <w:rsid w:val="003B0304"/>
    <w:rsid w:val="003B08B6"/>
    <w:rsid w:val="003B0956"/>
    <w:rsid w:val="003B0A5A"/>
    <w:rsid w:val="003B117A"/>
    <w:rsid w:val="003B1264"/>
    <w:rsid w:val="003B1329"/>
    <w:rsid w:val="003B14B4"/>
    <w:rsid w:val="003B179A"/>
    <w:rsid w:val="003B1B5E"/>
    <w:rsid w:val="003B20E0"/>
    <w:rsid w:val="003B2808"/>
    <w:rsid w:val="003B29C9"/>
    <w:rsid w:val="003B390C"/>
    <w:rsid w:val="003B399F"/>
    <w:rsid w:val="003B39D6"/>
    <w:rsid w:val="003B3CA7"/>
    <w:rsid w:val="003B407C"/>
    <w:rsid w:val="003B4AFD"/>
    <w:rsid w:val="003B4C6E"/>
    <w:rsid w:val="003B4F53"/>
    <w:rsid w:val="003B53D6"/>
    <w:rsid w:val="003B5840"/>
    <w:rsid w:val="003B6156"/>
    <w:rsid w:val="003B6A7C"/>
    <w:rsid w:val="003B6A85"/>
    <w:rsid w:val="003B7031"/>
    <w:rsid w:val="003B7422"/>
    <w:rsid w:val="003B75F6"/>
    <w:rsid w:val="003B775A"/>
    <w:rsid w:val="003B7B70"/>
    <w:rsid w:val="003C02B6"/>
    <w:rsid w:val="003C0857"/>
    <w:rsid w:val="003C09C0"/>
    <w:rsid w:val="003C11EB"/>
    <w:rsid w:val="003C12D8"/>
    <w:rsid w:val="003C1E01"/>
    <w:rsid w:val="003C22D5"/>
    <w:rsid w:val="003C230E"/>
    <w:rsid w:val="003C230F"/>
    <w:rsid w:val="003C290A"/>
    <w:rsid w:val="003C2A01"/>
    <w:rsid w:val="003C2F68"/>
    <w:rsid w:val="003C3A8F"/>
    <w:rsid w:val="003C4408"/>
    <w:rsid w:val="003C4F87"/>
    <w:rsid w:val="003C5B8D"/>
    <w:rsid w:val="003C5DED"/>
    <w:rsid w:val="003C7D15"/>
    <w:rsid w:val="003D2674"/>
    <w:rsid w:val="003D32E9"/>
    <w:rsid w:val="003D3538"/>
    <w:rsid w:val="003D3ED0"/>
    <w:rsid w:val="003D484E"/>
    <w:rsid w:val="003D48BF"/>
    <w:rsid w:val="003D51B9"/>
    <w:rsid w:val="003D5F99"/>
    <w:rsid w:val="003D6866"/>
    <w:rsid w:val="003D76FD"/>
    <w:rsid w:val="003D7B42"/>
    <w:rsid w:val="003E0018"/>
    <w:rsid w:val="003E041C"/>
    <w:rsid w:val="003E0E7D"/>
    <w:rsid w:val="003E0F5A"/>
    <w:rsid w:val="003E1411"/>
    <w:rsid w:val="003E1591"/>
    <w:rsid w:val="003E18DD"/>
    <w:rsid w:val="003E227F"/>
    <w:rsid w:val="003E247A"/>
    <w:rsid w:val="003E316D"/>
    <w:rsid w:val="003E31FC"/>
    <w:rsid w:val="003E342A"/>
    <w:rsid w:val="003E3C54"/>
    <w:rsid w:val="003E4A85"/>
    <w:rsid w:val="003E54CA"/>
    <w:rsid w:val="003E54CC"/>
    <w:rsid w:val="003E578B"/>
    <w:rsid w:val="003E5922"/>
    <w:rsid w:val="003E6271"/>
    <w:rsid w:val="003E6E0A"/>
    <w:rsid w:val="003E71F1"/>
    <w:rsid w:val="003E7302"/>
    <w:rsid w:val="003F041E"/>
    <w:rsid w:val="003F0507"/>
    <w:rsid w:val="003F0CC1"/>
    <w:rsid w:val="003F0CEE"/>
    <w:rsid w:val="003F15DF"/>
    <w:rsid w:val="003F1D70"/>
    <w:rsid w:val="003F338B"/>
    <w:rsid w:val="003F3EDC"/>
    <w:rsid w:val="003F427B"/>
    <w:rsid w:val="003F431F"/>
    <w:rsid w:val="003F57FC"/>
    <w:rsid w:val="003F645D"/>
    <w:rsid w:val="003F6475"/>
    <w:rsid w:val="003F64AA"/>
    <w:rsid w:val="003F68D3"/>
    <w:rsid w:val="003F7504"/>
    <w:rsid w:val="003F75B2"/>
    <w:rsid w:val="003F77DC"/>
    <w:rsid w:val="003F7EC4"/>
    <w:rsid w:val="004017D8"/>
    <w:rsid w:val="00401D42"/>
    <w:rsid w:val="004021D6"/>
    <w:rsid w:val="0040333E"/>
    <w:rsid w:val="00403826"/>
    <w:rsid w:val="004041C1"/>
    <w:rsid w:val="004043AE"/>
    <w:rsid w:val="004049CE"/>
    <w:rsid w:val="00404B9D"/>
    <w:rsid w:val="00404BC3"/>
    <w:rsid w:val="00405D91"/>
    <w:rsid w:val="004060D3"/>
    <w:rsid w:val="00406175"/>
    <w:rsid w:val="00406E78"/>
    <w:rsid w:val="00407411"/>
    <w:rsid w:val="0040748D"/>
    <w:rsid w:val="00407E80"/>
    <w:rsid w:val="00410293"/>
    <w:rsid w:val="00410789"/>
    <w:rsid w:val="004107E5"/>
    <w:rsid w:val="00410A90"/>
    <w:rsid w:val="00410E07"/>
    <w:rsid w:val="00411669"/>
    <w:rsid w:val="004123E6"/>
    <w:rsid w:val="0041256F"/>
    <w:rsid w:val="004127A9"/>
    <w:rsid w:val="00412C0E"/>
    <w:rsid w:val="00413EC9"/>
    <w:rsid w:val="00414682"/>
    <w:rsid w:val="004151C2"/>
    <w:rsid w:val="00415BC2"/>
    <w:rsid w:val="00416371"/>
    <w:rsid w:val="004168DA"/>
    <w:rsid w:val="00416A55"/>
    <w:rsid w:val="0041760A"/>
    <w:rsid w:val="00417650"/>
    <w:rsid w:val="00417853"/>
    <w:rsid w:val="00417BFF"/>
    <w:rsid w:val="0042030F"/>
    <w:rsid w:val="004205BC"/>
    <w:rsid w:val="004207A5"/>
    <w:rsid w:val="00420B37"/>
    <w:rsid w:val="00420E5E"/>
    <w:rsid w:val="00421986"/>
    <w:rsid w:val="00421E96"/>
    <w:rsid w:val="004221C0"/>
    <w:rsid w:val="00422640"/>
    <w:rsid w:val="00422A6B"/>
    <w:rsid w:val="0042325C"/>
    <w:rsid w:val="00423271"/>
    <w:rsid w:val="00423472"/>
    <w:rsid w:val="00423B25"/>
    <w:rsid w:val="004240D5"/>
    <w:rsid w:val="00424843"/>
    <w:rsid w:val="00424901"/>
    <w:rsid w:val="00424B7F"/>
    <w:rsid w:val="00424C29"/>
    <w:rsid w:val="00425260"/>
    <w:rsid w:val="00425291"/>
    <w:rsid w:val="00425534"/>
    <w:rsid w:val="00425948"/>
    <w:rsid w:val="00426D0C"/>
    <w:rsid w:val="0043035D"/>
    <w:rsid w:val="00430755"/>
    <w:rsid w:val="004307E5"/>
    <w:rsid w:val="0043089A"/>
    <w:rsid w:val="00430A0C"/>
    <w:rsid w:val="00430C19"/>
    <w:rsid w:val="00431497"/>
    <w:rsid w:val="004314A0"/>
    <w:rsid w:val="0043172E"/>
    <w:rsid w:val="0043183C"/>
    <w:rsid w:val="00431E9B"/>
    <w:rsid w:val="004320DC"/>
    <w:rsid w:val="0043299D"/>
    <w:rsid w:val="00432DA0"/>
    <w:rsid w:val="00432DBB"/>
    <w:rsid w:val="00432E5B"/>
    <w:rsid w:val="004342F8"/>
    <w:rsid w:val="004346AF"/>
    <w:rsid w:val="004347FB"/>
    <w:rsid w:val="004349DA"/>
    <w:rsid w:val="00435175"/>
    <w:rsid w:val="00435265"/>
    <w:rsid w:val="00435561"/>
    <w:rsid w:val="00435925"/>
    <w:rsid w:val="004364D0"/>
    <w:rsid w:val="00436DFB"/>
    <w:rsid w:val="0043727E"/>
    <w:rsid w:val="004377A5"/>
    <w:rsid w:val="00437A10"/>
    <w:rsid w:val="00437ADA"/>
    <w:rsid w:val="00437C3B"/>
    <w:rsid w:val="00440270"/>
    <w:rsid w:val="0044054E"/>
    <w:rsid w:val="00440CED"/>
    <w:rsid w:val="00441024"/>
    <w:rsid w:val="00441235"/>
    <w:rsid w:val="00441341"/>
    <w:rsid w:val="00441CBC"/>
    <w:rsid w:val="00441DB2"/>
    <w:rsid w:val="0044236D"/>
    <w:rsid w:val="004435BC"/>
    <w:rsid w:val="00443FF9"/>
    <w:rsid w:val="0044448D"/>
    <w:rsid w:val="00444602"/>
    <w:rsid w:val="0044494E"/>
    <w:rsid w:val="00444DB1"/>
    <w:rsid w:val="00444E79"/>
    <w:rsid w:val="00444ED0"/>
    <w:rsid w:val="00444EEE"/>
    <w:rsid w:val="00445B36"/>
    <w:rsid w:val="004466BA"/>
    <w:rsid w:val="004478ED"/>
    <w:rsid w:val="004479F7"/>
    <w:rsid w:val="00450B08"/>
    <w:rsid w:val="00450D46"/>
    <w:rsid w:val="00451FA7"/>
    <w:rsid w:val="00452361"/>
    <w:rsid w:val="004526FB"/>
    <w:rsid w:val="0045281B"/>
    <w:rsid w:val="0045282C"/>
    <w:rsid w:val="004529F2"/>
    <w:rsid w:val="00453312"/>
    <w:rsid w:val="00453D93"/>
    <w:rsid w:val="00454785"/>
    <w:rsid w:val="00455268"/>
    <w:rsid w:val="004554E8"/>
    <w:rsid w:val="004556C9"/>
    <w:rsid w:val="004561D0"/>
    <w:rsid w:val="004564B7"/>
    <w:rsid w:val="00456A0B"/>
    <w:rsid w:val="004578DF"/>
    <w:rsid w:val="00457B3A"/>
    <w:rsid w:val="00461174"/>
    <w:rsid w:val="00461474"/>
    <w:rsid w:val="0046217C"/>
    <w:rsid w:val="00462706"/>
    <w:rsid w:val="00462A1B"/>
    <w:rsid w:val="0046336D"/>
    <w:rsid w:val="00463A9B"/>
    <w:rsid w:val="00463AED"/>
    <w:rsid w:val="00463B3F"/>
    <w:rsid w:val="00464344"/>
    <w:rsid w:val="004644A2"/>
    <w:rsid w:val="00464CFD"/>
    <w:rsid w:val="004651D9"/>
    <w:rsid w:val="00465379"/>
    <w:rsid w:val="00465B08"/>
    <w:rsid w:val="00465E22"/>
    <w:rsid w:val="004668EB"/>
    <w:rsid w:val="004674F1"/>
    <w:rsid w:val="00467B67"/>
    <w:rsid w:val="00470429"/>
    <w:rsid w:val="00470C01"/>
    <w:rsid w:val="00470ED2"/>
    <w:rsid w:val="00471179"/>
    <w:rsid w:val="0047170A"/>
    <w:rsid w:val="00472464"/>
    <w:rsid w:val="00473A84"/>
    <w:rsid w:val="0047405A"/>
    <w:rsid w:val="004742F1"/>
    <w:rsid w:val="004743B9"/>
    <w:rsid w:val="00474DFA"/>
    <w:rsid w:val="00475056"/>
    <w:rsid w:val="00475EF5"/>
    <w:rsid w:val="00476AC9"/>
    <w:rsid w:val="00476BF4"/>
    <w:rsid w:val="00477183"/>
    <w:rsid w:val="00477834"/>
    <w:rsid w:val="00477A00"/>
    <w:rsid w:val="00477D71"/>
    <w:rsid w:val="0048030C"/>
    <w:rsid w:val="00481074"/>
    <w:rsid w:val="0048162F"/>
    <w:rsid w:val="004817FE"/>
    <w:rsid w:val="004818F2"/>
    <w:rsid w:val="004819ED"/>
    <w:rsid w:val="004820C9"/>
    <w:rsid w:val="00482223"/>
    <w:rsid w:val="0048226B"/>
    <w:rsid w:val="0048265C"/>
    <w:rsid w:val="004829E9"/>
    <w:rsid w:val="00482EF7"/>
    <w:rsid w:val="00483A19"/>
    <w:rsid w:val="00483E2D"/>
    <w:rsid w:val="00485071"/>
    <w:rsid w:val="00485751"/>
    <w:rsid w:val="00485A75"/>
    <w:rsid w:val="00485FFF"/>
    <w:rsid w:val="0048610C"/>
    <w:rsid w:val="004865E9"/>
    <w:rsid w:val="0048687B"/>
    <w:rsid w:val="00486A73"/>
    <w:rsid w:val="00487256"/>
    <w:rsid w:val="004873E0"/>
    <w:rsid w:val="0048750F"/>
    <w:rsid w:val="00491272"/>
    <w:rsid w:val="0049135F"/>
    <w:rsid w:val="00491BFE"/>
    <w:rsid w:val="00491EC5"/>
    <w:rsid w:val="00492488"/>
    <w:rsid w:val="0049263A"/>
    <w:rsid w:val="00492716"/>
    <w:rsid w:val="00492768"/>
    <w:rsid w:val="004928E8"/>
    <w:rsid w:val="00492F60"/>
    <w:rsid w:val="00493129"/>
    <w:rsid w:val="00493883"/>
    <w:rsid w:val="00493B41"/>
    <w:rsid w:val="00494090"/>
    <w:rsid w:val="00494BB9"/>
    <w:rsid w:val="00494E47"/>
    <w:rsid w:val="0049659C"/>
    <w:rsid w:val="00496EC6"/>
    <w:rsid w:val="0049760A"/>
    <w:rsid w:val="004979FE"/>
    <w:rsid w:val="00497B77"/>
    <w:rsid w:val="00497E64"/>
    <w:rsid w:val="004A0057"/>
    <w:rsid w:val="004A0390"/>
    <w:rsid w:val="004A089D"/>
    <w:rsid w:val="004A0D0D"/>
    <w:rsid w:val="004A0DE3"/>
    <w:rsid w:val="004A0FEC"/>
    <w:rsid w:val="004A1127"/>
    <w:rsid w:val="004A1CB4"/>
    <w:rsid w:val="004A23F0"/>
    <w:rsid w:val="004A2CEF"/>
    <w:rsid w:val="004A3656"/>
    <w:rsid w:val="004A38CD"/>
    <w:rsid w:val="004A3923"/>
    <w:rsid w:val="004A461D"/>
    <w:rsid w:val="004A4BDC"/>
    <w:rsid w:val="004A5ACD"/>
    <w:rsid w:val="004A5B0E"/>
    <w:rsid w:val="004A6CF8"/>
    <w:rsid w:val="004A742F"/>
    <w:rsid w:val="004A7A38"/>
    <w:rsid w:val="004B031C"/>
    <w:rsid w:val="004B037B"/>
    <w:rsid w:val="004B04C9"/>
    <w:rsid w:val="004B077D"/>
    <w:rsid w:val="004B0BC5"/>
    <w:rsid w:val="004B1293"/>
    <w:rsid w:val="004B12A9"/>
    <w:rsid w:val="004B12AD"/>
    <w:rsid w:val="004B1959"/>
    <w:rsid w:val="004B1E35"/>
    <w:rsid w:val="004B38D8"/>
    <w:rsid w:val="004B3C44"/>
    <w:rsid w:val="004B41FA"/>
    <w:rsid w:val="004B4E0A"/>
    <w:rsid w:val="004B5272"/>
    <w:rsid w:val="004B5473"/>
    <w:rsid w:val="004B5C70"/>
    <w:rsid w:val="004B5FEA"/>
    <w:rsid w:val="004B62F9"/>
    <w:rsid w:val="004B6731"/>
    <w:rsid w:val="004B6814"/>
    <w:rsid w:val="004B708D"/>
    <w:rsid w:val="004B7188"/>
    <w:rsid w:val="004B7B55"/>
    <w:rsid w:val="004C0201"/>
    <w:rsid w:val="004C04C4"/>
    <w:rsid w:val="004C0B9D"/>
    <w:rsid w:val="004C0E61"/>
    <w:rsid w:val="004C0F72"/>
    <w:rsid w:val="004C1C82"/>
    <w:rsid w:val="004C2066"/>
    <w:rsid w:val="004C25FB"/>
    <w:rsid w:val="004C27DC"/>
    <w:rsid w:val="004C347D"/>
    <w:rsid w:val="004C42F4"/>
    <w:rsid w:val="004C50F5"/>
    <w:rsid w:val="004C54C3"/>
    <w:rsid w:val="004C63FE"/>
    <w:rsid w:val="004C698D"/>
    <w:rsid w:val="004C6D4E"/>
    <w:rsid w:val="004C71BC"/>
    <w:rsid w:val="004C7670"/>
    <w:rsid w:val="004D025D"/>
    <w:rsid w:val="004D05D0"/>
    <w:rsid w:val="004D094B"/>
    <w:rsid w:val="004D0E05"/>
    <w:rsid w:val="004D13B4"/>
    <w:rsid w:val="004D1997"/>
    <w:rsid w:val="004D1CC0"/>
    <w:rsid w:val="004D2E27"/>
    <w:rsid w:val="004D2F41"/>
    <w:rsid w:val="004D40F2"/>
    <w:rsid w:val="004D4590"/>
    <w:rsid w:val="004D46BF"/>
    <w:rsid w:val="004D4994"/>
    <w:rsid w:val="004D4D2F"/>
    <w:rsid w:val="004D51D7"/>
    <w:rsid w:val="004D616C"/>
    <w:rsid w:val="004D6566"/>
    <w:rsid w:val="004D6DFE"/>
    <w:rsid w:val="004D7B2A"/>
    <w:rsid w:val="004E030B"/>
    <w:rsid w:val="004E09BB"/>
    <w:rsid w:val="004E0B18"/>
    <w:rsid w:val="004E13BC"/>
    <w:rsid w:val="004E1D49"/>
    <w:rsid w:val="004E226A"/>
    <w:rsid w:val="004E3036"/>
    <w:rsid w:val="004E3BD1"/>
    <w:rsid w:val="004E41EE"/>
    <w:rsid w:val="004E4306"/>
    <w:rsid w:val="004E4340"/>
    <w:rsid w:val="004E44F7"/>
    <w:rsid w:val="004E45C0"/>
    <w:rsid w:val="004E4FF3"/>
    <w:rsid w:val="004E5365"/>
    <w:rsid w:val="004E5A7D"/>
    <w:rsid w:val="004E5E8D"/>
    <w:rsid w:val="004E61C2"/>
    <w:rsid w:val="004E61DD"/>
    <w:rsid w:val="004E62CC"/>
    <w:rsid w:val="004E6596"/>
    <w:rsid w:val="004E75EF"/>
    <w:rsid w:val="004F06B7"/>
    <w:rsid w:val="004F079F"/>
    <w:rsid w:val="004F10D4"/>
    <w:rsid w:val="004F25F9"/>
    <w:rsid w:val="004F2935"/>
    <w:rsid w:val="004F2FD4"/>
    <w:rsid w:val="004F3E00"/>
    <w:rsid w:val="004F45D3"/>
    <w:rsid w:val="004F604C"/>
    <w:rsid w:val="004F6773"/>
    <w:rsid w:val="004F6EF0"/>
    <w:rsid w:val="004F6F96"/>
    <w:rsid w:val="004F70C3"/>
    <w:rsid w:val="004F70CD"/>
    <w:rsid w:val="004F74A6"/>
    <w:rsid w:val="004F7D6A"/>
    <w:rsid w:val="0050053F"/>
    <w:rsid w:val="0050059A"/>
    <w:rsid w:val="005009E0"/>
    <w:rsid w:val="00500D97"/>
    <w:rsid w:val="005012C2"/>
    <w:rsid w:val="005016D3"/>
    <w:rsid w:val="005020E3"/>
    <w:rsid w:val="00502429"/>
    <w:rsid w:val="005027DF"/>
    <w:rsid w:val="00502DCA"/>
    <w:rsid w:val="00502E09"/>
    <w:rsid w:val="00502EFD"/>
    <w:rsid w:val="00502FBA"/>
    <w:rsid w:val="0050370D"/>
    <w:rsid w:val="0050479A"/>
    <w:rsid w:val="00505463"/>
    <w:rsid w:val="005063DD"/>
    <w:rsid w:val="00506868"/>
    <w:rsid w:val="00506B11"/>
    <w:rsid w:val="00506BAA"/>
    <w:rsid w:val="00506D4E"/>
    <w:rsid w:val="00507D87"/>
    <w:rsid w:val="00510F87"/>
    <w:rsid w:val="00511132"/>
    <w:rsid w:val="0051146A"/>
    <w:rsid w:val="00511FC5"/>
    <w:rsid w:val="005123E9"/>
    <w:rsid w:val="00512566"/>
    <w:rsid w:val="00512B31"/>
    <w:rsid w:val="00513100"/>
    <w:rsid w:val="00513177"/>
    <w:rsid w:val="00513300"/>
    <w:rsid w:val="005135DA"/>
    <w:rsid w:val="00513EC2"/>
    <w:rsid w:val="00514223"/>
    <w:rsid w:val="005143E8"/>
    <w:rsid w:val="00514613"/>
    <w:rsid w:val="00514907"/>
    <w:rsid w:val="00514D2A"/>
    <w:rsid w:val="005150C8"/>
    <w:rsid w:val="0051564D"/>
    <w:rsid w:val="005158A8"/>
    <w:rsid w:val="00515956"/>
    <w:rsid w:val="00516927"/>
    <w:rsid w:val="00516AC2"/>
    <w:rsid w:val="00517171"/>
    <w:rsid w:val="00517462"/>
    <w:rsid w:val="00517CE8"/>
    <w:rsid w:val="0052008C"/>
    <w:rsid w:val="0052035C"/>
    <w:rsid w:val="00520558"/>
    <w:rsid w:val="00520886"/>
    <w:rsid w:val="00520E51"/>
    <w:rsid w:val="0052107F"/>
    <w:rsid w:val="005214A7"/>
    <w:rsid w:val="00521594"/>
    <w:rsid w:val="0052232C"/>
    <w:rsid w:val="00522542"/>
    <w:rsid w:val="005227C1"/>
    <w:rsid w:val="0052301B"/>
    <w:rsid w:val="00523EA8"/>
    <w:rsid w:val="0052406E"/>
    <w:rsid w:val="00524947"/>
    <w:rsid w:val="00524D3C"/>
    <w:rsid w:val="005250BD"/>
    <w:rsid w:val="00525396"/>
    <w:rsid w:val="00525488"/>
    <w:rsid w:val="00525E0D"/>
    <w:rsid w:val="00525E88"/>
    <w:rsid w:val="005261A2"/>
    <w:rsid w:val="005265B4"/>
    <w:rsid w:val="00526806"/>
    <w:rsid w:val="00527718"/>
    <w:rsid w:val="00527D0F"/>
    <w:rsid w:val="005300B0"/>
    <w:rsid w:val="00530A0E"/>
    <w:rsid w:val="00530C8F"/>
    <w:rsid w:val="005321FE"/>
    <w:rsid w:val="0053236E"/>
    <w:rsid w:val="0053277D"/>
    <w:rsid w:val="0053289E"/>
    <w:rsid w:val="005328D4"/>
    <w:rsid w:val="0053296A"/>
    <w:rsid w:val="00532A46"/>
    <w:rsid w:val="00532DE7"/>
    <w:rsid w:val="00533243"/>
    <w:rsid w:val="005333FA"/>
    <w:rsid w:val="005336A1"/>
    <w:rsid w:val="00533D6E"/>
    <w:rsid w:val="005342EC"/>
    <w:rsid w:val="00534936"/>
    <w:rsid w:val="00534BCB"/>
    <w:rsid w:val="00535171"/>
    <w:rsid w:val="005357FA"/>
    <w:rsid w:val="00535C18"/>
    <w:rsid w:val="00535C82"/>
    <w:rsid w:val="00535F6A"/>
    <w:rsid w:val="00536692"/>
    <w:rsid w:val="00536739"/>
    <w:rsid w:val="005369E1"/>
    <w:rsid w:val="00536A1A"/>
    <w:rsid w:val="00536CBA"/>
    <w:rsid w:val="00537662"/>
    <w:rsid w:val="00537926"/>
    <w:rsid w:val="00540383"/>
    <w:rsid w:val="005407C2"/>
    <w:rsid w:val="00540B60"/>
    <w:rsid w:val="00541685"/>
    <w:rsid w:val="00541D95"/>
    <w:rsid w:val="00541F86"/>
    <w:rsid w:val="0054201E"/>
    <w:rsid w:val="00542C91"/>
    <w:rsid w:val="00543603"/>
    <w:rsid w:val="00543B99"/>
    <w:rsid w:val="00544A46"/>
    <w:rsid w:val="00544CAA"/>
    <w:rsid w:val="00544F31"/>
    <w:rsid w:val="00545DB3"/>
    <w:rsid w:val="00546086"/>
    <w:rsid w:val="00546342"/>
    <w:rsid w:val="00546537"/>
    <w:rsid w:val="00547558"/>
    <w:rsid w:val="00547D17"/>
    <w:rsid w:val="00547DB4"/>
    <w:rsid w:val="00550A08"/>
    <w:rsid w:val="005510AD"/>
    <w:rsid w:val="00551528"/>
    <w:rsid w:val="0055177B"/>
    <w:rsid w:val="00551AD9"/>
    <w:rsid w:val="005526E5"/>
    <w:rsid w:val="00552BC9"/>
    <w:rsid w:val="0055439F"/>
    <w:rsid w:val="00554462"/>
    <w:rsid w:val="00554623"/>
    <w:rsid w:val="005549F6"/>
    <w:rsid w:val="00554D73"/>
    <w:rsid w:val="00554DBB"/>
    <w:rsid w:val="00554E68"/>
    <w:rsid w:val="00555BE2"/>
    <w:rsid w:val="00555EC2"/>
    <w:rsid w:val="00556587"/>
    <w:rsid w:val="005569F0"/>
    <w:rsid w:val="00556F06"/>
    <w:rsid w:val="0055731D"/>
    <w:rsid w:val="00557BDC"/>
    <w:rsid w:val="00557D60"/>
    <w:rsid w:val="00561947"/>
    <w:rsid w:val="005623D1"/>
    <w:rsid w:val="00562C21"/>
    <w:rsid w:val="0056301D"/>
    <w:rsid w:val="00563281"/>
    <w:rsid w:val="00563CF4"/>
    <w:rsid w:val="0056402A"/>
    <w:rsid w:val="00564ACD"/>
    <w:rsid w:val="00564DDE"/>
    <w:rsid w:val="00565B4C"/>
    <w:rsid w:val="00565CDC"/>
    <w:rsid w:val="005664D5"/>
    <w:rsid w:val="00566620"/>
    <w:rsid w:val="0056677E"/>
    <w:rsid w:val="00566FD0"/>
    <w:rsid w:val="00567533"/>
    <w:rsid w:val="00567AB6"/>
    <w:rsid w:val="00567DB2"/>
    <w:rsid w:val="00570D87"/>
    <w:rsid w:val="00571346"/>
    <w:rsid w:val="00571D61"/>
    <w:rsid w:val="00571FB3"/>
    <w:rsid w:val="005721C1"/>
    <w:rsid w:val="00572267"/>
    <w:rsid w:val="00572747"/>
    <w:rsid w:val="00573199"/>
    <w:rsid w:val="005739CA"/>
    <w:rsid w:val="00574BD0"/>
    <w:rsid w:val="005756BE"/>
    <w:rsid w:val="005756C6"/>
    <w:rsid w:val="005756D6"/>
    <w:rsid w:val="00575B07"/>
    <w:rsid w:val="00575B3D"/>
    <w:rsid w:val="00576E7E"/>
    <w:rsid w:val="00577CA0"/>
    <w:rsid w:val="00577D6C"/>
    <w:rsid w:val="00577F22"/>
    <w:rsid w:val="0058086E"/>
    <w:rsid w:val="00581B36"/>
    <w:rsid w:val="00581EC2"/>
    <w:rsid w:val="005828CE"/>
    <w:rsid w:val="005833C0"/>
    <w:rsid w:val="00584CA9"/>
    <w:rsid w:val="00584CC7"/>
    <w:rsid w:val="005858E4"/>
    <w:rsid w:val="00585985"/>
    <w:rsid w:val="00585C69"/>
    <w:rsid w:val="00585CCB"/>
    <w:rsid w:val="00586B2F"/>
    <w:rsid w:val="00586E01"/>
    <w:rsid w:val="00587629"/>
    <w:rsid w:val="0058776A"/>
    <w:rsid w:val="005878A1"/>
    <w:rsid w:val="00587F00"/>
    <w:rsid w:val="005903B9"/>
    <w:rsid w:val="005905B0"/>
    <w:rsid w:val="00590718"/>
    <w:rsid w:val="005908CF"/>
    <w:rsid w:val="005909E2"/>
    <w:rsid w:val="00591501"/>
    <w:rsid w:val="0059187C"/>
    <w:rsid w:val="00591B23"/>
    <w:rsid w:val="0059221E"/>
    <w:rsid w:val="0059294B"/>
    <w:rsid w:val="00593A03"/>
    <w:rsid w:val="00594165"/>
    <w:rsid w:val="00594D8C"/>
    <w:rsid w:val="00594E5C"/>
    <w:rsid w:val="00595216"/>
    <w:rsid w:val="005952AE"/>
    <w:rsid w:val="005955C4"/>
    <w:rsid w:val="00595B6C"/>
    <w:rsid w:val="00595D98"/>
    <w:rsid w:val="00595FF3"/>
    <w:rsid w:val="00596061"/>
    <w:rsid w:val="005962A2"/>
    <w:rsid w:val="0059715E"/>
    <w:rsid w:val="00597489"/>
    <w:rsid w:val="0059762D"/>
    <w:rsid w:val="005A02AC"/>
    <w:rsid w:val="005A03F1"/>
    <w:rsid w:val="005A09DE"/>
    <w:rsid w:val="005A0BB2"/>
    <w:rsid w:val="005A1A4D"/>
    <w:rsid w:val="005A2229"/>
    <w:rsid w:val="005A237E"/>
    <w:rsid w:val="005A2A1D"/>
    <w:rsid w:val="005A32FD"/>
    <w:rsid w:val="005A347F"/>
    <w:rsid w:val="005A3563"/>
    <w:rsid w:val="005A35BE"/>
    <w:rsid w:val="005A3CC1"/>
    <w:rsid w:val="005A41D3"/>
    <w:rsid w:val="005A440E"/>
    <w:rsid w:val="005A4607"/>
    <w:rsid w:val="005A46B9"/>
    <w:rsid w:val="005A4E13"/>
    <w:rsid w:val="005A4EA7"/>
    <w:rsid w:val="005A56E3"/>
    <w:rsid w:val="005A5B6B"/>
    <w:rsid w:val="005A5BE8"/>
    <w:rsid w:val="005A64F5"/>
    <w:rsid w:val="005A6C92"/>
    <w:rsid w:val="005A74F3"/>
    <w:rsid w:val="005A76C0"/>
    <w:rsid w:val="005A7B19"/>
    <w:rsid w:val="005A7B28"/>
    <w:rsid w:val="005A7B3C"/>
    <w:rsid w:val="005A7B8E"/>
    <w:rsid w:val="005A7CA0"/>
    <w:rsid w:val="005B00CA"/>
    <w:rsid w:val="005B08BA"/>
    <w:rsid w:val="005B090C"/>
    <w:rsid w:val="005B0991"/>
    <w:rsid w:val="005B0E56"/>
    <w:rsid w:val="005B1187"/>
    <w:rsid w:val="005B1396"/>
    <w:rsid w:val="005B13AF"/>
    <w:rsid w:val="005B1B12"/>
    <w:rsid w:val="005B1CBF"/>
    <w:rsid w:val="005B20DE"/>
    <w:rsid w:val="005B2740"/>
    <w:rsid w:val="005B41D9"/>
    <w:rsid w:val="005B423B"/>
    <w:rsid w:val="005B4E5F"/>
    <w:rsid w:val="005B57DD"/>
    <w:rsid w:val="005B5949"/>
    <w:rsid w:val="005B7141"/>
    <w:rsid w:val="005B744A"/>
    <w:rsid w:val="005B76BC"/>
    <w:rsid w:val="005C0445"/>
    <w:rsid w:val="005C0D29"/>
    <w:rsid w:val="005C1BC9"/>
    <w:rsid w:val="005C2594"/>
    <w:rsid w:val="005C2633"/>
    <w:rsid w:val="005C32E5"/>
    <w:rsid w:val="005C3F17"/>
    <w:rsid w:val="005C49FC"/>
    <w:rsid w:val="005C51A4"/>
    <w:rsid w:val="005C5ABF"/>
    <w:rsid w:val="005C5B4D"/>
    <w:rsid w:val="005C5E82"/>
    <w:rsid w:val="005C67A7"/>
    <w:rsid w:val="005C685A"/>
    <w:rsid w:val="005C7553"/>
    <w:rsid w:val="005C78F4"/>
    <w:rsid w:val="005D00E1"/>
    <w:rsid w:val="005D02D8"/>
    <w:rsid w:val="005D0A2C"/>
    <w:rsid w:val="005D0B07"/>
    <w:rsid w:val="005D0C93"/>
    <w:rsid w:val="005D0C9B"/>
    <w:rsid w:val="005D0D88"/>
    <w:rsid w:val="005D0E61"/>
    <w:rsid w:val="005D0F72"/>
    <w:rsid w:val="005D1958"/>
    <w:rsid w:val="005D1ABB"/>
    <w:rsid w:val="005D2400"/>
    <w:rsid w:val="005D339C"/>
    <w:rsid w:val="005D4767"/>
    <w:rsid w:val="005D4C59"/>
    <w:rsid w:val="005D51DE"/>
    <w:rsid w:val="005D53FE"/>
    <w:rsid w:val="005D54F3"/>
    <w:rsid w:val="005D5560"/>
    <w:rsid w:val="005D58E2"/>
    <w:rsid w:val="005D6128"/>
    <w:rsid w:val="005D61D9"/>
    <w:rsid w:val="005D6744"/>
    <w:rsid w:val="005D6E2C"/>
    <w:rsid w:val="005D768F"/>
    <w:rsid w:val="005D7DA4"/>
    <w:rsid w:val="005E0076"/>
    <w:rsid w:val="005E07AA"/>
    <w:rsid w:val="005E1C94"/>
    <w:rsid w:val="005E1EAC"/>
    <w:rsid w:val="005E202C"/>
    <w:rsid w:val="005E2944"/>
    <w:rsid w:val="005E39CD"/>
    <w:rsid w:val="005E3E2A"/>
    <w:rsid w:val="005E4BAD"/>
    <w:rsid w:val="005E5804"/>
    <w:rsid w:val="005E5ED8"/>
    <w:rsid w:val="005E63AD"/>
    <w:rsid w:val="005E64D3"/>
    <w:rsid w:val="005E64FB"/>
    <w:rsid w:val="005E69D7"/>
    <w:rsid w:val="005E6F6E"/>
    <w:rsid w:val="005E715A"/>
    <w:rsid w:val="005E738A"/>
    <w:rsid w:val="005F0352"/>
    <w:rsid w:val="005F0657"/>
    <w:rsid w:val="005F0997"/>
    <w:rsid w:val="005F18E7"/>
    <w:rsid w:val="005F20C1"/>
    <w:rsid w:val="005F377D"/>
    <w:rsid w:val="005F45C9"/>
    <w:rsid w:val="005F4803"/>
    <w:rsid w:val="005F5D72"/>
    <w:rsid w:val="005F5DED"/>
    <w:rsid w:val="005F5EA5"/>
    <w:rsid w:val="005F6B1D"/>
    <w:rsid w:val="005F6CFD"/>
    <w:rsid w:val="005F714D"/>
    <w:rsid w:val="005F7807"/>
    <w:rsid w:val="00600F16"/>
    <w:rsid w:val="00600F20"/>
    <w:rsid w:val="006014C4"/>
    <w:rsid w:val="00601A1C"/>
    <w:rsid w:val="0060419A"/>
    <w:rsid w:val="006041CF"/>
    <w:rsid w:val="00604B15"/>
    <w:rsid w:val="00604D71"/>
    <w:rsid w:val="00605945"/>
    <w:rsid w:val="006059FE"/>
    <w:rsid w:val="00605D31"/>
    <w:rsid w:val="006061CA"/>
    <w:rsid w:val="006067D5"/>
    <w:rsid w:val="0060712F"/>
    <w:rsid w:val="00607CE7"/>
    <w:rsid w:val="00610137"/>
    <w:rsid w:val="006103AC"/>
    <w:rsid w:val="006104D4"/>
    <w:rsid w:val="006109AB"/>
    <w:rsid w:val="00610AEC"/>
    <w:rsid w:val="00610C1D"/>
    <w:rsid w:val="00610F09"/>
    <w:rsid w:val="00611390"/>
    <w:rsid w:val="00611C5E"/>
    <w:rsid w:val="00612487"/>
    <w:rsid w:val="006128E1"/>
    <w:rsid w:val="00613162"/>
    <w:rsid w:val="00613934"/>
    <w:rsid w:val="00613FA7"/>
    <w:rsid w:val="00614753"/>
    <w:rsid w:val="006148C9"/>
    <w:rsid w:val="00615013"/>
    <w:rsid w:val="00615245"/>
    <w:rsid w:val="0061525D"/>
    <w:rsid w:val="0061586E"/>
    <w:rsid w:val="006160AF"/>
    <w:rsid w:val="006162A4"/>
    <w:rsid w:val="00616E9B"/>
    <w:rsid w:val="00617699"/>
    <w:rsid w:val="00617AC9"/>
    <w:rsid w:val="00620556"/>
    <w:rsid w:val="00620814"/>
    <w:rsid w:val="00620A65"/>
    <w:rsid w:val="00620C68"/>
    <w:rsid w:val="0062107E"/>
    <w:rsid w:val="00621CF3"/>
    <w:rsid w:val="00621DC3"/>
    <w:rsid w:val="0062261E"/>
    <w:rsid w:val="00622C69"/>
    <w:rsid w:val="00622D86"/>
    <w:rsid w:val="00623149"/>
    <w:rsid w:val="00623682"/>
    <w:rsid w:val="00623E27"/>
    <w:rsid w:val="00624016"/>
    <w:rsid w:val="00624388"/>
    <w:rsid w:val="00624510"/>
    <w:rsid w:val="00624AD1"/>
    <w:rsid w:val="006255DD"/>
    <w:rsid w:val="00625645"/>
    <w:rsid w:val="006259E5"/>
    <w:rsid w:val="00625BEC"/>
    <w:rsid w:val="00625C83"/>
    <w:rsid w:val="00625F58"/>
    <w:rsid w:val="0062691B"/>
    <w:rsid w:val="00626B3C"/>
    <w:rsid w:val="00626EB4"/>
    <w:rsid w:val="00627F0C"/>
    <w:rsid w:val="00630BE5"/>
    <w:rsid w:val="00630C0D"/>
    <w:rsid w:val="00630DC6"/>
    <w:rsid w:val="006311B4"/>
    <w:rsid w:val="00632461"/>
    <w:rsid w:val="00632C31"/>
    <w:rsid w:val="00632DAC"/>
    <w:rsid w:val="00633286"/>
    <w:rsid w:val="0063378C"/>
    <w:rsid w:val="0063431B"/>
    <w:rsid w:val="006355D9"/>
    <w:rsid w:val="00635E07"/>
    <w:rsid w:val="00636149"/>
    <w:rsid w:val="00637178"/>
    <w:rsid w:val="0063773D"/>
    <w:rsid w:val="00640AB1"/>
    <w:rsid w:val="00640F3A"/>
    <w:rsid w:val="00641447"/>
    <w:rsid w:val="006421E5"/>
    <w:rsid w:val="006425D9"/>
    <w:rsid w:val="00642BAE"/>
    <w:rsid w:val="0064332B"/>
    <w:rsid w:val="006433F6"/>
    <w:rsid w:val="006437BA"/>
    <w:rsid w:val="00644E2A"/>
    <w:rsid w:val="00644E35"/>
    <w:rsid w:val="00645147"/>
    <w:rsid w:val="00645325"/>
    <w:rsid w:val="00645509"/>
    <w:rsid w:val="0064723D"/>
    <w:rsid w:val="00647B2F"/>
    <w:rsid w:val="0065003E"/>
    <w:rsid w:val="00650688"/>
    <w:rsid w:val="00651837"/>
    <w:rsid w:val="00651D84"/>
    <w:rsid w:val="006520A4"/>
    <w:rsid w:val="00652D1A"/>
    <w:rsid w:val="00653774"/>
    <w:rsid w:val="00653785"/>
    <w:rsid w:val="00654E29"/>
    <w:rsid w:val="00654FAE"/>
    <w:rsid w:val="00654FD9"/>
    <w:rsid w:val="00655856"/>
    <w:rsid w:val="00655B60"/>
    <w:rsid w:val="00656272"/>
    <w:rsid w:val="006566AB"/>
    <w:rsid w:val="006567A1"/>
    <w:rsid w:val="0065689B"/>
    <w:rsid w:val="00656CCE"/>
    <w:rsid w:val="00657134"/>
    <w:rsid w:val="00657274"/>
    <w:rsid w:val="00657541"/>
    <w:rsid w:val="00657D57"/>
    <w:rsid w:val="0066016C"/>
    <w:rsid w:val="00660517"/>
    <w:rsid w:val="00661405"/>
    <w:rsid w:val="006616EB"/>
    <w:rsid w:val="00661E5F"/>
    <w:rsid w:val="00661F56"/>
    <w:rsid w:val="00662385"/>
    <w:rsid w:val="0066250C"/>
    <w:rsid w:val="00662A5D"/>
    <w:rsid w:val="0066330A"/>
    <w:rsid w:val="006636D3"/>
    <w:rsid w:val="006638D1"/>
    <w:rsid w:val="00663CCB"/>
    <w:rsid w:val="006646AF"/>
    <w:rsid w:val="00664976"/>
    <w:rsid w:val="00666250"/>
    <w:rsid w:val="00666805"/>
    <w:rsid w:val="00667018"/>
    <w:rsid w:val="00667134"/>
    <w:rsid w:val="00667D0D"/>
    <w:rsid w:val="006711C1"/>
    <w:rsid w:val="006713AC"/>
    <w:rsid w:val="0067172F"/>
    <w:rsid w:val="00671E20"/>
    <w:rsid w:val="00672181"/>
    <w:rsid w:val="00672312"/>
    <w:rsid w:val="00672E6B"/>
    <w:rsid w:val="0067366B"/>
    <w:rsid w:val="00673D0B"/>
    <w:rsid w:val="00673E65"/>
    <w:rsid w:val="00673F14"/>
    <w:rsid w:val="006744AA"/>
    <w:rsid w:val="0067469A"/>
    <w:rsid w:val="006747E0"/>
    <w:rsid w:val="00674DAF"/>
    <w:rsid w:val="00676210"/>
    <w:rsid w:val="00676573"/>
    <w:rsid w:val="00676B16"/>
    <w:rsid w:val="00676FB0"/>
    <w:rsid w:val="00677047"/>
    <w:rsid w:val="00677077"/>
    <w:rsid w:val="00677233"/>
    <w:rsid w:val="00677256"/>
    <w:rsid w:val="006777BD"/>
    <w:rsid w:val="00677A0A"/>
    <w:rsid w:val="00677A77"/>
    <w:rsid w:val="00677D8A"/>
    <w:rsid w:val="00680B46"/>
    <w:rsid w:val="00680F36"/>
    <w:rsid w:val="006811ED"/>
    <w:rsid w:val="00681822"/>
    <w:rsid w:val="00681D85"/>
    <w:rsid w:val="0068286E"/>
    <w:rsid w:val="006837F5"/>
    <w:rsid w:val="00684098"/>
    <w:rsid w:val="00684975"/>
    <w:rsid w:val="00684B0F"/>
    <w:rsid w:val="00684F44"/>
    <w:rsid w:val="006850ED"/>
    <w:rsid w:val="006853F2"/>
    <w:rsid w:val="006858E1"/>
    <w:rsid w:val="00685E3F"/>
    <w:rsid w:val="0068699C"/>
    <w:rsid w:val="00686D17"/>
    <w:rsid w:val="00687088"/>
    <w:rsid w:val="006875B0"/>
    <w:rsid w:val="00687C1D"/>
    <w:rsid w:val="00690EF5"/>
    <w:rsid w:val="00692096"/>
    <w:rsid w:val="00692CC3"/>
    <w:rsid w:val="006935C3"/>
    <w:rsid w:val="00693D52"/>
    <w:rsid w:val="00693DC0"/>
    <w:rsid w:val="006944AD"/>
    <w:rsid w:val="006944B5"/>
    <w:rsid w:val="0069470F"/>
    <w:rsid w:val="00694B14"/>
    <w:rsid w:val="00694C5B"/>
    <w:rsid w:val="00694FB1"/>
    <w:rsid w:val="006965F3"/>
    <w:rsid w:val="006967CC"/>
    <w:rsid w:val="0069795F"/>
    <w:rsid w:val="00697DCD"/>
    <w:rsid w:val="00697E16"/>
    <w:rsid w:val="006A0349"/>
    <w:rsid w:val="006A0D27"/>
    <w:rsid w:val="006A112E"/>
    <w:rsid w:val="006A19C1"/>
    <w:rsid w:val="006A20D3"/>
    <w:rsid w:val="006A2C24"/>
    <w:rsid w:val="006A2D98"/>
    <w:rsid w:val="006A2DD1"/>
    <w:rsid w:val="006A4A5E"/>
    <w:rsid w:val="006A62AD"/>
    <w:rsid w:val="006A633F"/>
    <w:rsid w:val="006A65AB"/>
    <w:rsid w:val="006A664E"/>
    <w:rsid w:val="006A6977"/>
    <w:rsid w:val="006A742B"/>
    <w:rsid w:val="006A7685"/>
    <w:rsid w:val="006A7A68"/>
    <w:rsid w:val="006A7BD9"/>
    <w:rsid w:val="006B0096"/>
    <w:rsid w:val="006B0176"/>
    <w:rsid w:val="006B036B"/>
    <w:rsid w:val="006B0DD7"/>
    <w:rsid w:val="006B139C"/>
    <w:rsid w:val="006B17D7"/>
    <w:rsid w:val="006B1B98"/>
    <w:rsid w:val="006B1EFE"/>
    <w:rsid w:val="006B2089"/>
    <w:rsid w:val="006B2258"/>
    <w:rsid w:val="006B22C3"/>
    <w:rsid w:val="006B2DC4"/>
    <w:rsid w:val="006B3280"/>
    <w:rsid w:val="006B3948"/>
    <w:rsid w:val="006B40B8"/>
    <w:rsid w:val="006B4830"/>
    <w:rsid w:val="006B4D01"/>
    <w:rsid w:val="006B51F7"/>
    <w:rsid w:val="006B5D86"/>
    <w:rsid w:val="006B5EAD"/>
    <w:rsid w:val="006B5EE8"/>
    <w:rsid w:val="006B6345"/>
    <w:rsid w:val="006B69B2"/>
    <w:rsid w:val="006B7095"/>
    <w:rsid w:val="006B72D8"/>
    <w:rsid w:val="006B736D"/>
    <w:rsid w:val="006B764B"/>
    <w:rsid w:val="006B7FAD"/>
    <w:rsid w:val="006C188F"/>
    <w:rsid w:val="006C1B5B"/>
    <w:rsid w:val="006C1C25"/>
    <w:rsid w:val="006C1FB6"/>
    <w:rsid w:val="006C39C3"/>
    <w:rsid w:val="006C3EC6"/>
    <w:rsid w:val="006C44DF"/>
    <w:rsid w:val="006C4D8A"/>
    <w:rsid w:val="006C4DFB"/>
    <w:rsid w:val="006C4EDA"/>
    <w:rsid w:val="006C52E4"/>
    <w:rsid w:val="006C5635"/>
    <w:rsid w:val="006C592A"/>
    <w:rsid w:val="006C5EBF"/>
    <w:rsid w:val="006C63DD"/>
    <w:rsid w:val="006C7159"/>
    <w:rsid w:val="006D00B3"/>
    <w:rsid w:val="006D061F"/>
    <w:rsid w:val="006D0934"/>
    <w:rsid w:val="006D1336"/>
    <w:rsid w:val="006D17CA"/>
    <w:rsid w:val="006D2520"/>
    <w:rsid w:val="006D2A73"/>
    <w:rsid w:val="006D30BC"/>
    <w:rsid w:val="006D3326"/>
    <w:rsid w:val="006D49C2"/>
    <w:rsid w:val="006D540A"/>
    <w:rsid w:val="006D5846"/>
    <w:rsid w:val="006D5E0B"/>
    <w:rsid w:val="006D6239"/>
    <w:rsid w:val="006D6610"/>
    <w:rsid w:val="006D6626"/>
    <w:rsid w:val="006D6648"/>
    <w:rsid w:val="006D7B64"/>
    <w:rsid w:val="006E002F"/>
    <w:rsid w:val="006E00AA"/>
    <w:rsid w:val="006E112A"/>
    <w:rsid w:val="006E120D"/>
    <w:rsid w:val="006E1394"/>
    <w:rsid w:val="006E1605"/>
    <w:rsid w:val="006E1877"/>
    <w:rsid w:val="006E1A10"/>
    <w:rsid w:val="006E1A58"/>
    <w:rsid w:val="006E29BB"/>
    <w:rsid w:val="006E2CC9"/>
    <w:rsid w:val="006E36E8"/>
    <w:rsid w:val="006E3C9D"/>
    <w:rsid w:val="006E3F05"/>
    <w:rsid w:val="006E42B6"/>
    <w:rsid w:val="006E46AE"/>
    <w:rsid w:val="006E47B1"/>
    <w:rsid w:val="006E4A8F"/>
    <w:rsid w:val="006E4B0B"/>
    <w:rsid w:val="006E6193"/>
    <w:rsid w:val="006E6665"/>
    <w:rsid w:val="006E6F56"/>
    <w:rsid w:val="006E70E0"/>
    <w:rsid w:val="006E7442"/>
    <w:rsid w:val="006E7541"/>
    <w:rsid w:val="006E769C"/>
    <w:rsid w:val="006E7723"/>
    <w:rsid w:val="006E7C11"/>
    <w:rsid w:val="006F0026"/>
    <w:rsid w:val="006F0199"/>
    <w:rsid w:val="006F07B0"/>
    <w:rsid w:val="006F1000"/>
    <w:rsid w:val="006F1838"/>
    <w:rsid w:val="006F1F9D"/>
    <w:rsid w:val="006F1FED"/>
    <w:rsid w:val="006F2587"/>
    <w:rsid w:val="006F2743"/>
    <w:rsid w:val="006F329E"/>
    <w:rsid w:val="006F3C93"/>
    <w:rsid w:val="006F4599"/>
    <w:rsid w:val="006F4FBE"/>
    <w:rsid w:val="006F5480"/>
    <w:rsid w:val="006F5A5C"/>
    <w:rsid w:val="006F5CD1"/>
    <w:rsid w:val="007007FB"/>
    <w:rsid w:val="00700EC7"/>
    <w:rsid w:val="00700EE5"/>
    <w:rsid w:val="007011E6"/>
    <w:rsid w:val="007014E4"/>
    <w:rsid w:val="00701943"/>
    <w:rsid w:val="007029B5"/>
    <w:rsid w:val="00703B83"/>
    <w:rsid w:val="00703CFE"/>
    <w:rsid w:val="00703D42"/>
    <w:rsid w:val="00703FE4"/>
    <w:rsid w:val="00704CAB"/>
    <w:rsid w:val="00704CCE"/>
    <w:rsid w:val="00704DFE"/>
    <w:rsid w:val="00704F01"/>
    <w:rsid w:val="00705553"/>
    <w:rsid w:val="007055F1"/>
    <w:rsid w:val="007057DE"/>
    <w:rsid w:val="00706585"/>
    <w:rsid w:val="0070695B"/>
    <w:rsid w:val="007078CA"/>
    <w:rsid w:val="0071030C"/>
    <w:rsid w:val="00710E27"/>
    <w:rsid w:val="007116B9"/>
    <w:rsid w:val="00711821"/>
    <w:rsid w:val="00712312"/>
    <w:rsid w:val="00712623"/>
    <w:rsid w:val="00712720"/>
    <w:rsid w:val="0071348D"/>
    <w:rsid w:val="0071397B"/>
    <w:rsid w:val="00713B85"/>
    <w:rsid w:val="00714C72"/>
    <w:rsid w:val="0071535E"/>
    <w:rsid w:val="0071541F"/>
    <w:rsid w:val="00715486"/>
    <w:rsid w:val="00716147"/>
    <w:rsid w:val="007167E9"/>
    <w:rsid w:val="00716F6B"/>
    <w:rsid w:val="00717241"/>
    <w:rsid w:val="00717E0A"/>
    <w:rsid w:val="00720B14"/>
    <w:rsid w:val="00720BDF"/>
    <w:rsid w:val="00721C54"/>
    <w:rsid w:val="00721D72"/>
    <w:rsid w:val="00721E5A"/>
    <w:rsid w:val="00722353"/>
    <w:rsid w:val="00722A2F"/>
    <w:rsid w:val="00722A9B"/>
    <w:rsid w:val="007233C0"/>
    <w:rsid w:val="007234F2"/>
    <w:rsid w:val="00723556"/>
    <w:rsid w:val="007236E4"/>
    <w:rsid w:val="00723C99"/>
    <w:rsid w:val="00724BAE"/>
    <w:rsid w:val="00724DE6"/>
    <w:rsid w:val="007258A3"/>
    <w:rsid w:val="00725961"/>
    <w:rsid w:val="00726443"/>
    <w:rsid w:val="007269A1"/>
    <w:rsid w:val="00726B0B"/>
    <w:rsid w:val="007272BB"/>
    <w:rsid w:val="007273A2"/>
    <w:rsid w:val="00727846"/>
    <w:rsid w:val="00727BBC"/>
    <w:rsid w:val="00727CA6"/>
    <w:rsid w:val="00730447"/>
    <w:rsid w:val="00730462"/>
    <w:rsid w:val="00730BFA"/>
    <w:rsid w:val="00730E30"/>
    <w:rsid w:val="00730E9C"/>
    <w:rsid w:val="0073150F"/>
    <w:rsid w:val="00731537"/>
    <w:rsid w:val="00731B34"/>
    <w:rsid w:val="00731F90"/>
    <w:rsid w:val="00731FEB"/>
    <w:rsid w:val="007324FC"/>
    <w:rsid w:val="00732ABD"/>
    <w:rsid w:val="00732D21"/>
    <w:rsid w:val="007332E9"/>
    <w:rsid w:val="007335C3"/>
    <w:rsid w:val="00734796"/>
    <w:rsid w:val="00736635"/>
    <w:rsid w:val="00737263"/>
    <w:rsid w:val="007372F3"/>
    <w:rsid w:val="0074036E"/>
    <w:rsid w:val="007405DA"/>
    <w:rsid w:val="00740C31"/>
    <w:rsid w:val="00740C6B"/>
    <w:rsid w:val="00740E22"/>
    <w:rsid w:val="00741A8B"/>
    <w:rsid w:val="00742AC3"/>
    <w:rsid w:val="00742BEB"/>
    <w:rsid w:val="007434AF"/>
    <w:rsid w:val="0074369F"/>
    <w:rsid w:val="007439C3"/>
    <w:rsid w:val="00743C6A"/>
    <w:rsid w:val="0074403D"/>
    <w:rsid w:val="007441F1"/>
    <w:rsid w:val="0074437D"/>
    <w:rsid w:val="00744436"/>
    <w:rsid w:val="007445EB"/>
    <w:rsid w:val="00744CCB"/>
    <w:rsid w:val="00744F8A"/>
    <w:rsid w:val="007453A3"/>
    <w:rsid w:val="00745514"/>
    <w:rsid w:val="007476AD"/>
    <w:rsid w:val="00747B09"/>
    <w:rsid w:val="00747E0A"/>
    <w:rsid w:val="00750BDE"/>
    <w:rsid w:val="00750E99"/>
    <w:rsid w:val="007514E5"/>
    <w:rsid w:val="0075173E"/>
    <w:rsid w:val="00751832"/>
    <w:rsid w:val="00752175"/>
    <w:rsid w:val="00754672"/>
    <w:rsid w:val="00755329"/>
    <w:rsid w:val="00755368"/>
    <w:rsid w:val="00755570"/>
    <w:rsid w:val="007555F3"/>
    <w:rsid w:val="007556BF"/>
    <w:rsid w:val="0075592F"/>
    <w:rsid w:val="00755A6D"/>
    <w:rsid w:val="00755B26"/>
    <w:rsid w:val="00755BAE"/>
    <w:rsid w:val="00755C67"/>
    <w:rsid w:val="00755CA9"/>
    <w:rsid w:val="00756540"/>
    <w:rsid w:val="007567EA"/>
    <w:rsid w:val="00756DA4"/>
    <w:rsid w:val="00757C50"/>
    <w:rsid w:val="00760701"/>
    <w:rsid w:val="00760CEC"/>
    <w:rsid w:val="007613F3"/>
    <w:rsid w:val="00761791"/>
    <w:rsid w:val="00762BDE"/>
    <w:rsid w:val="00762ED7"/>
    <w:rsid w:val="00762FD8"/>
    <w:rsid w:val="007637FC"/>
    <w:rsid w:val="0076399C"/>
    <w:rsid w:val="0076442D"/>
    <w:rsid w:val="007647C6"/>
    <w:rsid w:val="00765272"/>
    <w:rsid w:val="00766C7B"/>
    <w:rsid w:val="00766CFD"/>
    <w:rsid w:val="00767853"/>
    <w:rsid w:val="00767B83"/>
    <w:rsid w:val="00767D88"/>
    <w:rsid w:val="00767E9F"/>
    <w:rsid w:val="00767EB0"/>
    <w:rsid w:val="00770711"/>
    <w:rsid w:val="00770E57"/>
    <w:rsid w:val="0077114C"/>
    <w:rsid w:val="007713C0"/>
    <w:rsid w:val="00771A2B"/>
    <w:rsid w:val="00771DBC"/>
    <w:rsid w:val="0077229C"/>
    <w:rsid w:val="0077240A"/>
    <w:rsid w:val="00772456"/>
    <w:rsid w:val="00773349"/>
    <w:rsid w:val="007734EE"/>
    <w:rsid w:val="0077397B"/>
    <w:rsid w:val="00773C57"/>
    <w:rsid w:val="00773C68"/>
    <w:rsid w:val="00774175"/>
    <w:rsid w:val="00774DD6"/>
    <w:rsid w:val="00775A35"/>
    <w:rsid w:val="007768B5"/>
    <w:rsid w:val="00776AA8"/>
    <w:rsid w:val="00777EC7"/>
    <w:rsid w:val="0078105E"/>
    <w:rsid w:val="00781064"/>
    <w:rsid w:val="007810E7"/>
    <w:rsid w:val="00782D5B"/>
    <w:rsid w:val="00782E71"/>
    <w:rsid w:val="007830F0"/>
    <w:rsid w:val="00783565"/>
    <w:rsid w:val="007835D1"/>
    <w:rsid w:val="00785157"/>
    <w:rsid w:val="0078529C"/>
    <w:rsid w:val="007858AF"/>
    <w:rsid w:val="00785E9D"/>
    <w:rsid w:val="0078734D"/>
    <w:rsid w:val="00787620"/>
    <w:rsid w:val="00787E63"/>
    <w:rsid w:val="00790224"/>
    <w:rsid w:val="007905F7"/>
    <w:rsid w:val="00791E82"/>
    <w:rsid w:val="00791FC0"/>
    <w:rsid w:val="007927B0"/>
    <w:rsid w:val="00792ABF"/>
    <w:rsid w:val="00792C97"/>
    <w:rsid w:val="00792E34"/>
    <w:rsid w:val="0079327C"/>
    <w:rsid w:val="00793ADD"/>
    <w:rsid w:val="00794463"/>
    <w:rsid w:val="00794525"/>
    <w:rsid w:val="00794A4A"/>
    <w:rsid w:val="00794D2B"/>
    <w:rsid w:val="00794EAA"/>
    <w:rsid w:val="00794F6D"/>
    <w:rsid w:val="007952DC"/>
    <w:rsid w:val="0079563E"/>
    <w:rsid w:val="00795AB6"/>
    <w:rsid w:val="00796857"/>
    <w:rsid w:val="007968DA"/>
    <w:rsid w:val="007969D7"/>
    <w:rsid w:val="00796A3C"/>
    <w:rsid w:val="00796B01"/>
    <w:rsid w:val="00796B8E"/>
    <w:rsid w:val="00797057"/>
    <w:rsid w:val="007975A0"/>
    <w:rsid w:val="00797AF7"/>
    <w:rsid w:val="00797B2E"/>
    <w:rsid w:val="007A074F"/>
    <w:rsid w:val="007A0EE1"/>
    <w:rsid w:val="007A2582"/>
    <w:rsid w:val="007A2756"/>
    <w:rsid w:val="007A2D87"/>
    <w:rsid w:val="007A342E"/>
    <w:rsid w:val="007A407F"/>
    <w:rsid w:val="007A4208"/>
    <w:rsid w:val="007A4B17"/>
    <w:rsid w:val="007A568D"/>
    <w:rsid w:val="007A5C60"/>
    <w:rsid w:val="007A5CA8"/>
    <w:rsid w:val="007A5FB5"/>
    <w:rsid w:val="007A60E6"/>
    <w:rsid w:val="007A6159"/>
    <w:rsid w:val="007A7A01"/>
    <w:rsid w:val="007A7A12"/>
    <w:rsid w:val="007B0288"/>
    <w:rsid w:val="007B0C2F"/>
    <w:rsid w:val="007B1293"/>
    <w:rsid w:val="007B1B84"/>
    <w:rsid w:val="007B1BE3"/>
    <w:rsid w:val="007B1C1A"/>
    <w:rsid w:val="007B26C2"/>
    <w:rsid w:val="007B2D2A"/>
    <w:rsid w:val="007B2E63"/>
    <w:rsid w:val="007B2F1D"/>
    <w:rsid w:val="007B380A"/>
    <w:rsid w:val="007B44B8"/>
    <w:rsid w:val="007B4680"/>
    <w:rsid w:val="007B47E5"/>
    <w:rsid w:val="007B492E"/>
    <w:rsid w:val="007B533D"/>
    <w:rsid w:val="007B599A"/>
    <w:rsid w:val="007B66A7"/>
    <w:rsid w:val="007B66BF"/>
    <w:rsid w:val="007B6996"/>
    <w:rsid w:val="007B6E3C"/>
    <w:rsid w:val="007B6EAB"/>
    <w:rsid w:val="007B73AB"/>
    <w:rsid w:val="007B7F12"/>
    <w:rsid w:val="007B7F1B"/>
    <w:rsid w:val="007C005B"/>
    <w:rsid w:val="007C0128"/>
    <w:rsid w:val="007C03C8"/>
    <w:rsid w:val="007C043A"/>
    <w:rsid w:val="007C0D94"/>
    <w:rsid w:val="007C0F35"/>
    <w:rsid w:val="007C0FBA"/>
    <w:rsid w:val="007C0FD7"/>
    <w:rsid w:val="007C1027"/>
    <w:rsid w:val="007C16EC"/>
    <w:rsid w:val="007C1848"/>
    <w:rsid w:val="007C2030"/>
    <w:rsid w:val="007C229E"/>
    <w:rsid w:val="007C264C"/>
    <w:rsid w:val="007C267E"/>
    <w:rsid w:val="007C30D4"/>
    <w:rsid w:val="007C3CCD"/>
    <w:rsid w:val="007C4888"/>
    <w:rsid w:val="007C51B6"/>
    <w:rsid w:val="007C56E7"/>
    <w:rsid w:val="007C6239"/>
    <w:rsid w:val="007C74E0"/>
    <w:rsid w:val="007D0762"/>
    <w:rsid w:val="007D0BF9"/>
    <w:rsid w:val="007D0C92"/>
    <w:rsid w:val="007D0CC5"/>
    <w:rsid w:val="007D0D2C"/>
    <w:rsid w:val="007D1309"/>
    <w:rsid w:val="007D1485"/>
    <w:rsid w:val="007D1597"/>
    <w:rsid w:val="007D1CCA"/>
    <w:rsid w:val="007D1E47"/>
    <w:rsid w:val="007D22E5"/>
    <w:rsid w:val="007D2376"/>
    <w:rsid w:val="007D2F9E"/>
    <w:rsid w:val="007D2FB7"/>
    <w:rsid w:val="007D32C1"/>
    <w:rsid w:val="007D3ADA"/>
    <w:rsid w:val="007D3BD3"/>
    <w:rsid w:val="007D3C26"/>
    <w:rsid w:val="007D3FD3"/>
    <w:rsid w:val="007D42AE"/>
    <w:rsid w:val="007D43E9"/>
    <w:rsid w:val="007D4ABD"/>
    <w:rsid w:val="007D4B80"/>
    <w:rsid w:val="007D56A9"/>
    <w:rsid w:val="007D5861"/>
    <w:rsid w:val="007D62FD"/>
    <w:rsid w:val="007D63AC"/>
    <w:rsid w:val="007D6D31"/>
    <w:rsid w:val="007D7321"/>
    <w:rsid w:val="007E00EF"/>
    <w:rsid w:val="007E1C76"/>
    <w:rsid w:val="007E25BB"/>
    <w:rsid w:val="007E338E"/>
    <w:rsid w:val="007E371F"/>
    <w:rsid w:val="007E3B9C"/>
    <w:rsid w:val="007E3C78"/>
    <w:rsid w:val="007E3D01"/>
    <w:rsid w:val="007E437C"/>
    <w:rsid w:val="007E4C36"/>
    <w:rsid w:val="007E4CDE"/>
    <w:rsid w:val="007E4FE2"/>
    <w:rsid w:val="007E5628"/>
    <w:rsid w:val="007E5B97"/>
    <w:rsid w:val="007E6EC0"/>
    <w:rsid w:val="007E7044"/>
    <w:rsid w:val="007E70AC"/>
    <w:rsid w:val="007F05C5"/>
    <w:rsid w:val="007F062D"/>
    <w:rsid w:val="007F1574"/>
    <w:rsid w:val="007F1AEE"/>
    <w:rsid w:val="007F1AFB"/>
    <w:rsid w:val="007F1B9F"/>
    <w:rsid w:val="007F1F24"/>
    <w:rsid w:val="007F2307"/>
    <w:rsid w:val="007F2611"/>
    <w:rsid w:val="007F412F"/>
    <w:rsid w:val="007F4345"/>
    <w:rsid w:val="007F43F2"/>
    <w:rsid w:val="007F4E4C"/>
    <w:rsid w:val="007F4E7D"/>
    <w:rsid w:val="007F4FE7"/>
    <w:rsid w:val="007F5337"/>
    <w:rsid w:val="007F596F"/>
    <w:rsid w:val="007F61CF"/>
    <w:rsid w:val="007F796F"/>
    <w:rsid w:val="007F7CB5"/>
    <w:rsid w:val="00800480"/>
    <w:rsid w:val="00800E1E"/>
    <w:rsid w:val="00801EB8"/>
    <w:rsid w:val="0080205A"/>
    <w:rsid w:val="008024B8"/>
    <w:rsid w:val="00802C1C"/>
    <w:rsid w:val="00803094"/>
    <w:rsid w:val="008038CA"/>
    <w:rsid w:val="00803BF0"/>
    <w:rsid w:val="00804308"/>
    <w:rsid w:val="0080485C"/>
    <w:rsid w:val="00804BCE"/>
    <w:rsid w:val="00804FC7"/>
    <w:rsid w:val="00805545"/>
    <w:rsid w:val="00805C42"/>
    <w:rsid w:val="00805E2F"/>
    <w:rsid w:val="00806016"/>
    <w:rsid w:val="0080603E"/>
    <w:rsid w:val="008062C8"/>
    <w:rsid w:val="0080633A"/>
    <w:rsid w:val="00806ABB"/>
    <w:rsid w:val="00806AD5"/>
    <w:rsid w:val="00806D08"/>
    <w:rsid w:val="00807026"/>
    <w:rsid w:val="00807204"/>
    <w:rsid w:val="0080771D"/>
    <w:rsid w:val="00807A37"/>
    <w:rsid w:val="00807EAF"/>
    <w:rsid w:val="008102AC"/>
    <w:rsid w:val="008105CD"/>
    <w:rsid w:val="008105D5"/>
    <w:rsid w:val="008118E9"/>
    <w:rsid w:val="00811DC0"/>
    <w:rsid w:val="008122A5"/>
    <w:rsid w:val="00812F2D"/>
    <w:rsid w:val="0081418C"/>
    <w:rsid w:val="008143BC"/>
    <w:rsid w:val="00814B71"/>
    <w:rsid w:val="00815589"/>
    <w:rsid w:val="00815B15"/>
    <w:rsid w:val="00815C57"/>
    <w:rsid w:val="00815E1D"/>
    <w:rsid w:val="00816094"/>
    <w:rsid w:val="0081696A"/>
    <w:rsid w:val="00816A16"/>
    <w:rsid w:val="0081719A"/>
    <w:rsid w:val="00817649"/>
    <w:rsid w:val="00817F21"/>
    <w:rsid w:val="0082068B"/>
    <w:rsid w:val="008211B8"/>
    <w:rsid w:val="0082144A"/>
    <w:rsid w:val="00821D70"/>
    <w:rsid w:val="00821DA5"/>
    <w:rsid w:val="00822099"/>
    <w:rsid w:val="00822AA1"/>
    <w:rsid w:val="00823148"/>
    <w:rsid w:val="00823B9C"/>
    <w:rsid w:val="00824771"/>
    <w:rsid w:val="008251C9"/>
    <w:rsid w:val="00825744"/>
    <w:rsid w:val="0082587D"/>
    <w:rsid w:val="00825B40"/>
    <w:rsid w:val="00825D7F"/>
    <w:rsid w:val="00826247"/>
    <w:rsid w:val="0082694E"/>
    <w:rsid w:val="0082719B"/>
    <w:rsid w:val="00827E07"/>
    <w:rsid w:val="00827FB6"/>
    <w:rsid w:val="008301FD"/>
    <w:rsid w:val="008308D1"/>
    <w:rsid w:val="008316FC"/>
    <w:rsid w:val="00831845"/>
    <w:rsid w:val="00831859"/>
    <w:rsid w:val="00831D95"/>
    <w:rsid w:val="008320AF"/>
    <w:rsid w:val="00832869"/>
    <w:rsid w:val="00833419"/>
    <w:rsid w:val="008336A6"/>
    <w:rsid w:val="0083388D"/>
    <w:rsid w:val="00833FFA"/>
    <w:rsid w:val="008351E3"/>
    <w:rsid w:val="008354E4"/>
    <w:rsid w:val="0083556E"/>
    <w:rsid w:val="00835B62"/>
    <w:rsid w:val="00836192"/>
    <w:rsid w:val="00836F9A"/>
    <w:rsid w:val="008373A5"/>
    <w:rsid w:val="00837A08"/>
    <w:rsid w:val="0084056A"/>
    <w:rsid w:val="008407D6"/>
    <w:rsid w:val="00840830"/>
    <w:rsid w:val="00840EF7"/>
    <w:rsid w:val="00841276"/>
    <w:rsid w:val="00842B92"/>
    <w:rsid w:val="0084354D"/>
    <w:rsid w:val="00843AC9"/>
    <w:rsid w:val="00843E02"/>
    <w:rsid w:val="0084411A"/>
    <w:rsid w:val="008441A3"/>
    <w:rsid w:val="00844A88"/>
    <w:rsid w:val="00844CC3"/>
    <w:rsid w:val="0084581F"/>
    <w:rsid w:val="00846420"/>
    <w:rsid w:val="00846CA3"/>
    <w:rsid w:val="00846D06"/>
    <w:rsid w:val="0084780F"/>
    <w:rsid w:val="00847B9F"/>
    <w:rsid w:val="00847EEB"/>
    <w:rsid w:val="00850ABE"/>
    <w:rsid w:val="00851084"/>
    <w:rsid w:val="00851943"/>
    <w:rsid w:val="00851C78"/>
    <w:rsid w:val="00851D45"/>
    <w:rsid w:val="00851E0F"/>
    <w:rsid w:val="00852DB8"/>
    <w:rsid w:val="00853127"/>
    <w:rsid w:val="008531E2"/>
    <w:rsid w:val="0085331A"/>
    <w:rsid w:val="008534CF"/>
    <w:rsid w:val="008536EA"/>
    <w:rsid w:val="008538E7"/>
    <w:rsid w:val="0085409E"/>
    <w:rsid w:val="00854E23"/>
    <w:rsid w:val="0085543E"/>
    <w:rsid w:val="00855E02"/>
    <w:rsid w:val="00855E55"/>
    <w:rsid w:val="00856501"/>
    <w:rsid w:val="0085688A"/>
    <w:rsid w:val="00857744"/>
    <w:rsid w:val="00857B45"/>
    <w:rsid w:val="00860262"/>
    <w:rsid w:val="008605C5"/>
    <w:rsid w:val="00860FF3"/>
    <w:rsid w:val="0086159B"/>
    <w:rsid w:val="008616E6"/>
    <w:rsid w:val="00862CE7"/>
    <w:rsid w:val="00862EA6"/>
    <w:rsid w:val="00863D27"/>
    <w:rsid w:val="00864BD3"/>
    <w:rsid w:val="0086501F"/>
    <w:rsid w:val="00865658"/>
    <w:rsid w:val="00866718"/>
    <w:rsid w:val="00866BD0"/>
    <w:rsid w:val="00866F23"/>
    <w:rsid w:val="008672D1"/>
    <w:rsid w:val="0086761B"/>
    <w:rsid w:val="0086797D"/>
    <w:rsid w:val="00870FB2"/>
    <w:rsid w:val="0087170B"/>
    <w:rsid w:val="00871B3A"/>
    <w:rsid w:val="00871FF4"/>
    <w:rsid w:val="008721CB"/>
    <w:rsid w:val="00872D1C"/>
    <w:rsid w:val="00872F45"/>
    <w:rsid w:val="008731E8"/>
    <w:rsid w:val="008733C1"/>
    <w:rsid w:val="00873DC6"/>
    <w:rsid w:val="00874785"/>
    <w:rsid w:val="008751F6"/>
    <w:rsid w:val="0087542B"/>
    <w:rsid w:val="008754EF"/>
    <w:rsid w:val="0087591D"/>
    <w:rsid w:val="00876183"/>
    <w:rsid w:val="008775DE"/>
    <w:rsid w:val="008779FC"/>
    <w:rsid w:val="00877F79"/>
    <w:rsid w:val="00880550"/>
    <w:rsid w:val="008810D2"/>
    <w:rsid w:val="00881312"/>
    <w:rsid w:val="008814F8"/>
    <w:rsid w:val="00882020"/>
    <w:rsid w:val="0088285C"/>
    <w:rsid w:val="00882AD7"/>
    <w:rsid w:val="00884094"/>
    <w:rsid w:val="00885726"/>
    <w:rsid w:val="00885AB6"/>
    <w:rsid w:val="00885B37"/>
    <w:rsid w:val="00885FF1"/>
    <w:rsid w:val="00886412"/>
    <w:rsid w:val="00886BC3"/>
    <w:rsid w:val="008871B7"/>
    <w:rsid w:val="008878FB"/>
    <w:rsid w:val="00887D28"/>
    <w:rsid w:val="00887F8A"/>
    <w:rsid w:val="00887FE0"/>
    <w:rsid w:val="008903CB"/>
    <w:rsid w:val="008903DB"/>
    <w:rsid w:val="0089060B"/>
    <w:rsid w:val="00890638"/>
    <w:rsid w:val="0089099F"/>
    <w:rsid w:val="00890DCE"/>
    <w:rsid w:val="00890F3F"/>
    <w:rsid w:val="0089115F"/>
    <w:rsid w:val="008913B0"/>
    <w:rsid w:val="008914E6"/>
    <w:rsid w:val="0089153D"/>
    <w:rsid w:val="00891C33"/>
    <w:rsid w:val="00891E1E"/>
    <w:rsid w:val="008923F7"/>
    <w:rsid w:val="00892765"/>
    <w:rsid w:val="00892C89"/>
    <w:rsid w:val="00892F66"/>
    <w:rsid w:val="00893281"/>
    <w:rsid w:val="008932FE"/>
    <w:rsid w:val="008936FE"/>
    <w:rsid w:val="00893BD9"/>
    <w:rsid w:val="008957BF"/>
    <w:rsid w:val="00895BED"/>
    <w:rsid w:val="0089678A"/>
    <w:rsid w:val="00896FB5"/>
    <w:rsid w:val="00897777"/>
    <w:rsid w:val="008977B0"/>
    <w:rsid w:val="008977BE"/>
    <w:rsid w:val="008A02D2"/>
    <w:rsid w:val="008A04D2"/>
    <w:rsid w:val="008A0633"/>
    <w:rsid w:val="008A0775"/>
    <w:rsid w:val="008A09E8"/>
    <w:rsid w:val="008A0F47"/>
    <w:rsid w:val="008A1708"/>
    <w:rsid w:val="008A20E3"/>
    <w:rsid w:val="008A2109"/>
    <w:rsid w:val="008A2527"/>
    <w:rsid w:val="008A26C5"/>
    <w:rsid w:val="008A2743"/>
    <w:rsid w:val="008A33A1"/>
    <w:rsid w:val="008A4593"/>
    <w:rsid w:val="008A46A9"/>
    <w:rsid w:val="008A50A7"/>
    <w:rsid w:val="008A5996"/>
    <w:rsid w:val="008A59FB"/>
    <w:rsid w:val="008A5A36"/>
    <w:rsid w:val="008A5C03"/>
    <w:rsid w:val="008A69AA"/>
    <w:rsid w:val="008A6D75"/>
    <w:rsid w:val="008A77CB"/>
    <w:rsid w:val="008A7F69"/>
    <w:rsid w:val="008B0912"/>
    <w:rsid w:val="008B0995"/>
    <w:rsid w:val="008B09DB"/>
    <w:rsid w:val="008B0DA6"/>
    <w:rsid w:val="008B15C1"/>
    <w:rsid w:val="008B1F84"/>
    <w:rsid w:val="008B22F9"/>
    <w:rsid w:val="008B29F6"/>
    <w:rsid w:val="008B2CB8"/>
    <w:rsid w:val="008B2F37"/>
    <w:rsid w:val="008B305F"/>
    <w:rsid w:val="008B31EC"/>
    <w:rsid w:val="008B3586"/>
    <w:rsid w:val="008B37A4"/>
    <w:rsid w:val="008B3FDB"/>
    <w:rsid w:val="008B4D6F"/>
    <w:rsid w:val="008B5545"/>
    <w:rsid w:val="008B55F2"/>
    <w:rsid w:val="008B633F"/>
    <w:rsid w:val="008B680D"/>
    <w:rsid w:val="008B698D"/>
    <w:rsid w:val="008B6BA2"/>
    <w:rsid w:val="008B6EE6"/>
    <w:rsid w:val="008B7184"/>
    <w:rsid w:val="008B77B4"/>
    <w:rsid w:val="008B78FF"/>
    <w:rsid w:val="008B7A7E"/>
    <w:rsid w:val="008C03B6"/>
    <w:rsid w:val="008C048D"/>
    <w:rsid w:val="008C057A"/>
    <w:rsid w:val="008C0B69"/>
    <w:rsid w:val="008C13D6"/>
    <w:rsid w:val="008C1713"/>
    <w:rsid w:val="008C1758"/>
    <w:rsid w:val="008C19F2"/>
    <w:rsid w:val="008C1EE3"/>
    <w:rsid w:val="008C210C"/>
    <w:rsid w:val="008C302A"/>
    <w:rsid w:val="008C3055"/>
    <w:rsid w:val="008C31F0"/>
    <w:rsid w:val="008C3978"/>
    <w:rsid w:val="008C3ABB"/>
    <w:rsid w:val="008C4955"/>
    <w:rsid w:val="008C4C37"/>
    <w:rsid w:val="008C4D3A"/>
    <w:rsid w:val="008C5A03"/>
    <w:rsid w:val="008C5E21"/>
    <w:rsid w:val="008C60BE"/>
    <w:rsid w:val="008C67F4"/>
    <w:rsid w:val="008C6DDA"/>
    <w:rsid w:val="008C6F91"/>
    <w:rsid w:val="008C70CA"/>
    <w:rsid w:val="008C711C"/>
    <w:rsid w:val="008C7C76"/>
    <w:rsid w:val="008C7CD8"/>
    <w:rsid w:val="008D021B"/>
    <w:rsid w:val="008D056F"/>
    <w:rsid w:val="008D0B72"/>
    <w:rsid w:val="008D1C34"/>
    <w:rsid w:val="008D2337"/>
    <w:rsid w:val="008D25F9"/>
    <w:rsid w:val="008D2605"/>
    <w:rsid w:val="008D2DA0"/>
    <w:rsid w:val="008D3312"/>
    <w:rsid w:val="008D366F"/>
    <w:rsid w:val="008D37F7"/>
    <w:rsid w:val="008D46D0"/>
    <w:rsid w:val="008D4F87"/>
    <w:rsid w:val="008D52B6"/>
    <w:rsid w:val="008D53F3"/>
    <w:rsid w:val="008D5686"/>
    <w:rsid w:val="008D5818"/>
    <w:rsid w:val="008D6038"/>
    <w:rsid w:val="008D62DD"/>
    <w:rsid w:val="008D6998"/>
    <w:rsid w:val="008D6B79"/>
    <w:rsid w:val="008D6FA1"/>
    <w:rsid w:val="008E02D3"/>
    <w:rsid w:val="008E0497"/>
    <w:rsid w:val="008E0692"/>
    <w:rsid w:val="008E1156"/>
    <w:rsid w:val="008E19FC"/>
    <w:rsid w:val="008E1BF2"/>
    <w:rsid w:val="008E1FF4"/>
    <w:rsid w:val="008E2187"/>
    <w:rsid w:val="008E2693"/>
    <w:rsid w:val="008E32F4"/>
    <w:rsid w:val="008E3586"/>
    <w:rsid w:val="008E4722"/>
    <w:rsid w:val="008E4B9F"/>
    <w:rsid w:val="008E530B"/>
    <w:rsid w:val="008E5ADB"/>
    <w:rsid w:val="008E5AFC"/>
    <w:rsid w:val="008E6227"/>
    <w:rsid w:val="008E63C0"/>
    <w:rsid w:val="008E63E8"/>
    <w:rsid w:val="008E6FAF"/>
    <w:rsid w:val="008E795A"/>
    <w:rsid w:val="008E7A93"/>
    <w:rsid w:val="008E7A97"/>
    <w:rsid w:val="008E7E5D"/>
    <w:rsid w:val="008F029B"/>
    <w:rsid w:val="008F0429"/>
    <w:rsid w:val="008F0BE3"/>
    <w:rsid w:val="008F0D5B"/>
    <w:rsid w:val="008F0F0E"/>
    <w:rsid w:val="008F0F81"/>
    <w:rsid w:val="008F13F9"/>
    <w:rsid w:val="008F159A"/>
    <w:rsid w:val="008F166D"/>
    <w:rsid w:val="008F1805"/>
    <w:rsid w:val="008F199C"/>
    <w:rsid w:val="008F1BCB"/>
    <w:rsid w:val="008F1F09"/>
    <w:rsid w:val="008F2262"/>
    <w:rsid w:val="008F2706"/>
    <w:rsid w:val="008F29D9"/>
    <w:rsid w:val="008F2A78"/>
    <w:rsid w:val="008F2BC9"/>
    <w:rsid w:val="008F3225"/>
    <w:rsid w:val="008F3263"/>
    <w:rsid w:val="008F375C"/>
    <w:rsid w:val="008F39FC"/>
    <w:rsid w:val="008F3F97"/>
    <w:rsid w:val="008F40E5"/>
    <w:rsid w:val="008F45B8"/>
    <w:rsid w:val="008F5ED0"/>
    <w:rsid w:val="008F5F4F"/>
    <w:rsid w:val="008F6528"/>
    <w:rsid w:val="008F6D91"/>
    <w:rsid w:val="008F748D"/>
    <w:rsid w:val="009000CE"/>
    <w:rsid w:val="00900531"/>
    <w:rsid w:val="009008BC"/>
    <w:rsid w:val="00900CD2"/>
    <w:rsid w:val="0090182D"/>
    <w:rsid w:val="00901B0B"/>
    <w:rsid w:val="0090278A"/>
    <w:rsid w:val="00902CD1"/>
    <w:rsid w:val="00902CF9"/>
    <w:rsid w:val="00903348"/>
    <w:rsid w:val="00903B1C"/>
    <w:rsid w:val="00903DF9"/>
    <w:rsid w:val="00904415"/>
    <w:rsid w:val="009045A2"/>
    <w:rsid w:val="0090497D"/>
    <w:rsid w:val="00904D7C"/>
    <w:rsid w:val="009053A2"/>
    <w:rsid w:val="00905608"/>
    <w:rsid w:val="00905C43"/>
    <w:rsid w:val="009061F3"/>
    <w:rsid w:val="009062FD"/>
    <w:rsid w:val="0090681C"/>
    <w:rsid w:val="00906CA3"/>
    <w:rsid w:val="009074C2"/>
    <w:rsid w:val="00907B6C"/>
    <w:rsid w:val="00907C69"/>
    <w:rsid w:val="00907F20"/>
    <w:rsid w:val="00910CDF"/>
    <w:rsid w:val="00910F20"/>
    <w:rsid w:val="009112CE"/>
    <w:rsid w:val="0091132F"/>
    <w:rsid w:val="00911DB2"/>
    <w:rsid w:val="00912CD5"/>
    <w:rsid w:val="00913B2B"/>
    <w:rsid w:val="00914170"/>
    <w:rsid w:val="009145B2"/>
    <w:rsid w:val="009169A7"/>
    <w:rsid w:val="00916AE0"/>
    <w:rsid w:val="00916CDC"/>
    <w:rsid w:val="0091712D"/>
    <w:rsid w:val="00917BD1"/>
    <w:rsid w:val="00917F65"/>
    <w:rsid w:val="0092010C"/>
    <w:rsid w:val="009209E0"/>
    <w:rsid w:val="00921276"/>
    <w:rsid w:val="0092133D"/>
    <w:rsid w:val="00922BCE"/>
    <w:rsid w:val="00922CD7"/>
    <w:rsid w:val="0092351B"/>
    <w:rsid w:val="0092376A"/>
    <w:rsid w:val="00923C67"/>
    <w:rsid w:val="0092461C"/>
    <w:rsid w:val="00924A80"/>
    <w:rsid w:val="00924D66"/>
    <w:rsid w:val="00924FB2"/>
    <w:rsid w:val="0092575E"/>
    <w:rsid w:val="009258CA"/>
    <w:rsid w:val="00925EA6"/>
    <w:rsid w:val="00925ECE"/>
    <w:rsid w:val="0092667C"/>
    <w:rsid w:val="0092679B"/>
    <w:rsid w:val="009268C3"/>
    <w:rsid w:val="00927545"/>
    <w:rsid w:val="00927BDE"/>
    <w:rsid w:val="009303C4"/>
    <w:rsid w:val="009303CC"/>
    <w:rsid w:val="009304F1"/>
    <w:rsid w:val="0093054D"/>
    <w:rsid w:val="00930581"/>
    <w:rsid w:val="00930C59"/>
    <w:rsid w:val="00931A73"/>
    <w:rsid w:val="00931D67"/>
    <w:rsid w:val="00931E48"/>
    <w:rsid w:val="009321C8"/>
    <w:rsid w:val="00932CF4"/>
    <w:rsid w:val="009330FA"/>
    <w:rsid w:val="00934BF5"/>
    <w:rsid w:val="00935753"/>
    <w:rsid w:val="009359B6"/>
    <w:rsid w:val="00935B17"/>
    <w:rsid w:val="00935D53"/>
    <w:rsid w:val="009362E2"/>
    <w:rsid w:val="00937134"/>
    <w:rsid w:val="0093713E"/>
    <w:rsid w:val="00937F10"/>
    <w:rsid w:val="009403B1"/>
    <w:rsid w:val="009407B1"/>
    <w:rsid w:val="0094095E"/>
    <w:rsid w:val="00940BB5"/>
    <w:rsid w:val="00940C41"/>
    <w:rsid w:val="00940D77"/>
    <w:rsid w:val="00941376"/>
    <w:rsid w:val="009413EC"/>
    <w:rsid w:val="009413F4"/>
    <w:rsid w:val="0094162B"/>
    <w:rsid w:val="009420F1"/>
    <w:rsid w:val="009432B8"/>
    <w:rsid w:val="00943B71"/>
    <w:rsid w:val="00943C7B"/>
    <w:rsid w:val="00944372"/>
    <w:rsid w:val="009446A8"/>
    <w:rsid w:val="0094478A"/>
    <w:rsid w:val="00944C95"/>
    <w:rsid w:val="00944E76"/>
    <w:rsid w:val="0094506A"/>
    <w:rsid w:val="009457D9"/>
    <w:rsid w:val="00945C92"/>
    <w:rsid w:val="009460F9"/>
    <w:rsid w:val="009461AA"/>
    <w:rsid w:val="00946463"/>
    <w:rsid w:val="00946590"/>
    <w:rsid w:val="00946E69"/>
    <w:rsid w:val="00946F2B"/>
    <w:rsid w:val="00947DEC"/>
    <w:rsid w:val="00950054"/>
    <w:rsid w:val="0095011A"/>
    <w:rsid w:val="009502F3"/>
    <w:rsid w:val="009502FF"/>
    <w:rsid w:val="00950B89"/>
    <w:rsid w:val="00951757"/>
    <w:rsid w:val="009517D3"/>
    <w:rsid w:val="00951FAF"/>
    <w:rsid w:val="00951FD1"/>
    <w:rsid w:val="0095210C"/>
    <w:rsid w:val="00953078"/>
    <w:rsid w:val="0095310A"/>
    <w:rsid w:val="009538EF"/>
    <w:rsid w:val="00953A17"/>
    <w:rsid w:val="00953D10"/>
    <w:rsid w:val="00953F55"/>
    <w:rsid w:val="009541E5"/>
    <w:rsid w:val="009542B0"/>
    <w:rsid w:val="00955049"/>
    <w:rsid w:val="00955355"/>
    <w:rsid w:val="00955DE8"/>
    <w:rsid w:val="00955E8A"/>
    <w:rsid w:val="00956618"/>
    <w:rsid w:val="00956902"/>
    <w:rsid w:val="00956A2F"/>
    <w:rsid w:val="00956B48"/>
    <w:rsid w:val="00956DE5"/>
    <w:rsid w:val="00956FEE"/>
    <w:rsid w:val="00957001"/>
    <w:rsid w:val="0095724E"/>
    <w:rsid w:val="009575FD"/>
    <w:rsid w:val="00957AC9"/>
    <w:rsid w:val="00957F6A"/>
    <w:rsid w:val="0096078C"/>
    <w:rsid w:val="00960A0C"/>
    <w:rsid w:val="00960BD4"/>
    <w:rsid w:val="00960D58"/>
    <w:rsid w:val="00961C3D"/>
    <w:rsid w:val="00962064"/>
    <w:rsid w:val="009620BE"/>
    <w:rsid w:val="009621AC"/>
    <w:rsid w:val="0096259E"/>
    <w:rsid w:val="00962632"/>
    <w:rsid w:val="00962F67"/>
    <w:rsid w:val="0096328F"/>
    <w:rsid w:val="00963E41"/>
    <w:rsid w:val="00964C8F"/>
    <w:rsid w:val="009654E9"/>
    <w:rsid w:val="00965989"/>
    <w:rsid w:val="00965E1B"/>
    <w:rsid w:val="0096602F"/>
    <w:rsid w:val="009676C0"/>
    <w:rsid w:val="009676E4"/>
    <w:rsid w:val="00970038"/>
    <w:rsid w:val="0097098B"/>
    <w:rsid w:val="009714D1"/>
    <w:rsid w:val="0097187C"/>
    <w:rsid w:val="00972282"/>
    <w:rsid w:val="00972427"/>
    <w:rsid w:val="00973812"/>
    <w:rsid w:val="00973AC0"/>
    <w:rsid w:val="0097443B"/>
    <w:rsid w:val="009745DD"/>
    <w:rsid w:val="00974672"/>
    <w:rsid w:val="00974A7E"/>
    <w:rsid w:val="00974E3C"/>
    <w:rsid w:val="0097698A"/>
    <w:rsid w:val="009769F3"/>
    <w:rsid w:val="0097701C"/>
    <w:rsid w:val="00977A5A"/>
    <w:rsid w:val="0098033C"/>
    <w:rsid w:val="009809BE"/>
    <w:rsid w:val="00980F5E"/>
    <w:rsid w:val="00981511"/>
    <w:rsid w:val="0098159E"/>
    <w:rsid w:val="0098169D"/>
    <w:rsid w:val="0098190D"/>
    <w:rsid w:val="00983055"/>
    <w:rsid w:val="00983447"/>
    <w:rsid w:val="00983612"/>
    <w:rsid w:val="009836C3"/>
    <w:rsid w:val="00983C08"/>
    <w:rsid w:val="00984A7A"/>
    <w:rsid w:val="00984CBD"/>
    <w:rsid w:val="00984E14"/>
    <w:rsid w:val="00984EA8"/>
    <w:rsid w:val="0098516E"/>
    <w:rsid w:val="00985388"/>
    <w:rsid w:val="00985CB3"/>
    <w:rsid w:val="0098788E"/>
    <w:rsid w:val="009879F8"/>
    <w:rsid w:val="00987A0D"/>
    <w:rsid w:val="00987B81"/>
    <w:rsid w:val="0099026A"/>
    <w:rsid w:val="009906D6"/>
    <w:rsid w:val="00991960"/>
    <w:rsid w:val="00991AF9"/>
    <w:rsid w:val="00991B05"/>
    <w:rsid w:val="00991D7A"/>
    <w:rsid w:val="00992ACE"/>
    <w:rsid w:val="0099437B"/>
    <w:rsid w:val="009945DC"/>
    <w:rsid w:val="00994C11"/>
    <w:rsid w:val="009952C8"/>
    <w:rsid w:val="00995868"/>
    <w:rsid w:val="00995912"/>
    <w:rsid w:val="00995ADE"/>
    <w:rsid w:val="00995E13"/>
    <w:rsid w:val="00996707"/>
    <w:rsid w:val="00996E20"/>
    <w:rsid w:val="00996E31"/>
    <w:rsid w:val="009979BE"/>
    <w:rsid w:val="009A018D"/>
    <w:rsid w:val="009A08F2"/>
    <w:rsid w:val="009A116A"/>
    <w:rsid w:val="009A13F3"/>
    <w:rsid w:val="009A1428"/>
    <w:rsid w:val="009A1C06"/>
    <w:rsid w:val="009A1C86"/>
    <w:rsid w:val="009A2291"/>
    <w:rsid w:val="009A234A"/>
    <w:rsid w:val="009A267A"/>
    <w:rsid w:val="009A313F"/>
    <w:rsid w:val="009A319F"/>
    <w:rsid w:val="009A33AC"/>
    <w:rsid w:val="009A3D40"/>
    <w:rsid w:val="009A3FCE"/>
    <w:rsid w:val="009A4560"/>
    <w:rsid w:val="009A5046"/>
    <w:rsid w:val="009A59EB"/>
    <w:rsid w:val="009A5D02"/>
    <w:rsid w:val="009A69D3"/>
    <w:rsid w:val="009A6F8B"/>
    <w:rsid w:val="009A72C3"/>
    <w:rsid w:val="009A78D2"/>
    <w:rsid w:val="009A7A72"/>
    <w:rsid w:val="009B04D8"/>
    <w:rsid w:val="009B0698"/>
    <w:rsid w:val="009B078B"/>
    <w:rsid w:val="009B0DC9"/>
    <w:rsid w:val="009B117C"/>
    <w:rsid w:val="009B1B52"/>
    <w:rsid w:val="009B1B5D"/>
    <w:rsid w:val="009B2140"/>
    <w:rsid w:val="009B251F"/>
    <w:rsid w:val="009B2BC4"/>
    <w:rsid w:val="009B2D24"/>
    <w:rsid w:val="009B3DB8"/>
    <w:rsid w:val="009B4335"/>
    <w:rsid w:val="009B45A2"/>
    <w:rsid w:val="009B5672"/>
    <w:rsid w:val="009B57F7"/>
    <w:rsid w:val="009B5B27"/>
    <w:rsid w:val="009B674B"/>
    <w:rsid w:val="009B695F"/>
    <w:rsid w:val="009B7047"/>
    <w:rsid w:val="009B72F6"/>
    <w:rsid w:val="009B7AD4"/>
    <w:rsid w:val="009B7E41"/>
    <w:rsid w:val="009B7EE2"/>
    <w:rsid w:val="009C07D6"/>
    <w:rsid w:val="009C1059"/>
    <w:rsid w:val="009C10B5"/>
    <w:rsid w:val="009C1490"/>
    <w:rsid w:val="009C165E"/>
    <w:rsid w:val="009C24A5"/>
    <w:rsid w:val="009C2903"/>
    <w:rsid w:val="009C3224"/>
    <w:rsid w:val="009C3841"/>
    <w:rsid w:val="009C3A87"/>
    <w:rsid w:val="009C43DF"/>
    <w:rsid w:val="009C477F"/>
    <w:rsid w:val="009C4CF0"/>
    <w:rsid w:val="009C56B9"/>
    <w:rsid w:val="009C5764"/>
    <w:rsid w:val="009C5DA5"/>
    <w:rsid w:val="009C600D"/>
    <w:rsid w:val="009C78FD"/>
    <w:rsid w:val="009C7F69"/>
    <w:rsid w:val="009D0098"/>
    <w:rsid w:val="009D05F3"/>
    <w:rsid w:val="009D0E68"/>
    <w:rsid w:val="009D126D"/>
    <w:rsid w:val="009D1478"/>
    <w:rsid w:val="009D1FA3"/>
    <w:rsid w:val="009D326C"/>
    <w:rsid w:val="009D33A7"/>
    <w:rsid w:val="009D45A4"/>
    <w:rsid w:val="009D4654"/>
    <w:rsid w:val="009D46CD"/>
    <w:rsid w:val="009D4E07"/>
    <w:rsid w:val="009D5008"/>
    <w:rsid w:val="009D5277"/>
    <w:rsid w:val="009D5639"/>
    <w:rsid w:val="009D674C"/>
    <w:rsid w:val="009D6CCD"/>
    <w:rsid w:val="009D6E75"/>
    <w:rsid w:val="009D6FDE"/>
    <w:rsid w:val="009D7806"/>
    <w:rsid w:val="009D7F7D"/>
    <w:rsid w:val="009E00CA"/>
    <w:rsid w:val="009E01D3"/>
    <w:rsid w:val="009E149A"/>
    <w:rsid w:val="009E17FE"/>
    <w:rsid w:val="009E1ECE"/>
    <w:rsid w:val="009E1F08"/>
    <w:rsid w:val="009E20EA"/>
    <w:rsid w:val="009E263E"/>
    <w:rsid w:val="009E3C08"/>
    <w:rsid w:val="009E3E59"/>
    <w:rsid w:val="009E5EBD"/>
    <w:rsid w:val="009E66C7"/>
    <w:rsid w:val="009E6793"/>
    <w:rsid w:val="009E6C34"/>
    <w:rsid w:val="009E70D3"/>
    <w:rsid w:val="009E7ECC"/>
    <w:rsid w:val="009F00D7"/>
    <w:rsid w:val="009F0346"/>
    <w:rsid w:val="009F0AFA"/>
    <w:rsid w:val="009F0C0F"/>
    <w:rsid w:val="009F159C"/>
    <w:rsid w:val="009F193C"/>
    <w:rsid w:val="009F1A8E"/>
    <w:rsid w:val="009F2D25"/>
    <w:rsid w:val="009F348C"/>
    <w:rsid w:val="009F36F0"/>
    <w:rsid w:val="009F38D4"/>
    <w:rsid w:val="009F3BB0"/>
    <w:rsid w:val="009F4206"/>
    <w:rsid w:val="009F42B4"/>
    <w:rsid w:val="009F4E86"/>
    <w:rsid w:val="009F5181"/>
    <w:rsid w:val="009F53BB"/>
    <w:rsid w:val="009F5AD1"/>
    <w:rsid w:val="009F5CF9"/>
    <w:rsid w:val="009F5E8A"/>
    <w:rsid w:val="009F6382"/>
    <w:rsid w:val="009F727E"/>
    <w:rsid w:val="009F7299"/>
    <w:rsid w:val="009F7344"/>
    <w:rsid w:val="009F746E"/>
    <w:rsid w:val="009F76A6"/>
    <w:rsid w:val="009F7ABE"/>
    <w:rsid w:val="00A01479"/>
    <w:rsid w:val="00A01ABB"/>
    <w:rsid w:val="00A0325F"/>
    <w:rsid w:val="00A038D9"/>
    <w:rsid w:val="00A03B99"/>
    <w:rsid w:val="00A03C39"/>
    <w:rsid w:val="00A03C75"/>
    <w:rsid w:val="00A03CE0"/>
    <w:rsid w:val="00A03CE6"/>
    <w:rsid w:val="00A03F73"/>
    <w:rsid w:val="00A03FD8"/>
    <w:rsid w:val="00A0407D"/>
    <w:rsid w:val="00A047B6"/>
    <w:rsid w:val="00A048C6"/>
    <w:rsid w:val="00A04DEB"/>
    <w:rsid w:val="00A0525F"/>
    <w:rsid w:val="00A05330"/>
    <w:rsid w:val="00A0534D"/>
    <w:rsid w:val="00A05642"/>
    <w:rsid w:val="00A057FE"/>
    <w:rsid w:val="00A05F45"/>
    <w:rsid w:val="00A0613B"/>
    <w:rsid w:val="00A0614E"/>
    <w:rsid w:val="00A066DC"/>
    <w:rsid w:val="00A06853"/>
    <w:rsid w:val="00A075E7"/>
    <w:rsid w:val="00A0771D"/>
    <w:rsid w:val="00A07781"/>
    <w:rsid w:val="00A10085"/>
    <w:rsid w:val="00A1038A"/>
    <w:rsid w:val="00A10943"/>
    <w:rsid w:val="00A10A5F"/>
    <w:rsid w:val="00A10D6F"/>
    <w:rsid w:val="00A113F2"/>
    <w:rsid w:val="00A1161A"/>
    <w:rsid w:val="00A1204A"/>
    <w:rsid w:val="00A120D5"/>
    <w:rsid w:val="00A1274B"/>
    <w:rsid w:val="00A12767"/>
    <w:rsid w:val="00A1427B"/>
    <w:rsid w:val="00A147C1"/>
    <w:rsid w:val="00A14E43"/>
    <w:rsid w:val="00A1512F"/>
    <w:rsid w:val="00A15886"/>
    <w:rsid w:val="00A15F97"/>
    <w:rsid w:val="00A1681B"/>
    <w:rsid w:val="00A16B9E"/>
    <w:rsid w:val="00A16D91"/>
    <w:rsid w:val="00A16ED3"/>
    <w:rsid w:val="00A175F9"/>
    <w:rsid w:val="00A1795F"/>
    <w:rsid w:val="00A20218"/>
    <w:rsid w:val="00A202A4"/>
    <w:rsid w:val="00A20629"/>
    <w:rsid w:val="00A20E64"/>
    <w:rsid w:val="00A216CA"/>
    <w:rsid w:val="00A21B6A"/>
    <w:rsid w:val="00A2345F"/>
    <w:rsid w:val="00A23967"/>
    <w:rsid w:val="00A24638"/>
    <w:rsid w:val="00A24A1B"/>
    <w:rsid w:val="00A24A5C"/>
    <w:rsid w:val="00A24E25"/>
    <w:rsid w:val="00A2581F"/>
    <w:rsid w:val="00A26CAD"/>
    <w:rsid w:val="00A26CFD"/>
    <w:rsid w:val="00A27244"/>
    <w:rsid w:val="00A2763D"/>
    <w:rsid w:val="00A27A93"/>
    <w:rsid w:val="00A30052"/>
    <w:rsid w:val="00A302F0"/>
    <w:rsid w:val="00A305E9"/>
    <w:rsid w:val="00A30CD4"/>
    <w:rsid w:val="00A312F9"/>
    <w:rsid w:val="00A316FF"/>
    <w:rsid w:val="00A3196C"/>
    <w:rsid w:val="00A31A96"/>
    <w:rsid w:val="00A325C8"/>
    <w:rsid w:val="00A328B5"/>
    <w:rsid w:val="00A32F7D"/>
    <w:rsid w:val="00A331F5"/>
    <w:rsid w:val="00A33478"/>
    <w:rsid w:val="00A338F7"/>
    <w:rsid w:val="00A34B43"/>
    <w:rsid w:val="00A35A58"/>
    <w:rsid w:val="00A35BAB"/>
    <w:rsid w:val="00A35C0C"/>
    <w:rsid w:val="00A35D88"/>
    <w:rsid w:val="00A35E9F"/>
    <w:rsid w:val="00A366DC"/>
    <w:rsid w:val="00A36AD1"/>
    <w:rsid w:val="00A3714D"/>
    <w:rsid w:val="00A37197"/>
    <w:rsid w:val="00A402A0"/>
    <w:rsid w:val="00A408FB"/>
    <w:rsid w:val="00A4151C"/>
    <w:rsid w:val="00A423E8"/>
    <w:rsid w:val="00A42713"/>
    <w:rsid w:val="00A4321C"/>
    <w:rsid w:val="00A4367B"/>
    <w:rsid w:val="00A43A29"/>
    <w:rsid w:val="00A43AC2"/>
    <w:rsid w:val="00A43E10"/>
    <w:rsid w:val="00A4487F"/>
    <w:rsid w:val="00A44CD6"/>
    <w:rsid w:val="00A45384"/>
    <w:rsid w:val="00A4599C"/>
    <w:rsid w:val="00A46491"/>
    <w:rsid w:val="00A46862"/>
    <w:rsid w:val="00A47128"/>
    <w:rsid w:val="00A474D0"/>
    <w:rsid w:val="00A47CB5"/>
    <w:rsid w:val="00A513D1"/>
    <w:rsid w:val="00A52354"/>
    <w:rsid w:val="00A524C6"/>
    <w:rsid w:val="00A527CB"/>
    <w:rsid w:val="00A52885"/>
    <w:rsid w:val="00A53824"/>
    <w:rsid w:val="00A54FD5"/>
    <w:rsid w:val="00A5588D"/>
    <w:rsid w:val="00A55B0A"/>
    <w:rsid w:val="00A55C7A"/>
    <w:rsid w:val="00A55FD5"/>
    <w:rsid w:val="00A6033A"/>
    <w:rsid w:val="00A60E63"/>
    <w:rsid w:val="00A61325"/>
    <w:rsid w:val="00A619EB"/>
    <w:rsid w:val="00A61FA9"/>
    <w:rsid w:val="00A62775"/>
    <w:rsid w:val="00A6314E"/>
    <w:rsid w:val="00A637B3"/>
    <w:rsid w:val="00A643CA"/>
    <w:rsid w:val="00A6560E"/>
    <w:rsid w:val="00A65B40"/>
    <w:rsid w:val="00A65D57"/>
    <w:rsid w:val="00A666C8"/>
    <w:rsid w:val="00A674DB"/>
    <w:rsid w:val="00A679DC"/>
    <w:rsid w:val="00A67B95"/>
    <w:rsid w:val="00A67C60"/>
    <w:rsid w:val="00A70813"/>
    <w:rsid w:val="00A708C5"/>
    <w:rsid w:val="00A70966"/>
    <w:rsid w:val="00A70BDA"/>
    <w:rsid w:val="00A71127"/>
    <w:rsid w:val="00A71684"/>
    <w:rsid w:val="00A71B39"/>
    <w:rsid w:val="00A71BB8"/>
    <w:rsid w:val="00A71E1D"/>
    <w:rsid w:val="00A723B0"/>
    <w:rsid w:val="00A73712"/>
    <w:rsid w:val="00A73BCB"/>
    <w:rsid w:val="00A74338"/>
    <w:rsid w:val="00A75598"/>
    <w:rsid w:val="00A75DE6"/>
    <w:rsid w:val="00A75FE2"/>
    <w:rsid w:val="00A769FE"/>
    <w:rsid w:val="00A76E6A"/>
    <w:rsid w:val="00A76FBF"/>
    <w:rsid w:val="00A77870"/>
    <w:rsid w:val="00A77EF9"/>
    <w:rsid w:val="00A8056A"/>
    <w:rsid w:val="00A80620"/>
    <w:rsid w:val="00A806E2"/>
    <w:rsid w:val="00A8120A"/>
    <w:rsid w:val="00A814F1"/>
    <w:rsid w:val="00A817AE"/>
    <w:rsid w:val="00A81D16"/>
    <w:rsid w:val="00A83B87"/>
    <w:rsid w:val="00A83B91"/>
    <w:rsid w:val="00A83F51"/>
    <w:rsid w:val="00A84989"/>
    <w:rsid w:val="00A86C66"/>
    <w:rsid w:val="00A87076"/>
    <w:rsid w:val="00A87C7C"/>
    <w:rsid w:val="00A87FF8"/>
    <w:rsid w:val="00A9096B"/>
    <w:rsid w:val="00A90E6D"/>
    <w:rsid w:val="00A90FA1"/>
    <w:rsid w:val="00A910FC"/>
    <w:rsid w:val="00A918EC"/>
    <w:rsid w:val="00A9232E"/>
    <w:rsid w:val="00A92A24"/>
    <w:rsid w:val="00A92AF8"/>
    <w:rsid w:val="00A92CA6"/>
    <w:rsid w:val="00A93127"/>
    <w:rsid w:val="00A93998"/>
    <w:rsid w:val="00A93DFC"/>
    <w:rsid w:val="00A93E74"/>
    <w:rsid w:val="00A9459C"/>
    <w:rsid w:val="00A94A54"/>
    <w:rsid w:val="00A94EFA"/>
    <w:rsid w:val="00A94F52"/>
    <w:rsid w:val="00A9511C"/>
    <w:rsid w:val="00A95D08"/>
    <w:rsid w:val="00A96C46"/>
    <w:rsid w:val="00A96F10"/>
    <w:rsid w:val="00AA01C7"/>
    <w:rsid w:val="00AA03EA"/>
    <w:rsid w:val="00AA0924"/>
    <w:rsid w:val="00AA09DC"/>
    <w:rsid w:val="00AA1E31"/>
    <w:rsid w:val="00AA22E3"/>
    <w:rsid w:val="00AA2B89"/>
    <w:rsid w:val="00AA32B5"/>
    <w:rsid w:val="00AA3494"/>
    <w:rsid w:val="00AA3DFD"/>
    <w:rsid w:val="00AA415A"/>
    <w:rsid w:val="00AA4909"/>
    <w:rsid w:val="00AA4C53"/>
    <w:rsid w:val="00AA6107"/>
    <w:rsid w:val="00AA633B"/>
    <w:rsid w:val="00AA66E6"/>
    <w:rsid w:val="00AA6A99"/>
    <w:rsid w:val="00AA6D42"/>
    <w:rsid w:val="00AA7060"/>
    <w:rsid w:val="00AA7399"/>
    <w:rsid w:val="00AA786F"/>
    <w:rsid w:val="00AB0218"/>
    <w:rsid w:val="00AB04D0"/>
    <w:rsid w:val="00AB072E"/>
    <w:rsid w:val="00AB0E2C"/>
    <w:rsid w:val="00AB100C"/>
    <w:rsid w:val="00AB12F3"/>
    <w:rsid w:val="00AB1A37"/>
    <w:rsid w:val="00AB203E"/>
    <w:rsid w:val="00AB20BF"/>
    <w:rsid w:val="00AB29EF"/>
    <w:rsid w:val="00AB2E34"/>
    <w:rsid w:val="00AB3634"/>
    <w:rsid w:val="00AB411E"/>
    <w:rsid w:val="00AB436F"/>
    <w:rsid w:val="00AB4E25"/>
    <w:rsid w:val="00AB5ADD"/>
    <w:rsid w:val="00AB67D6"/>
    <w:rsid w:val="00AB6E29"/>
    <w:rsid w:val="00AB77F4"/>
    <w:rsid w:val="00AB7ACC"/>
    <w:rsid w:val="00AB7B11"/>
    <w:rsid w:val="00AC0B47"/>
    <w:rsid w:val="00AC0F3F"/>
    <w:rsid w:val="00AC0FA4"/>
    <w:rsid w:val="00AC13C8"/>
    <w:rsid w:val="00AC29BC"/>
    <w:rsid w:val="00AC2EDB"/>
    <w:rsid w:val="00AC33D8"/>
    <w:rsid w:val="00AC3702"/>
    <w:rsid w:val="00AC382E"/>
    <w:rsid w:val="00AC3EAB"/>
    <w:rsid w:val="00AC43D1"/>
    <w:rsid w:val="00AC4EE9"/>
    <w:rsid w:val="00AC5C37"/>
    <w:rsid w:val="00AC6007"/>
    <w:rsid w:val="00AC615A"/>
    <w:rsid w:val="00AC653E"/>
    <w:rsid w:val="00AC7001"/>
    <w:rsid w:val="00AC77A3"/>
    <w:rsid w:val="00AC77FC"/>
    <w:rsid w:val="00AC7DF8"/>
    <w:rsid w:val="00AD02C9"/>
    <w:rsid w:val="00AD047F"/>
    <w:rsid w:val="00AD0B69"/>
    <w:rsid w:val="00AD11FF"/>
    <w:rsid w:val="00AD1ABD"/>
    <w:rsid w:val="00AD2291"/>
    <w:rsid w:val="00AD25F3"/>
    <w:rsid w:val="00AD2728"/>
    <w:rsid w:val="00AD32F4"/>
    <w:rsid w:val="00AD439A"/>
    <w:rsid w:val="00AD580E"/>
    <w:rsid w:val="00AD5A3E"/>
    <w:rsid w:val="00AD5BDA"/>
    <w:rsid w:val="00AD6201"/>
    <w:rsid w:val="00AD6364"/>
    <w:rsid w:val="00AD6395"/>
    <w:rsid w:val="00AD6C11"/>
    <w:rsid w:val="00AD6FA4"/>
    <w:rsid w:val="00AD718D"/>
    <w:rsid w:val="00AD7372"/>
    <w:rsid w:val="00AD7563"/>
    <w:rsid w:val="00AE01E5"/>
    <w:rsid w:val="00AE0F5D"/>
    <w:rsid w:val="00AE1A20"/>
    <w:rsid w:val="00AE1A64"/>
    <w:rsid w:val="00AE2C19"/>
    <w:rsid w:val="00AE355B"/>
    <w:rsid w:val="00AE3655"/>
    <w:rsid w:val="00AE382E"/>
    <w:rsid w:val="00AE3BB2"/>
    <w:rsid w:val="00AE46F9"/>
    <w:rsid w:val="00AE60E9"/>
    <w:rsid w:val="00AE67CE"/>
    <w:rsid w:val="00AE6E61"/>
    <w:rsid w:val="00AE728E"/>
    <w:rsid w:val="00AE74C2"/>
    <w:rsid w:val="00AE74E1"/>
    <w:rsid w:val="00AF0C2F"/>
    <w:rsid w:val="00AF221C"/>
    <w:rsid w:val="00AF2613"/>
    <w:rsid w:val="00AF2C17"/>
    <w:rsid w:val="00AF2F52"/>
    <w:rsid w:val="00AF302C"/>
    <w:rsid w:val="00AF3D47"/>
    <w:rsid w:val="00AF48F4"/>
    <w:rsid w:val="00AF49EB"/>
    <w:rsid w:val="00AF4C71"/>
    <w:rsid w:val="00AF4D3B"/>
    <w:rsid w:val="00AF4DB7"/>
    <w:rsid w:val="00AF4DD7"/>
    <w:rsid w:val="00AF5206"/>
    <w:rsid w:val="00AF611B"/>
    <w:rsid w:val="00AF6148"/>
    <w:rsid w:val="00AF6294"/>
    <w:rsid w:val="00AF74FA"/>
    <w:rsid w:val="00B00557"/>
    <w:rsid w:val="00B0071B"/>
    <w:rsid w:val="00B00F57"/>
    <w:rsid w:val="00B02612"/>
    <w:rsid w:val="00B02862"/>
    <w:rsid w:val="00B0295D"/>
    <w:rsid w:val="00B02E22"/>
    <w:rsid w:val="00B03909"/>
    <w:rsid w:val="00B03A44"/>
    <w:rsid w:val="00B03C33"/>
    <w:rsid w:val="00B040AA"/>
    <w:rsid w:val="00B04336"/>
    <w:rsid w:val="00B0460F"/>
    <w:rsid w:val="00B04672"/>
    <w:rsid w:val="00B04812"/>
    <w:rsid w:val="00B049D5"/>
    <w:rsid w:val="00B05473"/>
    <w:rsid w:val="00B054DC"/>
    <w:rsid w:val="00B057D0"/>
    <w:rsid w:val="00B05F62"/>
    <w:rsid w:val="00B06129"/>
    <w:rsid w:val="00B061A7"/>
    <w:rsid w:val="00B06864"/>
    <w:rsid w:val="00B06D6E"/>
    <w:rsid w:val="00B0788E"/>
    <w:rsid w:val="00B07A0E"/>
    <w:rsid w:val="00B07E03"/>
    <w:rsid w:val="00B1027E"/>
    <w:rsid w:val="00B10D3F"/>
    <w:rsid w:val="00B113A8"/>
    <w:rsid w:val="00B11F9B"/>
    <w:rsid w:val="00B12048"/>
    <w:rsid w:val="00B12374"/>
    <w:rsid w:val="00B123FD"/>
    <w:rsid w:val="00B12766"/>
    <w:rsid w:val="00B127E0"/>
    <w:rsid w:val="00B13101"/>
    <w:rsid w:val="00B134B7"/>
    <w:rsid w:val="00B13FB8"/>
    <w:rsid w:val="00B1414E"/>
    <w:rsid w:val="00B14CCF"/>
    <w:rsid w:val="00B15B9D"/>
    <w:rsid w:val="00B175A8"/>
    <w:rsid w:val="00B1775F"/>
    <w:rsid w:val="00B17A0D"/>
    <w:rsid w:val="00B17A4D"/>
    <w:rsid w:val="00B20126"/>
    <w:rsid w:val="00B201B7"/>
    <w:rsid w:val="00B2039A"/>
    <w:rsid w:val="00B2051F"/>
    <w:rsid w:val="00B20991"/>
    <w:rsid w:val="00B21067"/>
    <w:rsid w:val="00B2148B"/>
    <w:rsid w:val="00B22247"/>
    <w:rsid w:val="00B22AFC"/>
    <w:rsid w:val="00B23293"/>
    <w:rsid w:val="00B23B8B"/>
    <w:rsid w:val="00B23D21"/>
    <w:rsid w:val="00B24965"/>
    <w:rsid w:val="00B24D38"/>
    <w:rsid w:val="00B25076"/>
    <w:rsid w:val="00B251CA"/>
    <w:rsid w:val="00B2545B"/>
    <w:rsid w:val="00B2595F"/>
    <w:rsid w:val="00B25A2F"/>
    <w:rsid w:val="00B25A42"/>
    <w:rsid w:val="00B269F7"/>
    <w:rsid w:val="00B26BF2"/>
    <w:rsid w:val="00B27C3D"/>
    <w:rsid w:val="00B30183"/>
    <w:rsid w:val="00B30513"/>
    <w:rsid w:val="00B30B69"/>
    <w:rsid w:val="00B3129C"/>
    <w:rsid w:val="00B3141D"/>
    <w:rsid w:val="00B31AAD"/>
    <w:rsid w:val="00B32699"/>
    <w:rsid w:val="00B32770"/>
    <w:rsid w:val="00B329B7"/>
    <w:rsid w:val="00B32D07"/>
    <w:rsid w:val="00B33C76"/>
    <w:rsid w:val="00B33FF1"/>
    <w:rsid w:val="00B34C70"/>
    <w:rsid w:val="00B34C9D"/>
    <w:rsid w:val="00B34D83"/>
    <w:rsid w:val="00B350FA"/>
    <w:rsid w:val="00B35903"/>
    <w:rsid w:val="00B3596C"/>
    <w:rsid w:val="00B36DFE"/>
    <w:rsid w:val="00B372E9"/>
    <w:rsid w:val="00B3796C"/>
    <w:rsid w:val="00B37B87"/>
    <w:rsid w:val="00B37FC7"/>
    <w:rsid w:val="00B40955"/>
    <w:rsid w:val="00B40A9D"/>
    <w:rsid w:val="00B40DE0"/>
    <w:rsid w:val="00B40E5B"/>
    <w:rsid w:val="00B410E1"/>
    <w:rsid w:val="00B41371"/>
    <w:rsid w:val="00B4176E"/>
    <w:rsid w:val="00B42D70"/>
    <w:rsid w:val="00B43262"/>
    <w:rsid w:val="00B432C5"/>
    <w:rsid w:val="00B4381A"/>
    <w:rsid w:val="00B43C8E"/>
    <w:rsid w:val="00B4450B"/>
    <w:rsid w:val="00B4476E"/>
    <w:rsid w:val="00B448BB"/>
    <w:rsid w:val="00B4591F"/>
    <w:rsid w:val="00B46732"/>
    <w:rsid w:val="00B46C4D"/>
    <w:rsid w:val="00B47243"/>
    <w:rsid w:val="00B4729F"/>
    <w:rsid w:val="00B472F6"/>
    <w:rsid w:val="00B47A12"/>
    <w:rsid w:val="00B47E21"/>
    <w:rsid w:val="00B503D7"/>
    <w:rsid w:val="00B50784"/>
    <w:rsid w:val="00B50B7E"/>
    <w:rsid w:val="00B510FA"/>
    <w:rsid w:val="00B512FD"/>
    <w:rsid w:val="00B514B9"/>
    <w:rsid w:val="00B516D4"/>
    <w:rsid w:val="00B51724"/>
    <w:rsid w:val="00B51968"/>
    <w:rsid w:val="00B51A59"/>
    <w:rsid w:val="00B51D90"/>
    <w:rsid w:val="00B5239A"/>
    <w:rsid w:val="00B52863"/>
    <w:rsid w:val="00B52DC7"/>
    <w:rsid w:val="00B534AB"/>
    <w:rsid w:val="00B535A1"/>
    <w:rsid w:val="00B536AD"/>
    <w:rsid w:val="00B536DA"/>
    <w:rsid w:val="00B53DB7"/>
    <w:rsid w:val="00B549BF"/>
    <w:rsid w:val="00B54AFC"/>
    <w:rsid w:val="00B55C11"/>
    <w:rsid w:val="00B55DF2"/>
    <w:rsid w:val="00B56621"/>
    <w:rsid w:val="00B56E24"/>
    <w:rsid w:val="00B56F2C"/>
    <w:rsid w:val="00B574BE"/>
    <w:rsid w:val="00B57625"/>
    <w:rsid w:val="00B57A64"/>
    <w:rsid w:val="00B57D8F"/>
    <w:rsid w:val="00B57E13"/>
    <w:rsid w:val="00B57E54"/>
    <w:rsid w:val="00B6015E"/>
    <w:rsid w:val="00B60E90"/>
    <w:rsid w:val="00B6127E"/>
    <w:rsid w:val="00B62394"/>
    <w:rsid w:val="00B6254C"/>
    <w:rsid w:val="00B62702"/>
    <w:rsid w:val="00B62A20"/>
    <w:rsid w:val="00B63219"/>
    <w:rsid w:val="00B63493"/>
    <w:rsid w:val="00B6355E"/>
    <w:rsid w:val="00B63B06"/>
    <w:rsid w:val="00B6435B"/>
    <w:rsid w:val="00B64500"/>
    <w:rsid w:val="00B646C1"/>
    <w:rsid w:val="00B64748"/>
    <w:rsid w:val="00B6523A"/>
    <w:rsid w:val="00B65BB9"/>
    <w:rsid w:val="00B6780C"/>
    <w:rsid w:val="00B67A1A"/>
    <w:rsid w:val="00B67BF9"/>
    <w:rsid w:val="00B67FB3"/>
    <w:rsid w:val="00B700F5"/>
    <w:rsid w:val="00B70BDE"/>
    <w:rsid w:val="00B70D9E"/>
    <w:rsid w:val="00B71131"/>
    <w:rsid w:val="00B71280"/>
    <w:rsid w:val="00B71ADD"/>
    <w:rsid w:val="00B71D38"/>
    <w:rsid w:val="00B71E0F"/>
    <w:rsid w:val="00B73950"/>
    <w:rsid w:val="00B73EDE"/>
    <w:rsid w:val="00B73FE9"/>
    <w:rsid w:val="00B743CF"/>
    <w:rsid w:val="00B74866"/>
    <w:rsid w:val="00B74882"/>
    <w:rsid w:val="00B753AA"/>
    <w:rsid w:val="00B763A1"/>
    <w:rsid w:val="00B76877"/>
    <w:rsid w:val="00B76F1C"/>
    <w:rsid w:val="00B7754F"/>
    <w:rsid w:val="00B779C0"/>
    <w:rsid w:val="00B77B15"/>
    <w:rsid w:val="00B77E68"/>
    <w:rsid w:val="00B80C31"/>
    <w:rsid w:val="00B80E12"/>
    <w:rsid w:val="00B8108E"/>
    <w:rsid w:val="00B81198"/>
    <w:rsid w:val="00B81A38"/>
    <w:rsid w:val="00B81D55"/>
    <w:rsid w:val="00B8225D"/>
    <w:rsid w:val="00B826C7"/>
    <w:rsid w:val="00B827A2"/>
    <w:rsid w:val="00B8299E"/>
    <w:rsid w:val="00B82ECB"/>
    <w:rsid w:val="00B82ED0"/>
    <w:rsid w:val="00B83149"/>
    <w:rsid w:val="00B83676"/>
    <w:rsid w:val="00B83B9B"/>
    <w:rsid w:val="00B84142"/>
    <w:rsid w:val="00B843E2"/>
    <w:rsid w:val="00B84D21"/>
    <w:rsid w:val="00B84E3B"/>
    <w:rsid w:val="00B85247"/>
    <w:rsid w:val="00B8550D"/>
    <w:rsid w:val="00B85B0B"/>
    <w:rsid w:val="00B85BA6"/>
    <w:rsid w:val="00B86BD8"/>
    <w:rsid w:val="00B8724A"/>
    <w:rsid w:val="00B8730B"/>
    <w:rsid w:val="00B87341"/>
    <w:rsid w:val="00B873D4"/>
    <w:rsid w:val="00B8747F"/>
    <w:rsid w:val="00B8784F"/>
    <w:rsid w:val="00B903D6"/>
    <w:rsid w:val="00B90538"/>
    <w:rsid w:val="00B90548"/>
    <w:rsid w:val="00B90C46"/>
    <w:rsid w:val="00B91928"/>
    <w:rsid w:val="00B91E12"/>
    <w:rsid w:val="00B91E2A"/>
    <w:rsid w:val="00B921C9"/>
    <w:rsid w:val="00B92615"/>
    <w:rsid w:val="00B929F9"/>
    <w:rsid w:val="00B92A7F"/>
    <w:rsid w:val="00B92C7A"/>
    <w:rsid w:val="00B93988"/>
    <w:rsid w:val="00B9400A"/>
    <w:rsid w:val="00B9406F"/>
    <w:rsid w:val="00B943D8"/>
    <w:rsid w:val="00B949D8"/>
    <w:rsid w:val="00B9542F"/>
    <w:rsid w:val="00B955A5"/>
    <w:rsid w:val="00B95959"/>
    <w:rsid w:val="00B96AE9"/>
    <w:rsid w:val="00B96B04"/>
    <w:rsid w:val="00B96C24"/>
    <w:rsid w:val="00B96D72"/>
    <w:rsid w:val="00B96E46"/>
    <w:rsid w:val="00BA1227"/>
    <w:rsid w:val="00BA166F"/>
    <w:rsid w:val="00BA1713"/>
    <w:rsid w:val="00BA2AC8"/>
    <w:rsid w:val="00BA3842"/>
    <w:rsid w:val="00BA3C22"/>
    <w:rsid w:val="00BA44B6"/>
    <w:rsid w:val="00BA4745"/>
    <w:rsid w:val="00BA4C9D"/>
    <w:rsid w:val="00BA5523"/>
    <w:rsid w:val="00BA55F1"/>
    <w:rsid w:val="00BA5ADE"/>
    <w:rsid w:val="00BA5EDF"/>
    <w:rsid w:val="00BA69C0"/>
    <w:rsid w:val="00BA6BFC"/>
    <w:rsid w:val="00BA765A"/>
    <w:rsid w:val="00BA78D3"/>
    <w:rsid w:val="00BA7E35"/>
    <w:rsid w:val="00BA7E6D"/>
    <w:rsid w:val="00BA7EF8"/>
    <w:rsid w:val="00BB03B2"/>
    <w:rsid w:val="00BB0833"/>
    <w:rsid w:val="00BB200B"/>
    <w:rsid w:val="00BB217E"/>
    <w:rsid w:val="00BB2888"/>
    <w:rsid w:val="00BB2BD3"/>
    <w:rsid w:val="00BB3774"/>
    <w:rsid w:val="00BB3A22"/>
    <w:rsid w:val="00BB3C20"/>
    <w:rsid w:val="00BB3E9F"/>
    <w:rsid w:val="00BB406A"/>
    <w:rsid w:val="00BB456E"/>
    <w:rsid w:val="00BB47E4"/>
    <w:rsid w:val="00BB490B"/>
    <w:rsid w:val="00BB4AA1"/>
    <w:rsid w:val="00BB5194"/>
    <w:rsid w:val="00BB52B3"/>
    <w:rsid w:val="00BB5480"/>
    <w:rsid w:val="00BB571A"/>
    <w:rsid w:val="00BB59C4"/>
    <w:rsid w:val="00BB5A97"/>
    <w:rsid w:val="00BB5BCA"/>
    <w:rsid w:val="00BB62B3"/>
    <w:rsid w:val="00BB68EE"/>
    <w:rsid w:val="00BB69F3"/>
    <w:rsid w:val="00BB6DFA"/>
    <w:rsid w:val="00BB705E"/>
    <w:rsid w:val="00BB75E5"/>
    <w:rsid w:val="00BB7C27"/>
    <w:rsid w:val="00BB7FF5"/>
    <w:rsid w:val="00BC0779"/>
    <w:rsid w:val="00BC0FCB"/>
    <w:rsid w:val="00BC138C"/>
    <w:rsid w:val="00BC1437"/>
    <w:rsid w:val="00BC171D"/>
    <w:rsid w:val="00BC1B15"/>
    <w:rsid w:val="00BC2626"/>
    <w:rsid w:val="00BC270F"/>
    <w:rsid w:val="00BC33EE"/>
    <w:rsid w:val="00BC36B2"/>
    <w:rsid w:val="00BC3AED"/>
    <w:rsid w:val="00BC44D0"/>
    <w:rsid w:val="00BC47B3"/>
    <w:rsid w:val="00BC4A76"/>
    <w:rsid w:val="00BC554E"/>
    <w:rsid w:val="00BC5665"/>
    <w:rsid w:val="00BC59E1"/>
    <w:rsid w:val="00BC5D84"/>
    <w:rsid w:val="00BC5DDC"/>
    <w:rsid w:val="00BC6282"/>
    <w:rsid w:val="00BC632D"/>
    <w:rsid w:val="00BC6B97"/>
    <w:rsid w:val="00BC73A8"/>
    <w:rsid w:val="00BC74B0"/>
    <w:rsid w:val="00BC7556"/>
    <w:rsid w:val="00BC7908"/>
    <w:rsid w:val="00BC7F1A"/>
    <w:rsid w:val="00BD0566"/>
    <w:rsid w:val="00BD0E13"/>
    <w:rsid w:val="00BD13EE"/>
    <w:rsid w:val="00BD1509"/>
    <w:rsid w:val="00BD17AA"/>
    <w:rsid w:val="00BD1AF1"/>
    <w:rsid w:val="00BD1DD3"/>
    <w:rsid w:val="00BD1E13"/>
    <w:rsid w:val="00BD2822"/>
    <w:rsid w:val="00BD2D06"/>
    <w:rsid w:val="00BD2DD3"/>
    <w:rsid w:val="00BD30E1"/>
    <w:rsid w:val="00BD31A3"/>
    <w:rsid w:val="00BD35A3"/>
    <w:rsid w:val="00BD39A5"/>
    <w:rsid w:val="00BD3B5E"/>
    <w:rsid w:val="00BD413F"/>
    <w:rsid w:val="00BD43AA"/>
    <w:rsid w:val="00BD454F"/>
    <w:rsid w:val="00BD4B45"/>
    <w:rsid w:val="00BD5138"/>
    <w:rsid w:val="00BD5547"/>
    <w:rsid w:val="00BD6197"/>
    <w:rsid w:val="00BD6A66"/>
    <w:rsid w:val="00BD7475"/>
    <w:rsid w:val="00BD7683"/>
    <w:rsid w:val="00BD79D0"/>
    <w:rsid w:val="00BE03ED"/>
    <w:rsid w:val="00BE061B"/>
    <w:rsid w:val="00BE084E"/>
    <w:rsid w:val="00BE0D31"/>
    <w:rsid w:val="00BE101D"/>
    <w:rsid w:val="00BE11B0"/>
    <w:rsid w:val="00BE1710"/>
    <w:rsid w:val="00BE1D35"/>
    <w:rsid w:val="00BE2086"/>
    <w:rsid w:val="00BE329B"/>
    <w:rsid w:val="00BE3690"/>
    <w:rsid w:val="00BE3E13"/>
    <w:rsid w:val="00BE3FA4"/>
    <w:rsid w:val="00BE4D8D"/>
    <w:rsid w:val="00BE569E"/>
    <w:rsid w:val="00BE58A2"/>
    <w:rsid w:val="00BE61EA"/>
    <w:rsid w:val="00BE6DF0"/>
    <w:rsid w:val="00BE6FB3"/>
    <w:rsid w:val="00BE70D0"/>
    <w:rsid w:val="00BE71DF"/>
    <w:rsid w:val="00BF0780"/>
    <w:rsid w:val="00BF0C9C"/>
    <w:rsid w:val="00BF1EB1"/>
    <w:rsid w:val="00BF2AEC"/>
    <w:rsid w:val="00BF2D4B"/>
    <w:rsid w:val="00BF30A1"/>
    <w:rsid w:val="00BF35BC"/>
    <w:rsid w:val="00BF3842"/>
    <w:rsid w:val="00BF3AED"/>
    <w:rsid w:val="00BF3EAD"/>
    <w:rsid w:val="00BF4182"/>
    <w:rsid w:val="00BF45A5"/>
    <w:rsid w:val="00BF47E1"/>
    <w:rsid w:val="00BF47E9"/>
    <w:rsid w:val="00BF483B"/>
    <w:rsid w:val="00BF501E"/>
    <w:rsid w:val="00BF53A2"/>
    <w:rsid w:val="00BF54A8"/>
    <w:rsid w:val="00BF5548"/>
    <w:rsid w:val="00BF6842"/>
    <w:rsid w:val="00BF70E0"/>
    <w:rsid w:val="00BF73D8"/>
    <w:rsid w:val="00BF7502"/>
    <w:rsid w:val="00BF7D01"/>
    <w:rsid w:val="00C005E6"/>
    <w:rsid w:val="00C0077C"/>
    <w:rsid w:val="00C019F7"/>
    <w:rsid w:val="00C01E3C"/>
    <w:rsid w:val="00C039B8"/>
    <w:rsid w:val="00C04A14"/>
    <w:rsid w:val="00C05231"/>
    <w:rsid w:val="00C05427"/>
    <w:rsid w:val="00C060B5"/>
    <w:rsid w:val="00C066B3"/>
    <w:rsid w:val="00C06B4E"/>
    <w:rsid w:val="00C07D33"/>
    <w:rsid w:val="00C10D10"/>
    <w:rsid w:val="00C11140"/>
    <w:rsid w:val="00C1183F"/>
    <w:rsid w:val="00C1198C"/>
    <w:rsid w:val="00C124CA"/>
    <w:rsid w:val="00C12738"/>
    <w:rsid w:val="00C12AC1"/>
    <w:rsid w:val="00C12C21"/>
    <w:rsid w:val="00C12F18"/>
    <w:rsid w:val="00C14294"/>
    <w:rsid w:val="00C1436A"/>
    <w:rsid w:val="00C1464E"/>
    <w:rsid w:val="00C14A1E"/>
    <w:rsid w:val="00C14C07"/>
    <w:rsid w:val="00C14C40"/>
    <w:rsid w:val="00C1575A"/>
    <w:rsid w:val="00C15878"/>
    <w:rsid w:val="00C158A4"/>
    <w:rsid w:val="00C15AA2"/>
    <w:rsid w:val="00C167CE"/>
    <w:rsid w:val="00C17001"/>
    <w:rsid w:val="00C174C0"/>
    <w:rsid w:val="00C178E4"/>
    <w:rsid w:val="00C1797C"/>
    <w:rsid w:val="00C205DD"/>
    <w:rsid w:val="00C20BE8"/>
    <w:rsid w:val="00C20E4C"/>
    <w:rsid w:val="00C211C5"/>
    <w:rsid w:val="00C212C6"/>
    <w:rsid w:val="00C21939"/>
    <w:rsid w:val="00C21DD5"/>
    <w:rsid w:val="00C22984"/>
    <w:rsid w:val="00C22B78"/>
    <w:rsid w:val="00C23059"/>
    <w:rsid w:val="00C238A0"/>
    <w:rsid w:val="00C240C7"/>
    <w:rsid w:val="00C24297"/>
    <w:rsid w:val="00C259A3"/>
    <w:rsid w:val="00C25B1A"/>
    <w:rsid w:val="00C25E14"/>
    <w:rsid w:val="00C263E9"/>
    <w:rsid w:val="00C2668B"/>
    <w:rsid w:val="00C26974"/>
    <w:rsid w:val="00C271B0"/>
    <w:rsid w:val="00C273E1"/>
    <w:rsid w:val="00C2786A"/>
    <w:rsid w:val="00C27943"/>
    <w:rsid w:val="00C27D2D"/>
    <w:rsid w:val="00C300E7"/>
    <w:rsid w:val="00C304C0"/>
    <w:rsid w:val="00C30551"/>
    <w:rsid w:val="00C30814"/>
    <w:rsid w:val="00C308E2"/>
    <w:rsid w:val="00C30A72"/>
    <w:rsid w:val="00C3128A"/>
    <w:rsid w:val="00C3131B"/>
    <w:rsid w:val="00C31B64"/>
    <w:rsid w:val="00C31C86"/>
    <w:rsid w:val="00C31D18"/>
    <w:rsid w:val="00C322FC"/>
    <w:rsid w:val="00C3235D"/>
    <w:rsid w:val="00C32912"/>
    <w:rsid w:val="00C334A5"/>
    <w:rsid w:val="00C33AAF"/>
    <w:rsid w:val="00C33D31"/>
    <w:rsid w:val="00C340D2"/>
    <w:rsid w:val="00C35131"/>
    <w:rsid w:val="00C352DC"/>
    <w:rsid w:val="00C35385"/>
    <w:rsid w:val="00C357DE"/>
    <w:rsid w:val="00C35AEB"/>
    <w:rsid w:val="00C35CFF"/>
    <w:rsid w:val="00C365F5"/>
    <w:rsid w:val="00C366F8"/>
    <w:rsid w:val="00C36915"/>
    <w:rsid w:val="00C3692A"/>
    <w:rsid w:val="00C36D8B"/>
    <w:rsid w:val="00C37279"/>
    <w:rsid w:val="00C376D4"/>
    <w:rsid w:val="00C4063A"/>
    <w:rsid w:val="00C40643"/>
    <w:rsid w:val="00C40A87"/>
    <w:rsid w:val="00C40C71"/>
    <w:rsid w:val="00C40EBA"/>
    <w:rsid w:val="00C40EE3"/>
    <w:rsid w:val="00C41480"/>
    <w:rsid w:val="00C4156A"/>
    <w:rsid w:val="00C416E7"/>
    <w:rsid w:val="00C42228"/>
    <w:rsid w:val="00C427A7"/>
    <w:rsid w:val="00C4292F"/>
    <w:rsid w:val="00C43069"/>
    <w:rsid w:val="00C43480"/>
    <w:rsid w:val="00C434D5"/>
    <w:rsid w:val="00C43988"/>
    <w:rsid w:val="00C44675"/>
    <w:rsid w:val="00C44763"/>
    <w:rsid w:val="00C44830"/>
    <w:rsid w:val="00C451C7"/>
    <w:rsid w:val="00C45224"/>
    <w:rsid w:val="00C455B0"/>
    <w:rsid w:val="00C45967"/>
    <w:rsid w:val="00C4619C"/>
    <w:rsid w:val="00C46501"/>
    <w:rsid w:val="00C46FAF"/>
    <w:rsid w:val="00C474A0"/>
    <w:rsid w:val="00C478B0"/>
    <w:rsid w:val="00C47C80"/>
    <w:rsid w:val="00C47D94"/>
    <w:rsid w:val="00C505DE"/>
    <w:rsid w:val="00C50793"/>
    <w:rsid w:val="00C50A46"/>
    <w:rsid w:val="00C50AED"/>
    <w:rsid w:val="00C50D51"/>
    <w:rsid w:val="00C50FD5"/>
    <w:rsid w:val="00C52198"/>
    <w:rsid w:val="00C5228E"/>
    <w:rsid w:val="00C531AE"/>
    <w:rsid w:val="00C5369E"/>
    <w:rsid w:val="00C536BA"/>
    <w:rsid w:val="00C53FE5"/>
    <w:rsid w:val="00C54B3C"/>
    <w:rsid w:val="00C5589C"/>
    <w:rsid w:val="00C55C4D"/>
    <w:rsid w:val="00C55D86"/>
    <w:rsid w:val="00C566A8"/>
    <w:rsid w:val="00C5699B"/>
    <w:rsid w:val="00C56A5D"/>
    <w:rsid w:val="00C56D94"/>
    <w:rsid w:val="00C56E7A"/>
    <w:rsid w:val="00C56F95"/>
    <w:rsid w:val="00C57241"/>
    <w:rsid w:val="00C574ED"/>
    <w:rsid w:val="00C57621"/>
    <w:rsid w:val="00C57789"/>
    <w:rsid w:val="00C57F2D"/>
    <w:rsid w:val="00C604B7"/>
    <w:rsid w:val="00C6080C"/>
    <w:rsid w:val="00C609BC"/>
    <w:rsid w:val="00C62325"/>
    <w:rsid w:val="00C62E23"/>
    <w:rsid w:val="00C630A9"/>
    <w:rsid w:val="00C63CA0"/>
    <w:rsid w:val="00C63E11"/>
    <w:rsid w:val="00C6418D"/>
    <w:rsid w:val="00C64638"/>
    <w:rsid w:val="00C64DC4"/>
    <w:rsid w:val="00C64E4E"/>
    <w:rsid w:val="00C657E3"/>
    <w:rsid w:val="00C660BF"/>
    <w:rsid w:val="00C6699D"/>
    <w:rsid w:val="00C66A0D"/>
    <w:rsid w:val="00C66ACD"/>
    <w:rsid w:val="00C66AEA"/>
    <w:rsid w:val="00C66B4F"/>
    <w:rsid w:val="00C676BB"/>
    <w:rsid w:val="00C67C8A"/>
    <w:rsid w:val="00C67D06"/>
    <w:rsid w:val="00C70236"/>
    <w:rsid w:val="00C702B9"/>
    <w:rsid w:val="00C70A8E"/>
    <w:rsid w:val="00C71C02"/>
    <w:rsid w:val="00C72024"/>
    <w:rsid w:val="00C721D3"/>
    <w:rsid w:val="00C728E2"/>
    <w:rsid w:val="00C72C26"/>
    <w:rsid w:val="00C72C92"/>
    <w:rsid w:val="00C737ED"/>
    <w:rsid w:val="00C73D77"/>
    <w:rsid w:val="00C73FB4"/>
    <w:rsid w:val="00C741A8"/>
    <w:rsid w:val="00C7464F"/>
    <w:rsid w:val="00C748EF"/>
    <w:rsid w:val="00C748F8"/>
    <w:rsid w:val="00C74B42"/>
    <w:rsid w:val="00C7525C"/>
    <w:rsid w:val="00C758D9"/>
    <w:rsid w:val="00C75AE4"/>
    <w:rsid w:val="00C75D5C"/>
    <w:rsid w:val="00C75ECE"/>
    <w:rsid w:val="00C76035"/>
    <w:rsid w:val="00C7662A"/>
    <w:rsid w:val="00C76A31"/>
    <w:rsid w:val="00C76BB9"/>
    <w:rsid w:val="00C76C58"/>
    <w:rsid w:val="00C76F9D"/>
    <w:rsid w:val="00C7735D"/>
    <w:rsid w:val="00C777AB"/>
    <w:rsid w:val="00C77EA5"/>
    <w:rsid w:val="00C80E05"/>
    <w:rsid w:val="00C810D8"/>
    <w:rsid w:val="00C816DB"/>
    <w:rsid w:val="00C81B8D"/>
    <w:rsid w:val="00C81F52"/>
    <w:rsid w:val="00C82335"/>
    <w:rsid w:val="00C82E2B"/>
    <w:rsid w:val="00C831CA"/>
    <w:rsid w:val="00C8394C"/>
    <w:rsid w:val="00C83AC1"/>
    <w:rsid w:val="00C83F9A"/>
    <w:rsid w:val="00C84AAC"/>
    <w:rsid w:val="00C84AD7"/>
    <w:rsid w:val="00C8516C"/>
    <w:rsid w:val="00C8564B"/>
    <w:rsid w:val="00C86F9F"/>
    <w:rsid w:val="00C873A8"/>
    <w:rsid w:val="00C87B68"/>
    <w:rsid w:val="00C904F2"/>
    <w:rsid w:val="00C91152"/>
    <w:rsid w:val="00C9132A"/>
    <w:rsid w:val="00C91B07"/>
    <w:rsid w:val="00C920A9"/>
    <w:rsid w:val="00C93A2D"/>
    <w:rsid w:val="00C93DBA"/>
    <w:rsid w:val="00C94450"/>
    <w:rsid w:val="00C94A77"/>
    <w:rsid w:val="00C94C88"/>
    <w:rsid w:val="00C94FAE"/>
    <w:rsid w:val="00C95940"/>
    <w:rsid w:val="00C96059"/>
    <w:rsid w:val="00C96435"/>
    <w:rsid w:val="00C96F77"/>
    <w:rsid w:val="00C97624"/>
    <w:rsid w:val="00C978CE"/>
    <w:rsid w:val="00C97A21"/>
    <w:rsid w:val="00C97A27"/>
    <w:rsid w:val="00C97A46"/>
    <w:rsid w:val="00C97DC2"/>
    <w:rsid w:val="00CA00FC"/>
    <w:rsid w:val="00CA037D"/>
    <w:rsid w:val="00CA05CB"/>
    <w:rsid w:val="00CA0631"/>
    <w:rsid w:val="00CA0DD7"/>
    <w:rsid w:val="00CA1262"/>
    <w:rsid w:val="00CA13A8"/>
    <w:rsid w:val="00CA18C8"/>
    <w:rsid w:val="00CA1C51"/>
    <w:rsid w:val="00CA271F"/>
    <w:rsid w:val="00CA2789"/>
    <w:rsid w:val="00CA30D6"/>
    <w:rsid w:val="00CA32A9"/>
    <w:rsid w:val="00CA354C"/>
    <w:rsid w:val="00CA3C55"/>
    <w:rsid w:val="00CA4758"/>
    <w:rsid w:val="00CA4FF4"/>
    <w:rsid w:val="00CA5372"/>
    <w:rsid w:val="00CA570C"/>
    <w:rsid w:val="00CA5857"/>
    <w:rsid w:val="00CA5BE1"/>
    <w:rsid w:val="00CA5C01"/>
    <w:rsid w:val="00CA6853"/>
    <w:rsid w:val="00CA6F33"/>
    <w:rsid w:val="00CA6FF4"/>
    <w:rsid w:val="00CA73D2"/>
    <w:rsid w:val="00CA770F"/>
    <w:rsid w:val="00CA77A4"/>
    <w:rsid w:val="00CA77F1"/>
    <w:rsid w:val="00CA783C"/>
    <w:rsid w:val="00CA7C0F"/>
    <w:rsid w:val="00CA7FAE"/>
    <w:rsid w:val="00CB0533"/>
    <w:rsid w:val="00CB07B1"/>
    <w:rsid w:val="00CB091C"/>
    <w:rsid w:val="00CB1076"/>
    <w:rsid w:val="00CB1472"/>
    <w:rsid w:val="00CB1A95"/>
    <w:rsid w:val="00CB239E"/>
    <w:rsid w:val="00CB24DA"/>
    <w:rsid w:val="00CB2A22"/>
    <w:rsid w:val="00CB2F81"/>
    <w:rsid w:val="00CB31BC"/>
    <w:rsid w:val="00CB339B"/>
    <w:rsid w:val="00CB3A8C"/>
    <w:rsid w:val="00CB4242"/>
    <w:rsid w:val="00CB47BB"/>
    <w:rsid w:val="00CB4CA4"/>
    <w:rsid w:val="00CB533A"/>
    <w:rsid w:val="00CB5616"/>
    <w:rsid w:val="00CB577A"/>
    <w:rsid w:val="00CB64C6"/>
    <w:rsid w:val="00CB6AA2"/>
    <w:rsid w:val="00CB6ABD"/>
    <w:rsid w:val="00CB6CAA"/>
    <w:rsid w:val="00CB7247"/>
    <w:rsid w:val="00CB7313"/>
    <w:rsid w:val="00CB7965"/>
    <w:rsid w:val="00CB7A59"/>
    <w:rsid w:val="00CC0D75"/>
    <w:rsid w:val="00CC0ECD"/>
    <w:rsid w:val="00CC186D"/>
    <w:rsid w:val="00CC2554"/>
    <w:rsid w:val="00CC32ED"/>
    <w:rsid w:val="00CC3627"/>
    <w:rsid w:val="00CC39B0"/>
    <w:rsid w:val="00CC4677"/>
    <w:rsid w:val="00CC51E6"/>
    <w:rsid w:val="00CC6979"/>
    <w:rsid w:val="00CC69F3"/>
    <w:rsid w:val="00CC739B"/>
    <w:rsid w:val="00CC77C1"/>
    <w:rsid w:val="00CC77DF"/>
    <w:rsid w:val="00CC788A"/>
    <w:rsid w:val="00CD00DE"/>
    <w:rsid w:val="00CD03D4"/>
    <w:rsid w:val="00CD0B47"/>
    <w:rsid w:val="00CD0C68"/>
    <w:rsid w:val="00CD1094"/>
    <w:rsid w:val="00CD1487"/>
    <w:rsid w:val="00CD1962"/>
    <w:rsid w:val="00CD1D84"/>
    <w:rsid w:val="00CD20FB"/>
    <w:rsid w:val="00CD21C3"/>
    <w:rsid w:val="00CD22B1"/>
    <w:rsid w:val="00CD250A"/>
    <w:rsid w:val="00CD2A16"/>
    <w:rsid w:val="00CD2AE5"/>
    <w:rsid w:val="00CD2BBA"/>
    <w:rsid w:val="00CD2F8B"/>
    <w:rsid w:val="00CD3695"/>
    <w:rsid w:val="00CD36C1"/>
    <w:rsid w:val="00CD4118"/>
    <w:rsid w:val="00CD47BF"/>
    <w:rsid w:val="00CD51E2"/>
    <w:rsid w:val="00CD528B"/>
    <w:rsid w:val="00CD550C"/>
    <w:rsid w:val="00CD5E53"/>
    <w:rsid w:val="00CD5FFC"/>
    <w:rsid w:val="00CD62DD"/>
    <w:rsid w:val="00CD6361"/>
    <w:rsid w:val="00CD641F"/>
    <w:rsid w:val="00CD6F7D"/>
    <w:rsid w:val="00CD6FC7"/>
    <w:rsid w:val="00CD74DB"/>
    <w:rsid w:val="00CD7AD6"/>
    <w:rsid w:val="00CE142F"/>
    <w:rsid w:val="00CE174A"/>
    <w:rsid w:val="00CE17F3"/>
    <w:rsid w:val="00CE1C8F"/>
    <w:rsid w:val="00CE2D3E"/>
    <w:rsid w:val="00CE33FE"/>
    <w:rsid w:val="00CE42A9"/>
    <w:rsid w:val="00CE4A25"/>
    <w:rsid w:val="00CE4B69"/>
    <w:rsid w:val="00CE5135"/>
    <w:rsid w:val="00CE5766"/>
    <w:rsid w:val="00CE5ADF"/>
    <w:rsid w:val="00CE5E9C"/>
    <w:rsid w:val="00CE6009"/>
    <w:rsid w:val="00CE615F"/>
    <w:rsid w:val="00CE61AA"/>
    <w:rsid w:val="00CE7455"/>
    <w:rsid w:val="00CF093A"/>
    <w:rsid w:val="00CF0964"/>
    <w:rsid w:val="00CF0C72"/>
    <w:rsid w:val="00CF12C7"/>
    <w:rsid w:val="00CF13C9"/>
    <w:rsid w:val="00CF27D1"/>
    <w:rsid w:val="00CF2E1F"/>
    <w:rsid w:val="00CF2FEA"/>
    <w:rsid w:val="00CF37F5"/>
    <w:rsid w:val="00CF3991"/>
    <w:rsid w:val="00CF44CD"/>
    <w:rsid w:val="00CF48AC"/>
    <w:rsid w:val="00CF5106"/>
    <w:rsid w:val="00CF550C"/>
    <w:rsid w:val="00CF5770"/>
    <w:rsid w:val="00CF5A99"/>
    <w:rsid w:val="00CF6672"/>
    <w:rsid w:val="00CF7681"/>
    <w:rsid w:val="00CF7FD4"/>
    <w:rsid w:val="00D004A0"/>
    <w:rsid w:val="00D005E5"/>
    <w:rsid w:val="00D01166"/>
    <w:rsid w:val="00D0116B"/>
    <w:rsid w:val="00D018FF"/>
    <w:rsid w:val="00D01960"/>
    <w:rsid w:val="00D01C69"/>
    <w:rsid w:val="00D02237"/>
    <w:rsid w:val="00D0268E"/>
    <w:rsid w:val="00D0285A"/>
    <w:rsid w:val="00D029AA"/>
    <w:rsid w:val="00D02A27"/>
    <w:rsid w:val="00D02BD9"/>
    <w:rsid w:val="00D02E23"/>
    <w:rsid w:val="00D04321"/>
    <w:rsid w:val="00D049DD"/>
    <w:rsid w:val="00D04BCB"/>
    <w:rsid w:val="00D04EFD"/>
    <w:rsid w:val="00D0509D"/>
    <w:rsid w:val="00D055DA"/>
    <w:rsid w:val="00D057C1"/>
    <w:rsid w:val="00D071B6"/>
    <w:rsid w:val="00D0749E"/>
    <w:rsid w:val="00D10330"/>
    <w:rsid w:val="00D109E2"/>
    <w:rsid w:val="00D110D8"/>
    <w:rsid w:val="00D116A7"/>
    <w:rsid w:val="00D116D2"/>
    <w:rsid w:val="00D1189E"/>
    <w:rsid w:val="00D11CC6"/>
    <w:rsid w:val="00D11E83"/>
    <w:rsid w:val="00D12A14"/>
    <w:rsid w:val="00D12B07"/>
    <w:rsid w:val="00D14832"/>
    <w:rsid w:val="00D14A9B"/>
    <w:rsid w:val="00D14BFE"/>
    <w:rsid w:val="00D14C0E"/>
    <w:rsid w:val="00D14EEB"/>
    <w:rsid w:val="00D15F4C"/>
    <w:rsid w:val="00D1676F"/>
    <w:rsid w:val="00D16C88"/>
    <w:rsid w:val="00D16F6D"/>
    <w:rsid w:val="00D204CE"/>
    <w:rsid w:val="00D20821"/>
    <w:rsid w:val="00D208F4"/>
    <w:rsid w:val="00D20C99"/>
    <w:rsid w:val="00D21300"/>
    <w:rsid w:val="00D21DF6"/>
    <w:rsid w:val="00D21F36"/>
    <w:rsid w:val="00D23AD4"/>
    <w:rsid w:val="00D23F15"/>
    <w:rsid w:val="00D247CF"/>
    <w:rsid w:val="00D25B6A"/>
    <w:rsid w:val="00D25E5A"/>
    <w:rsid w:val="00D26188"/>
    <w:rsid w:val="00D26736"/>
    <w:rsid w:val="00D26B2D"/>
    <w:rsid w:val="00D27AC3"/>
    <w:rsid w:val="00D300FF"/>
    <w:rsid w:val="00D3040A"/>
    <w:rsid w:val="00D304AC"/>
    <w:rsid w:val="00D309A3"/>
    <w:rsid w:val="00D3141B"/>
    <w:rsid w:val="00D31479"/>
    <w:rsid w:val="00D31977"/>
    <w:rsid w:val="00D32193"/>
    <w:rsid w:val="00D32796"/>
    <w:rsid w:val="00D327F9"/>
    <w:rsid w:val="00D32830"/>
    <w:rsid w:val="00D32837"/>
    <w:rsid w:val="00D3303C"/>
    <w:rsid w:val="00D33A4A"/>
    <w:rsid w:val="00D33ACC"/>
    <w:rsid w:val="00D351B7"/>
    <w:rsid w:val="00D351E1"/>
    <w:rsid w:val="00D35D90"/>
    <w:rsid w:val="00D36F1E"/>
    <w:rsid w:val="00D37637"/>
    <w:rsid w:val="00D378D2"/>
    <w:rsid w:val="00D37912"/>
    <w:rsid w:val="00D37E4F"/>
    <w:rsid w:val="00D4029B"/>
    <w:rsid w:val="00D40A5C"/>
    <w:rsid w:val="00D40B4B"/>
    <w:rsid w:val="00D40FF4"/>
    <w:rsid w:val="00D411A7"/>
    <w:rsid w:val="00D417DC"/>
    <w:rsid w:val="00D41BD7"/>
    <w:rsid w:val="00D42202"/>
    <w:rsid w:val="00D423B1"/>
    <w:rsid w:val="00D423E6"/>
    <w:rsid w:val="00D42599"/>
    <w:rsid w:val="00D425D7"/>
    <w:rsid w:val="00D428D8"/>
    <w:rsid w:val="00D42BA9"/>
    <w:rsid w:val="00D43F84"/>
    <w:rsid w:val="00D4469A"/>
    <w:rsid w:val="00D446E8"/>
    <w:rsid w:val="00D460E1"/>
    <w:rsid w:val="00D4699A"/>
    <w:rsid w:val="00D46C18"/>
    <w:rsid w:val="00D46DE2"/>
    <w:rsid w:val="00D47265"/>
    <w:rsid w:val="00D474A2"/>
    <w:rsid w:val="00D47508"/>
    <w:rsid w:val="00D47E81"/>
    <w:rsid w:val="00D509F6"/>
    <w:rsid w:val="00D510D8"/>
    <w:rsid w:val="00D515BB"/>
    <w:rsid w:val="00D51687"/>
    <w:rsid w:val="00D52713"/>
    <w:rsid w:val="00D52BE1"/>
    <w:rsid w:val="00D53836"/>
    <w:rsid w:val="00D53894"/>
    <w:rsid w:val="00D53ED8"/>
    <w:rsid w:val="00D54C28"/>
    <w:rsid w:val="00D55280"/>
    <w:rsid w:val="00D55339"/>
    <w:rsid w:val="00D5566C"/>
    <w:rsid w:val="00D55E6C"/>
    <w:rsid w:val="00D55F0D"/>
    <w:rsid w:val="00D5629B"/>
    <w:rsid w:val="00D567A5"/>
    <w:rsid w:val="00D575D0"/>
    <w:rsid w:val="00D60445"/>
    <w:rsid w:val="00D606D3"/>
    <w:rsid w:val="00D60928"/>
    <w:rsid w:val="00D61365"/>
    <w:rsid w:val="00D6140D"/>
    <w:rsid w:val="00D6151D"/>
    <w:rsid w:val="00D61615"/>
    <w:rsid w:val="00D6179D"/>
    <w:rsid w:val="00D62190"/>
    <w:rsid w:val="00D622DA"/>
    <w:rsid w:val="00D62BEB"/>
    <w:rsid w:val="00D63787"/>
    <w:rsid w:val="00D6388F"/>
    <w:rsid w:val="00D63A55"/>
    <w:rsid w:val="00D63E20"/>
    <w:rsid w:val="00D64F67"/>
    <w:rsid w:val="00D655D5"/>
    <w:rsid w:val="00D65C01"/>
    <w:rsid w:val="00D65F42"/>
    <w:rsid w:val="00D6665C"/>
    <w:rsid w:val="00D66B07"/>
    <w:rsid w:val="00D66C09"/>
    <w:rsid w:val="00D67060"/>
    <w:rsid w:val="00D67467"/>
    <w:rsid w:val="00D676B5"/>
    <w:rsid w:val="00D67D3F"/>
    <w:rsid w:val="00D701E1"/>
    <w:rsid w:val="00D70393"/>
    <w:rsid w:val="00D70F74"/>
    <w:rsid w:val="00D71272"/>
    <w:rsid w:val="00D720A3"/>
    <w:rsid w:val="00D72543"/>
    <w:rsid w:val="00D72D3A"/>
    <w:rsid w:val="00D72E55"/>
    <w:rsid w:val="00D72F18"/>
    <w:rsid w:val="00D73326"/>
    <w:rsid w:val="00D733EB"/>
    <w:rsid w:val="00D7359E"/>
    <w:rsid w:val="00D738CA"/>
    <w:rsid w:val="00D73C77"/>
    <w:rsid w:val="00D740BE"/>
    <w:rsid w:val="00D74D13"/>
    <w:rsid w:val="00D75207"/>
    <w:rsid w:val="00D753CE"/>
    <w:rsid w:val="00D75D4C"/>
    <w:rsid w:val="00D75E64"/>
    <w:rsid w:val="00D75FA3"/>
    <w:rsid w:val="00D76564"/>
    <w:rsid w:val="00D771D8"/>
    <w:rsid w:val="00D7735E"/>
    <w:rsid w:val="00D77873"/>
    <w:rsid w:val="00D77C92"/>
    <w:rsid w:val="00D80561"/>
    <w:rsid w:val="00D80CC2"/>
    <w:rsid w:val="00D80F30"/>
    <w:rsid w:val="00D80FDB"/>
    <w:rsid w:val="00D810D1"/>
    <w:rsid w:val="00D811D1"/>
    <w:rsid w:val="00D8124E"/>
    <w:rsid w:val="00D815F6"/>
    <w:rsid w:val="00D815F8"/>
    <w:rsid w:val="00D81794"/>
    <w:rsid w:val="00D82A53"/>
    <w:rsid w:val="00D83165"/>
    <w:rsid w:val="00D8330E"/>
    <w:rsid w:val="00D8360B"/>
    <w:rsid w:val="00D8387B"/>
    <w:rsid w:val="00D83A18"/>
    <w:rsid w:val="00D8418A"/>
    <w:rsid w:val="00D841FD"/>
    <w:rsid w:val="00D84354"/>
    <w:rsid w:val="00D84A2D"/>
    <w:rsid w:val="00D84F0E"/>
    <w:rsid w:val="00D86256"/>
    <w:rsid w:val="00D866B4"/>
    <w:rsid w:val="00D87977"/>
    <w:rsid w:val="00D9042F"/>
    <w:rsid w:val="00D90862"/>
    <w:rsid w:val="00D90B18"/>
    <w:rsid w:val="00D90CDF"/>
    <w:rsid w:val="00D90FBF"/>
    <w:rsid w:val="00D90FC4"/>
    <w:rsid w:val="00D91036"/>
    <w:rsid w:val="00D913CE"/>
    <w:rsid w:val="00D9246C"/>
    <w:rsid w:val="00D92662"/>
    <w:rsid w:val="00D928D7"/>
    <w:rsid w:val="00D9309A"/>
    <w:rsid w:val="00D93445"/>
    <w:rsid w:val="00D934EA"/>
    <w:rsid w:val="00D937FA"/>
    <w:rsid w:val="00D95350"/>
    <w:rsid w:val="00D9587C"/>
    <w:rsid w:val="00D95E57"/>
    <w:rsid w:val="00D95FC6"/>
    <w:rsid w:val="00D9655F"/>
    <w:rsid w:val="00D9667B"/>
    <w:rsid w:val="00D97524"/>
    <w:rsid w:val="00D9756C"/>
    <w:rsid w:val="00D97689"/>
    <w:rsid w:val="00D97896"/>
    <w:rsid w:val="00D97BA6"/>
    <w:rsid w:val="00D97F74"/>
    <w:rsid w:val="00DA0C3F"/>
    <w:rsid w:val="00DA0F8E"/>
    <w:rsid w:val="00DA1342"/>
    <w:rsid w:val="00DA13A3"/>
    <w:rsid w:val="00DA162D"/>
    <w:rsid w:val="00DA1803"/>
    <w:rsid w:val="00DA1D7D"/>
    <w:rsid w:val="00DA2344"/>
    <w:rsid w:val="00DA24D7"/>
    <w:rsid w:val="00DA2505"/>
    <w:rsid w:val="00DA251E"/>
    <w:rsid w:val="00DA291C"/>
    <w:rsid w:val="00DA2D72"/>
    <w:rsid w:val="00DA2F3D"/>
    <w:rsid w:val="00DA30A1"/>
    <w:rsid w:val="00DA3691"/>
    <w:rsid w:val="00DA36F8"/>
    <w:rsid w:val="00DA3BA7"/>
    <w:rsid w:val="00DA3C7C"/>
    <w:rsid w:val="00DA3C9A"/>
    <w:rsid w:val="00DA415A"/>
    <w:rsid w:val="00DA4ABA"/>
    <w:rsid w:val="00DA5400"/>
    <w:rsid w:val="00DA556C"/>
    <w:rsid w:val="00DA5A74"/>
    <w:rsid w:val="00DA5B69"/>
    <w:rsid w:val="00DA6125"/>
    <w:rsid w:val="00DA6223"/>
    <w:rsid w:val="00DA702A"/>
    <w:rsid w:val="00DA7182"/>
    <w:rsid w:val="00DA73A2"/>
    <w:rsid w:val="00DA7626"/>
    <w:rsid w:val="00DA7B23"/>
    <w:rsid w:val="00DB08B6"/>
    <w:rsid w:val="00DB08F8"/>
    <w:rsid w:val="00DB0B83"/>
    <w:rsid w:val="00DB0F8A"/>
    <w:rsid w:val="00DB1DAD"/>
    <w:rsid w:val="00DB1E43"/>
    <w:rsid w:val="00DB1E44"/>
    <w:rsid w:val="00DB2495"/>
    <w:rsid w:val="00DB3469"/>
    <w:rsid w:val="00DB35C5"/>
    <w:rsid w:val="00DB3A97"/>
    <w:rsid w:val="00DB3DF5"/>
    <w:rsid w:val="00DB480E"/>
    <w:rsid w:val="00DB48FA"/>
    <w:rsid w:val="00DB53A8"/>
    <w:rsid w:val="00DB5C2C"/>
    <w:rsid w:val="00DB72E0"/>
    <w:rsid w:val="00DB7C12"/>
    <w:rsid w:val="00DB7E07"/>
    <w:rsid w:val="00DC0085"/>
    <w:rsid w:val="00DC025A"/>
    <w:rsid w:val="00DC045D"/>
    <w:rsid w:val="00DC0467"/>
    <w:rsid w:val="00DC1B1C"/>
    <w:rsid w:val="00DC2663"/>
    <w:rsid w:val="00DC2CF7"/>
    <w:rsid w:val="00DC2EDB"/>
    <w:rsid w:val="00DC30B6"/>
    <w:rsid w:val="00DC34C8"/>
    <w:rsid w:val="00DC4A7B"/>
    <w:rsid w:val="00DC4DA7"/>
    <w:rsid w:val="00DC585D"/>
    <w:rsid w:val="00DC64B7"/>
    <w:rsid w:val="00DC6564"/>
    <w:rsid w:val="00DC6A84"/>
    <w:rsid w:val="00DC7066"/>
    <w:rsid w:val="00DC7485"/>
    <w:rsid w:val="00DC7627"/>
    <w:rsid w:val="00DC764F"/>
    <w:rsid w:val="00DC783C"/>
    <w:rsid w:val="00DD057F"/>
    <w:rsid w:val="00DD0F57"/>
    <w:rsid w:val="00DD0FB2"/>
    <w:rsid w:val="00DD1009"/>
    <w:rsid w:val="00DD1A31"/>
    <w:rsid w:val="00DD1C7B"/>
    <w:rsid w:val="00DD1C97"/>
    <w:rsid w:val="00DD1E6F"/>
    <w:rsid w:val="00DD23B0"/>
    <w:rsid w:val="00DD248F"/>
    <w:rsid w:val="00DD27FF"/>
    <w:rsid w:val="00DD2B94"/>
    <w:rsid w:val="00DD2ED6"/>
    <w:rsid w:val="00DD2F16"/>
    <w:rsid w:val="00DD2FE4"/>
    <w:rsid w:val="00DD3A66"/>
    <w:rsid w:val="00DD3B2A"/>
    <w:rsid w:val="00DD3B42"/>
    <w:rsid w:val="00DD3FA1"/>
    <w:rsid w:val="00DD499F"/>
    <w:rsid w:val="00DD4AB3"/>
    <w:rsid w:val="00DD4C8E"/>
    <w:rsid w:val="00DD5055"/>
    <w:rsid w:val="00DD5CE4"/>
    <w:rsid w:val="00DD5D94"/>
    <w:rsid w:val="00DD6350"/>
    <w:rsid w:val="00DD7648"/>
    <w:rsid w:val="00DD7694"/>
    <w:rsid w:val="00DD7C15"/>
    <w:rsid w:val="00DE00DF"/>
    <w:rsid w:val="00DE020D"/>
    <w:rsid w:val="00DE021C"/>
    <w:rsid w:val="00DE02DD"/>
    <w:rsid w:val="00DE0872"/>
    <w:rsid w:val="00DE1269"/>
    <w:rsid w:val="00DE14B8"/>
    <w:rsid w:val="00DE1D05"/>
    <w:rsid w:val="00DE2331"/>
    <w:rsid w:val="00DE248C"/>
    <w:rsid w:val="00DE275E"/>
    <w:rsid w:val="00DE2784"/>
    <w:rsid w:val="00DE32F4"/>
    <w:rsid w:val="00DE388F"/>
    <w:rsid w:val="00DE3AE9"/>
    <w:rsid w:val="00DE4035"/>
    <w:rsid w:val="00DE454E"/>
    <w:rsid w:val="00DE4687"/>
    <w:rsid w:val="00DE64C8"/>
    <w:rsid w:val="00DE6CC3"/>
    <w:rsid w:val="00DE6E4E"/>
    <w:rsid w:val="00DF13BC"/>
    <w:rsid w:val="00DF2155"/>
    <w:rsid w:val="00DF2FBB"/>
    <w:rsid w:val="00DF30D0"/>
    <w:rsid w:val="00DF38E6"/>
    <w:rsid w:val="00DF3A95"/>
    <w:rsid w:val="00DF3C34"/>
    <w:rsid w:val="00DF45E3"/>
    <w:rsid w:val="00DF4B8E"/>
    <w:rsid w:val="00DF4E22"/>
    <w:rsid w:val="00DF4E92"/>
    <w:rsid w:val="00DF5254"/>
    <w:rsid w:val="00DF59C2"/>
    <w:rsid w:val="00DF5D33"/>
    <w:rsid w:val="00DF647F"/>
    <w:rsid w:val="00DF65E6"/>
    <w:rsid w:val="00DF6B94"/>
    <w:rsid w:val="00DF79C4"/>
    <w:rsid w:val="00DF7CEE"/>
    <w:rsid w:val="00E002E8"/>
    <w:rsid w:val="00E00863"/>
    <w:rsid w:val="00E00CA8"/>
    <w:rsid w:val="00E02D99"/>
    <w:rsid w:val="00E033F3"/>
    <w:rsid w:val="00E044A0"/>
    <w:rsid w:val="00E04762"/>
    <w:rsid w:val="00E04B8A"/>
    <w:rsid w:val="00E04EE2"/>
    <w:rsid w:val="00E051F1"/>
    <w:rsid w:val="00E05AE9"/>
    <w:rsid w:val="00E05F1A"/>
    <w:rsid w:val="00E060DC"/>
    <w:rsid w:val="00E06338"/>
    <w:rsid w:val="00E06429"/>
    <w:rsid w:val="00E0661A"/>
    <w:rsid w:val="00E068B1"/>
    <w:rsid w:val="00E06EDC"/>
    <w:rsid w:val="00E07424"/>
    <w:rsid w:val="00E10667"/>
    <w:rsid w:val="00E10B21"/>
    <w:rsid w:val="00E10BE4"/>
    <w:rsid w:val="00E10D99"/>
    <w:rsid w:val="00E1131C"/>
    <w:rsid w:val="00E11426"/>
    <w:rsid w:val="00E114BD"/>
    <w:rsid w:val="00E1164C"/>
    <w:rsid w:val="00E11B59"/>
    <w:rsid w:val="00E11BAC"/>
    <w:rsid w:val="00E11E71"/>
    <w:rsid w:val="00E11E87"/>
    <w:rsid w:val="00E124E7"/>
    <w:rsid w:val="00E12786"/>
    <w:rsid w:val="00E12FD0"/>
    <w:rsid w:val="00E1313C"/>
    <w:rsid w:val="00E1338A"/>
    <w:rsid w:val="00E1361F"/>
    <w:rsid w:val="00E13BF6"/>
    <w:rsid w:val="00E14241"/>
    <w:rsid w:val="00E142E6"/>
    <w:rsid w:val="00E14463"/>
    <w:rsid w:val="00E147D7"/>
    <w:rsid w:val="00E148D8"/>
    <w:rsid w:val="00E1495E"/>
    <w:rsid w:val="00E15B8D"/>
    <w:rsid w:val="00E15E12"/>
    <w:rsid w:val="00E16115"/>
    <w:rsid w:val="00E16475"/>
    <w:rsid w:val="00E17031"/>
    <w:rsid w:val="00E179B5"/>
    <w:rsid w:val="00E17A26"/>
    <w:rsid w:val="00E21913"/>
    <w:rsid w:val="00E21E6E"/>
    <w:rsid w:val="00E220DA"/>
    <w:rsid w:val="00E23E70"/>
    <w:rsid w:val="00E243FC"/>
    <w:rsid w:val="00E25463"/>
    <w:rsid w:val="00E255B0"/>
    <w:rsid w:val="00E2586F"/>
    <w:rsid w:val="00E25C77"/>
    <w:rsid w:val="00E27147"/>
    <w:rsid w:val="00E27A1B"/>
    <w:rsid w:val="00E315C1"/>
    <w:rsid w:val="00E32087"/>
    <w:rsid w:val="00E33322"/>
    <w:rsid w:val="00E33D05"/>
    <w:rsid w:val="00E34155"/>
    <w:rsid w:val="00E3437C"/>
    <w:rsid w:val="00E347E4"/>
    <w:rsid w:val="00E34910"/>
    <w:rsid w:val="00E34ADB"/>
    <w:rsid w:val="00E359A0"/>
    <w:rsid w:val="00E35B6F"/>
    <w:rsid w:val="00E35DE1"/>
    <w:rsid w:val="00E36798"/>
    <w:rsid w:val="00E369FC"/>
    <w:rsid w:val="00E36F59"/>
    <w:rsid w:val="00E36FA8"/>
    <w:rsid w:val="00E37B84"/>
    <w:rsid w:val="00E405EE"/>
    <w:rsid w:val="00E407F4"/>
    <w:rsid w:val="00E40C88"/>
    <w:rsid w:val="00E40D51"/>
    <w:rsid w:val="00E418A4"/>
    <w:rsid w:val="00E4192C"/>
    <w:rsid w:val="00E42626"/>
    <w:rsid w:val="00E42951"/>
    <w:rsid w:val="00E43A4C"/>
    <w:rsid w:val="00E43DF7"/>
    <w:rsid w:val="00E43F7E"/>
    <w:rsid w:val="00E44879"/>
    <w:rsid w:val="00E4492E"/>
    <w:rsid w:val="00E44F2C"/>
    <w:rsid w:val="00E44F8F"/>
    <w:rsid w:val="00E4546E"/>
    <w:rsid w:val="00E45E2A"/>
    <w:rsid w:val="00E466F7"/>
    <w:rsid w:val="00E47509"/>
    <w:rsid w:val="00E47D3F"/>
    <w:rsid w:val="00E47F98"/>
    <w:rsid w:val="00E506FE"/>
    <w:rsid w:val="00E5095A"/>
    <w:rsid w:val="00E51591"/>
    <w:rsid w:val="00E52FE1"/>
    <w:rsid w:val="00E5352D"/>
    <w:rsid w:val="00E53616"/>
    <w:rsid w:val="00E53D21"/>
    <w:rsid w:val="00E544DD"/>
    <w:rsid w:val="00E547F9"/>
    <w:rsid w:val="00E54AD7"/>
    <w:rsid w:val="00E54C0B"/>
    <w:rsid w:val="00E55455"/>
    <w:rsid w:val="00E557A5"/>
    <w:rsid w:val="00E5590C"/>
    <w:rsid w:val="00E55A21"/>
    <w:rsid w:val="00E55ED1"/>
    <w:rsid w:val="00E56558"/>
    <w:rsid w:val="00E56B79"/>
    <w:rsid w:val="00E56CD5"/>
    <w:rsid w:val="00E57290"/>
    <w:rsid w:val="00E5732B"/>
    <w:rsid w:val="00E57757"/>
    <w:rsid w:val="00E57FC7"/>
    <w:rsid w:val="00E606EC"/>
    <w:rsid w:val="00E60EB4"/>
    <w:rsid w:val="00E610A5"/>
    <w:rsid w:val="00E61809"/>
    <w:rsid w:val="00E61F34"/>
    <w:rsid w:val="00E61FDC"/>
    <w:rsid w:val="00E62A61"/>
    <w:rsid w:val="00E62AB0"/>
    <w:rsid w:val="00E62BAE"/>
    <w:rsid w:val="00E62D10"/>
    <w:rsid w:val="00E636A4"/>
    <w:rsid w:val="00E63980"/>
    <w:rsid w:val="00E639E0"/>
    <w:rsid w:val="00E63CC2"/>
    <w:rsid w:val="00E63D05"/>
    <w:rsid w:val="00E64ED5"/>
    <w:rsid w:val="00E65540"/>
    <w:rsid w:val="00E665F1"/>
    <w:rsid w:val="00E66900"/>
    <w:rsid w:val="00E6696C"/>
    <w:rsid w:val="00E66A69"/>
    <w:rsid w:val="00E67202"/>
    <w:rsid w:val="00E6741E"/>
    <w:rsid w:val="00E67476"/>
    <w:rsid w:val="00E67A82"/>
    <w:rsid w:val="00E67A93"/>
    <w:rsid w:val="00E70540"/>
    <w:rsid w:val="00E71793"/>
    <w:rsid w:val="00E71D2D"/>
    <w:rsid w:val="00E734E8"/>
    <w:rsid w:val="00E7351C"/>
    <w:rsid w:val="00E73BDB"/>
    <w:rsid w:val="00E74B36"/>
    <w:rsid w:val="00E75126"/>
    <w:rsid w:val="00E752B4"/>
    <w:rsid w:val="00E75732"/>
    <w:rsid w:val="00E7586A"/>
    <w:rsid w:val="00E76117"/>
    <w:rsid w:val="00E7632B"/>
    <w:rsid w:val="00E77147"/>
    <w:rsid w:val="00E77A0D"/>
    <w:rsid w:val="00E77F9C"/>
    <w:rsid w:val="00E8020F"/>
    <w:rsid w:val="00E80451"/>
    <w:rsid w:val="00E8082F"/>
    <w:rsid w:val="00E8136F"/>
    <w:rsid w:val="00E8272B"/>
    <w:rsid w:val="00E827E6"/>
    <w:rsid w:val="00E828F6"/>
    <w:rsid w:val="00E82A55"/>
    <w:rsid w:val="00E82BEB"/>
    <w:rsid w:val="00E82DF1"/>
    <w:rsid w:val="00E8353D"/>
    <w:rsid w:val="00E835C9"/>
    <w:rsid w:val="00E839B7"/>
    <w:rsid w:val="00E83D5A"/>
    <w:rsid w:val="00E83F15"/>
    <w:rsid w:val="00E843E1"/>
    <w:rsid w:val="00E848FB"/>
    <w:rsid w:val="00E84C91"/>
    <w:rsid w:val="00E84EE1"/>
    <w:rsid w:val="00E84F04"/>
    <w:rsid w:val="00E84FD9"/>
    <w:rsid w:val="00E852F9"/>
    <w:rsid w:val="00E853D4"/>
    <w:rsid w:val="00E85FB3"/>
    <w:rsid w:val="00E87A7E"/>
    <w:rsid w:val="00E87F7D"/>
    <w:rsid w:val="00E90560"/>
    <w:rsid w:val="00E9109D"/>
    <w:rsid w:val="00E910C6"/>
    <w:rsid w:val="00E91A24"/>
    <w:rsid w:val="00E9234B"/>
    <w:rsid w:val="00E93048"/>
    <w:rsid w:val="00E93E44"/>
    <w:rsid w:val="00E9445C"/>
    <w:rsid w:val="00E9494F"/>
    <w:rsid w:val="00E94F29"/>
    <w:rsid w:val="00E95732"/>
    <w:rsid w:val="00E95A65"/>
    <w:rsid w:val="00E95D03"/>
    <w:rsid w:val="00E968C4"/>
    <w:rsid w:val="00EA0344"/>
    <w:rsid w:val="00EA054F"/>
    <w:rsid w:val="00EA0851"/>
    <w:rsid w:val="00EA237F"/>
    <w:rsid w:val="00EA2580"/>
    <w:rsid w:val="00EA2E03"/>
    <w:rsid w:val="00EA2FCC"/>
    <w:rsid w:val="00EA39EA"/>
    <w:rsid w:val="00EA3A77"/>
    <w:rsid w:val="00EA3BBF"/>
    <w:rsid w:val="00EA3C68"/>
    <w:rsid w:val="00EA4309"/>
    <w:rsid w:val="00EA45D6"/>
    <w:rsid w:val="00EA4B98"/>
    <w:rsid w:val="00EA4BF7"/>
    <w:rsid w:val="00EA4CF6"/>
    <w:rsid w:val="00EA5853"/>
    <w:rsid w:val="00EA64EA"/>
    <w:rsid w:val="00EA66D5"/>
    <w:rsid w:val="00EA683C"/>
    <w:rsid w:val="00EA6D63"/>
    <w:rsid w:val="00EA6ED7"/>
    <w:rsid w:val="00EA7BC9"/>
    <w:rsid w:val="00EA7E84"/>
    <w:rsid w:val="00EB0912"/>
    <w:rsid w:val="00EB0BFD"/>
    <w:rsid w:val="00EB0ECD"/>
    <w:rsid w:val="00EB0EEE"/>
    <w:rsid w:val="00EB1141"/>
    <w:rsid w:val="00EB17D0"/>
    <w:rsid w:val="00EB1D0D"/>
    <w:rsid w:val="00EB1E7F"/>
    <w:rsid w:val="00EB2222"/>
    <w:rsid w:val="00EB276B"/>
    <w:rsid w:val="00EB290F"/>
    <w:rsid w:val="00EB390B"/>
    <w:rsid w:val="00EB3C13"/>
    <w:rsid w:val="00EB3D33"/>
    <w:rsid w:val="00EB4810"/>
    <w:rsid w:val="00EB4EC6"/>
    <w:rsid w:val="00EB5310"/>
    <w:rsid w:val="00EB6254"/>
    <w:rsid w:val="00EB62D4"/>
    <w:rsid w:val="00EB653C"/>
    <w:rsid w:val="00EB659B"/>
    <w:rsid w:val="00EB6E63"/>
    <w:rsid w:val="00EB6EE3"/>
    <w:rsid w:val="00EB7023"/>
    <w:rsid w:val="00EB7D0D"/>
    <w:rsid w:val="00EB7E51"/>
    <w:rsid w:val="00EC0137"/>
    <w:rsid w:val="00EC0321"/>
    <w:rsid w:val="00EC1483"/>
    <w:rsid w:val="00EC16AA"/>
    <w:rsid w:val="00EC19F0"/>
    <w:rsid w:val="00EC1A64"/>
    <w:rsid w:val="00EC23D0"/>
    <w:rsid w:val="00EC277A"/>
    <w:rsid w:val="00EC2A9C"/>
    <w:rsid w:val="00EC2F84"/>
    <w:rsid w:val="00EC3AB3"/>
    <w:rsid w:val="00EC4A93"/>
    <w:rsid w:val="00EC4BBC"/>
    <w:rsid w:val="00EC5108"/>
    <w:rsid w:val="00EC5ADC"/>
    <w:rsid w:val="00EC5FAB"/>
    <w:rsid w:val="00EC6DF6"/>
    <w:rsid w:val="00EC6ED5"/>
    <w:rsid w:val="00EC7B82"/>
    <w:rsid w:val="00ED092B"/>
    <w:rsid w:val="00ED0BE4"/>
    <w:rsid w:val="00ED0FF6"/>
    <w:rsid w:val="00ED157F"/>
    <w:rsid w:val="00ED15E8"/>
    <w:rsid w:val="00ED1C60"/>
    <w:rsid w:val="00ED2BD5"/>
    <w:rsid w:val="00ED2D4B"/>
    <w:rsid w:val="00ED304E"/>
    <w:rsid w:val="00ED318B"/>
    <w:rsid w:val="00ED39D8"/>
    <w:rsid w:val="00ED3C06"/>
    <w:rsid w:val="00ED3C9F"/>
    <w:rsid w:val="00ED5A67"/>
    <w:rsid w:val="00ED5E51"/>
    <w:rsid w:val="00ED622F"/>
    <w:rsid w:val="00ED62DC"/>
    <w:rsid w:val="00ED658B"/>
    <w:rsid w:val="00ED7301"/>
    <w:rsid w:val="00EE015E"/>
    <w:rsid w:val="00EE0540"/>
    <w:rsid w:val="00EE0684"/>
    <w:rsid w:val="00EE1124"/>
    <w:rsid w:val="00EE1A5D"/>
    <w:rsid w:val="00EE23D7"/>
    <w:rsid w:val="00EE24E5"/>
    <w:rsid w:val="00EE2B10"/>
    <w:rsid w:val="00EE2F8D"/>
    <w:rsid w:val="00EE3802"/>
    <w:rsid w:val="00EE4DD4"/>
    <w:rsid w:val="00EE5455"/>
    <w:rsid w:val="00EE56CA"/>
    <w:rsid w:val="00EE58F8"/>
    <w:rsid w:val="00EE5A03"/>
    <w:rsid w:val="00EE5D46"/>
    <w:rsid w:val="00EE6FBF"/>
    <w:rsid w:val="00EE7181"/>
    <w:rsid w:val="00EF0570"/>
    <w:rsid w:val="00EF0706"/>
    <w:rsid w:val="00EF07FA"/>
    <w:rsid w:val="00EF0B06"/>
    <w:rsid w:val="00EF10BC"/>
    <w:rsid w:val="00EF1C99"/>
    <w:rsid w:val="00EF23F2"/>
    <w:rsid w:val="00EF2B82"/>
    <w:rsid w:val="00EF2E3A"/>
    <w:rsid w:val="00EF3759"/>
    <w:rsid w:val="00EF4882"/>
    <w:rsid w:val="00EF529F"/>
    <w:rsid w:val="00EF5796"/>
    <w:rsid w:val="00EF6444"/>
    <w:rsid w:val="00EF6590"/>
    <w:rsid w:val="00EF670F"/>
    <w:rsid w:val="00EF6AB2"/>
    <w:rsid w:val="00EF6F90"/>
    <w:rsid w:val="00F00740"/>
    <w:rsid w:val="00F008D9"/>
    <w:rsid w:val="00F00909"/>
    <w:rsid w:val="00F00A7F"/>
    <w:rsid w:val="00F00B1C"/>
    <w:rsid w:val="00F0160C"/>
    <w:rsid w:val="00F02319"/>
    <w:rsid w:val="00F029C4"/>
    <w:rsid w:val="00F030FA"/>
    <w:rsid w:val="00F04268"/>
    <w:rsid w:val="00F04394"/>
    <w:rsid w:val="00F044CC"/>
    <w:rsid w:val="00F04978"/>
    <w:rsid w:val="00F055F5"/>
    <w:rsid w:val="00F06609"/>
    <w:rsid w:val="00F07484"/>
    <w:rsid w:val="00F0773C"/>
    <w:rsid w:val="00F0792F"/>
    <w:rsid w:val="00F07AE6"/>
    <w:rsid w:val="00F07D66"/>
    <w:rsid w:val="00F1038D"/>
    <w:rsid w:val="00F11040"/>
    <w:rsid w:val="00F11DA6"/>
    <w:rsid w:val="00F1229F"/>
    <w:rsid w:val="00F13454"/>
    <w:rsid w:val="00F135DF"/>
    <w:rsid w:val="00F138CA"/>
    <w:rsid w:val="00F14864"/>
    <w:rsid w:val="00F14E80"/>
    <w:rsid w:val="00F150B0"/>
    <w:rsid w:val="00F150DC"/>
    <w:rsid w:val="00F1555A"/>
    <w:rsid w:val="00F15A1C"/>
    <w:rsid w:val="00F15C0D"/>
    <w:rsid w:val="00F15E81"/>
    <w:rsid w:val="00F163AB"/>
    <w:rsid w:val="00F16973"/>
    <w:rsid w:val="00F17FFD"/>
    <w:rsid w:val="00F202AA"/>
    <w:rsid w:val="00F202C7"/>
    <w:rsid w:val="00F202E2"/>
    <w:rsid w:val="00F21282"/>
    <w:rsid w:val="00F2135E"/>
    <w:rsid w:val="00F219F1"/>
    <w:rsid w:val="00F21E04"/>
    <w:rsid w:val="00F21EF6"/>
    <w:rsid w:val="00F222B2"/>
    <w:rsid w:val="00F22616"/>
    <w:rsid w:val="00F22A53"/>
    <w:rsid w:val="00F22E69"/>
    <w:rsid w:val="00F24DD4"/>
    <w:rsid w:val="00F24F68"/>
    <w:rsid w:val="00F25275"/>
    <w:rsid w:val="00F25718"/>
    <w:rsid w:val="00F25981"/>
    <w:rsid w:val="00F25BFF"/>
    <w:rsid w:val="00F26471"/>
    <w:rsid w:val="00F2712A"/>
    <w:rsid w:val="00F274F9"/>
    <w:rsid w:val="00F2789E"/>
    <w:rsid w:val="00F27FA3"/>
    <w:rsid w:val="00F3061B"/>
    <w:rsid w:val="00F30AAA"/>
    <w:rsid w:val="00F31BB5"/>
    <w:rsid w:val="00F32061"/>
    <w:rsid w:val="00F32E55"/>
    <w:rsid w:val="00F3455C"/>
    <w:rsid w:val="00F348AF"/>
    <w:rsid w:val="00F34CE9"/>
    <w:rsid w:val="00F358E3"/>
    <w:rsid w:val="00F35C79"/>
    <w:rsid w:val="00F36485"/>
    <w:rsid w:val="00F36B80"/>
    <w:rsid w:val="00F370AE"/>
    <w:rsid w:val="00F3710D"/>
    <w:rsid w:val="00F37A98"/>
    <w:rsid w:val="00F40B39"/>
    <w:rsid w:val="00F40C30"/>
    <w:rsid w:val="00F410F2"/>
    <w:rsid w:val="00F41766"/>
    <w:rsid w:val="00F418BE"/>
    <w:rsid w:val="00F418F5"/>
    <w:rsid w:val="00F41EE0"/>
    <w:rsid w:val="00F42AB3"/>
    <w:rsid w:val="00F42E2B"/>
    <w:rsid w:val="00F42E95"/>
    <w:rsid w:val="00F4303C"/>
    <w:rsid w:val="00F4379A"/>
    <w:rsid w:val="00F43E04"/>
    <w:rsid w:val="00F43F97"/>
    <w:rsid w:val="00F44016"/>
    <w:rsid w:val="00F441BC"/>
    <w:rsid w:val="00F4422D"/>
    <w:rsid w:val="00F44923"/>
    <w:rsid w:val="00F4550E"/>
    <w:rsid w:val="00F458A8"/>
    <w:rsid w:val="00F45973"/>
    <w:rsid w:val="00F45F25"/>
    <w:rsid w:val="00F46AE6"/>
    <w:rsid w:val="00F501BF"/>
    <w:rsid w:val="00F507E2"/>
    <w:rsid w:val="00F50A85"/>
    <w:rsid w:val="00F50D4B"/>
    <w:rsid w:val="00F50DF3"/>
    <w:rsid w:val="00F50F74"/>
    <w:rsid w:val="00F50FE5"/>
    <w:rsid w:val="00F51088"/>
    <w:rsid w:val="00F51CB6"/>
    <w:rsid w:val="00F51DF5"/>
    <w:rsid w:val="00F51F23"/>
    <w:rsid w:val="00F5220B"/>
    <w:rsid w:val="00F52305"/>
    <w:rsid w:val="00F52AE3"/>
    <w:rsid w:val="00F531CA"/>
    <w:rsid w:val="00F5366B"/>
    <w:rsid w:val="00F53879"/>
    <w:rsid w:val="00F53E2E"/>
    <w:rsid w:val="00F540A3"/>
    <w:rsid w:val="00F540F4"/>
    <w:rsid w:val="00F54146"/>
    <w:rsid w:val="00F54823"/>
    <w:rsid w:val="00F54EAB"/>
    <w:rsid w:val="00F54FB0"/>
    <w:rsid w:val="00F55B8B"/>
    <w:rsid w:val="00F55C0F"/>
    <w:rsid w:val="00F56483"/>
    <w:rsid w:val="00F574D6"/>
    <w:rsid w:val="00F57F8C"/>
    <w:rsid w:val="00F6118A"/>
    <w:rsid w:val="00F613FC"/>
    <w:rsid w:val="00F61C39"/>
    <w:rsid w:val="00F61CF4"/>
    <w:rsid w:val="00F622E9"/>
    <w:rsid w:val="00F62554"/>
    <w:rsid w:val="00F62B05"/>
    <w:rsid w:val="00F630E8"/>
    <w:rsid w:val="00F6368A"/>
    <w:rsid w:val="00F63ABF"/>
    <w:rsid w:val="00F63C01"/>
    <w:rsid w:val="00F63CF8"/>
    <w:rsid w:val="00F63FC6"/>
    <w:rsid w:val="00F6565E"/>
    <w:rsid w:val="00F65FDE"/>
    <w:rsid w:val="00F662D4"/>
    <w:rsid w:val="00F664EE"/>
    <w:rsid w:val="00F67070"/>
    <w:rsid w:val="00F67949"/>
    <w:rsid w:val="00F67D11"/>
    <w:rsid w:val="00F70819"/>
    <w:rsid w:val="00F70A38"/>
    <w:rsid w:val="00F70BDA"/>
    <w:rsid w:val="00F70C70"/>
    <w:rsid w:val="00F70D28"/>
    <w:rsid w:val="00F70F2D"/>
    <w:rsid w:val="00F71AE2"/>
    <w:rsid w:val="00F71E9A"/>
    <w:rsid w:val="00F72ADF"/>
    <w:rsid w:val="00F73CB8"/>
    <w:rsid w:val="00F741C5"/>
    <w:rsid w:val="00F74949"/>
    <w:rsid w:val="00F7516C"/>
    <w:rsid w:val="00F752A8"/>
    <w:rsid w:val="00F75664"/>
    <w:rsid w:val="00F7572A"/>
    <w:rsid w:val="00F75913"/>
    <w:rsid w:val="00F768A4"/>
    <w:rsid w:val="00F81D28"/>
    <w:rsid w:val="00F82746"/>
    <w:rsid w:val="00F82C0C"/>
    <w:rsid w:val="00F8398F"/>
    <w:rsid w:val="00F83A4F"/>
    <w:rsid w:val="00F844C2"/>
    <w:rsid w:val="00F84C1D"/>
    <w:rsid w:val="00F850E7"/>
    <w:rsid w:val="00F851A3"/>
    <w:rsid w:val="00F856CA"/>
    <w:rsid w:val="00F85C37"/>
    <w:rsid w:val="00F860A9"/>
    <w:rsid w:val="00F86325"/>
    <w:rsid w:val="00F870EE"/>
    <w:rsid w:val="00F8761A"/>
    <w:rsid w:val="00F87F68"/>
    <w:rsid w:val="00F902A3"/>
    <w:rsid w:val="00F91222"/>
    <w:rsid w:val="00F9149A"/>
    <w:rsid w:val="00F91613"/>
    <w:rsid w:val="00F91E03"/>
    <w:rsid w:val="00F923CC"/>
    <w:rsid w:val="00F9241D"/>
    <w:rsid w:val="00F926C4"/>
    <w:rsid w:val="00F92BF9"/>
    <w:rsid w:val="00F934F8"/>
    <w:rsid w:val="00F93E7D"/>
    <w:rsid w:val="00F94295"/>
    <w:rsid w:val="00F9484F"/>
    <w:rsid w:val="00F9485E"/>
    <w:rsid w:val="00F949C0"/>
    <w:rsid w:val="00F94ACA"/>
    <w:rsid w:val="00F94AD8"/>
    <w:rsid w:val="00F955BA"/>
    <w:rsid w:val="00F9646A"/>
    <w:rsid w:val="00F976F9"/>
    <w:rsid w:val="00F9794D"/>
    <w:rsid w:val="00F97FFD"/>
    <w:rsid w:val="00FA02EC"/>
    <w:rsid w:val="00FA0A08"/>
    <w:rsid w:val="00FA0BD1"/>
    <w:rsid w:val="00FA0C3C"/>
    <w:rsid w:val="00FA0C82"/>
    <w:rsid w:val="00FA2197"/>
    <w:rsid w:val="00FA2EAA"/>
    <w:rsid w:val="00FA31D0"/>
    <w:rsid w:val="00FA373C"/>
    <w:rsid w:val="00FA39EE"/>
    <w:rsid w:val="00FA4784"/>
    <w:rsid w:val="00FA4B9C"/>
    <w:rsid w:val="00FA5416"/>
    <w:rsid w:val="00FA57D0"/>
    <w:rsid w:val="00FA630F"/>
    <w:rsid w:val="00FA6C38"/>
    <w:rsid w:val="00FA714E"/>
    <w:rsid w:val="00FA79B9"/>
    <w:rsid w:val="00FB01BE"/>
    <w:rsid w:val="00FB0462"/>
    <w:rsid w:val="00FB1C70"/>
    <w:rsid w:val="00FB2B50"/>
    <w:rsid w:val="00FB2E0A"/>
    <w:rsid w:val="00FB3296"/>
    <w:rsid w:val="00FB3D08"/>
    <w:rsid w:val="00FB440E"/>
    <w:rsid w:val="00FB464B"/>
    <w:rsid w:val="00FB6222"/>
    <w:rsid w:val="00FB7E9A"/>
    <w:rsid w:val="00FB7EB6"/>
    <w:rsid w:val="00FC02D5"/>
    <w:rsid w:val="00FC0341"/>
    <w:rsid w:val="00FC0BE1"/>
    <w:rsid w:val="00FC12F6"/>
    <w:rsid w:val="00FC1727"/>
    <w:rsid w:val="00FC274A"/>
    <w:rsid w:val="00FC2CC4"/>
    <w:rsid w:val="00FC3728"/>
    <w:rsid w:val="00FC4099"/>
    <w:rsid w:val="00FC40B1"/>
    <w:rsid w:val="00FC4542"/>
    <w:rsid w:val="00FC46F8"/>
    <w:rsid w:val="00FC4F29"/>
    <w:rsid w:val="00FC55D1"/>
    <w:rsid w:val="00FC5812"/>
    <w:rsid w:val="00FC59B1"/>
    <w:rsid w:val="00FC5BB4"/>
    <w:rsid w:val="00FC5FCD"/>
    <w:rsid w:val="00FC6777"/>
    <w:rsid w:val="00FC67F0"/>
    <w:rsid w:val="00FC6F58"/>
    <w:rsid w:val="00FC7005"/>
    <w:rsid w:val="00FC7A58"/>
    <w:rsid w:val="00FD01C6"/>
    <w:rsid w:val="00FD06BE"/>
    <w:rsid w:val="00FD1C72"/>
    <w:rsid w:val="00FD1E5C"/>
    <w:rsid w:val="00FD1EFB"/>
    <w:rsid w:val="00FD2039"/>
    <w:rsid w:val="00FD2124"/>
    <w:rsid w:val="00FD2769"/>
    <w:rsid w:val="00FD2A2A"/>
    <w:rsid w:val="00FD31BD"/>
    <w:rsid w:val="00FD3DF3"/>
    <w:rsid w:val="00FD41C5"/>
    <w:rsid w:val="00FD46D4"/>
    <w:rsid w:val="00FD4C1B"/>
    <w:rsid w:val="00FD4EC4"/>
    <w:rsid w:val="00FD55B1"/>
    <w:rsid w:val="00FD5EB1"/>
    <w:rsid w:val="00FD60F0"/>
    <w:rsid w:val="00FD60FA"/>
    <w:rsid w:val="00FD798C"/>
    <w:rsid w:val="00FE0BD8"/>
    <w:rsid w:val="00FE2354"/>
    <w:rsid w:val="00FE261F"/>
    <w:rsid w:val="00FE2AC2"/>
    <w:rsid w:val="00FE2D60"/>
    <w:rsid w:val="00FE313C"/>
    <w:rsid w:val="00FE35E7"/>
    <w:rsid w:val="00FE3A8A"/>
    <w:rsid w:val="00FE3EF5"/>
    <w:rsid w:val="00FE582C"/>
    <w:rsid w:val="00FE5A3C"/>
    <w:rsid w:val="00FE5ECD"/>
    <w:rsid w:val="00FE6436"/>
    <w:rsid w:val="00FE6A23"/>
    <w:rsid w:val="00FE71BA"/>
    <w:rsid w:val="00FE73DB"/>
    <w:rsid w:val="00FE74AA"/>
    <w:rsid w:val="00FE7950"/>
    <w:rsid w:val="00FE7AE7"/>
    <w:rsid w:val="00FF0208"/>
    <w:rsid w:val="00FF07B1"/>
    <w:rsid w:val="00FF0906"/>
    <w:rsid w:val="00FF0942"/>
    <w:rsid w:val="00FF0D10"/>
    <w:rsid w:val="00FF1741"/>
    <w:rsid w:val="00FF24B9"/>
    <w:rsid w:val="00FF2505"/>
    <w:rsid w:val="00FF2520"/>
    <w:rsid w:val="00FF2641"/>
    <w:rsid w:val="00FF2C5E"/>
    <w:rsid w:val="00FF3094"/>
    <w:rsid w:val="00FF4218"/>
    <w:rsid w:val="00FF53E0"/>
    <w:rsid w:val="00FF6B20"/>
    <w:rsid w:val="00FF6D49"/>
    <w:rsid w:val="00FF6EF4"/>
    <w:rsid w:val="00FF6FCE"/>
    <w:rsid w:val="00FF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BC"/>
    <w:rPr>
      <w:sz w:val="22"/>
      <w:szCs w:val="22"/>
      <w:lang w:eastAsia="en-US"/>
    </w:rPr>
  </w:style>
  <w:style w:type="paragraph" w:styleId="Heading1">
    <w:name w:val="heading 1"/>
    <w:basedOn w:val="Normal"/>
    <w:next w:val="Normal"/>
    <w:link w:val="Heading1Char"/>
    <w:uiPriority w:val="9"/>
    <w:qFormat/>
    <w:rsid w:val="00342214"/>
    <w:pPr>
      <w:keepNext/>
      <w:numPr>
        <w:numId w:val="1"/>
      </w:numPr>
      <w:overflowPunct w:val="0"/>
      <w:autoSpaceDE w:val="0"/>
      <w:autoSpaceDN w:val="0"/>
      <w:adjustRightInd w:val="0"/>
      <w:spacing w:before="480" w:after="360"/>
      <w:jc w:val="center"/>
      <w:textAlignment w:val="baseline"/>
      <w:outlineLvl w:val="0"/>
    </w:pPr>
    <w:rPr>
      <w:rFonts w:ascii="Times New Roman" w:eastAsia="Times New Roman" w:hAnsi="Times New Roman"/>
      <w:b/>
      <w:bCs/>
      <w:kern w:val="32"/>
      <w:sz w:val="28"/>
      <w:szCs w:val="24"/>
      <w:lang w:val="x-none" w:eastAsia="x-none"/>
    </w:rPr>
  </w:style>
  <w:style w:type="paragraph" w:styleId="Heading2">
    <w:name w:val="heading 2"/>
    <w:basedOn w:val="Normal"/>
    <w:link w:val="Heading2Char"/>
    <w:uiPriority w:val="9"/>
    <w:qFormat/>
    <w:rsid w:val="009B5672"/>
    <w:pPr>
      <w:keepNext/>
      <w:autoSpaceDE w:val="0"/>
      <w:autoSpaceDN w:val="0"/>
      <w:adjustRightInd w:val="0"/>
      <w:spacing w:before="360" w:after="240"/>
      <w:outlineLvl w:val="1"/>
    </w:pPr>
    <w:rPr>
      <w:rFonts w:ascii="Times New Roman" w:hAnsi="Times New Roman"/>
      <w:caps/>
      <w:sz w:val="24"/>
      <w:szCs w:val="24"/>
      <w:lang w:val="x-none" w:eastAsia="x-none"/>
    </w:rPr>
  </w:style>
  <w:style w:type="paragraph" w:styleId="Heading3">
    <w:name w:val="heading 3"/>
    <w:basedOn w:val="Normal"/>
    <w:next w:val="Normal"/>
    <w:link w:val="Heading3Char"/>
    <w:uiPriority w:val="9"/>
    <w:unhideWhenUsed/>
    <w:qFormat/>
    <w:rsid w:val="00F42E95"/>
    <w:pPr>
      <w:keepNext/>
      <w:autoSpaceDE w:val="0"/>
      <w:autoSpaceDN w:val="0"/>
      <w:adjustRightInd w:val="0"/>
      <w:spacing w:before="240" w:after="120" w:line="360" w:lineRule="auto"/>
      <w:jc w:val="both"/>
      <w:outlineLvl w:val="2"/>
    </w:pPr>
    <w:rPr>
      <w:rFonts w:ascii="Times New Roman" w:hAnsi="Times New Roman"/>
      <w:b/>
      <w:sz w:val="24"/>
      <w:szCs w:val="24"/>
      <w:lang w:val="x-none" w:eastAsia="x-none"/>
    </w:rPr>
  </w:style>
  <w:style w:type="paragraph" w:styleId="Heading4">
    <w:name w:val="heading 4"/>
    <w:basedOn w:val="Normal"/>
    <w:next w:val="Normal"/>
    <w:link w:val="Heading4Char"/>
    <w:uiPriority w:val="9"/>
    <w:unhideWhenUsed/>
    <w:qFormat/>
    <w:rsid w:val="00F00909"/>
    <w:pPr>
      <w:keepNext/>
      <w:autoSpaceDE w:val="0"/>
      <w:autoSpaceDN w:val="0"/>
      <w:adjustRightInd w:val="0"/>
      <w:spacing w:before="120" w:after="120" w:line="360" w:lineRule="auto"/>
      <w:jc w:val="both"/>
      <w:outlineLvl w:val="3"/>
    </w:pPr>
    <w:rPr>
      <w:rFonts w:ascii="Times New Roman" w:hAnsi="Times New Roman"/>
      <w: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CD1"/>
    <w:pPr>
      <w:tabs>
        <w:tab w:val="left" w:pos="567"/>
        <w:tab w:val="left" w:pos="1134"/>
      </w:tabs>
      <w:spacing w:after="120" w:line="360" w:lineRule="auto"/>
      <w:contextualSpacing/>
    </w:pPr>
    <w:rPr>
      <w:rFonts w:ascii="Times New Roman" w:hAnsi="Times New Roman"/>
      <w:sz w:val="24"/>
    </w:rPr>
  </w:style>
  <w:style w:type="paragraph" w:styleId="FootnoteText">
    <w:name w:val="footnote text"/>
    <w:basedOn w:val="Normal"/>
    <w:link w:val="FootnoteTextChar"/>
    <w:unhideWhenUsed/>
    <w:rsid w:val="00491BFE"/>
    <w:rPr>
      <w:rFonts w:ascii="Times New Roman" w:hAnsi="Times New Roman"/>
      <w:sz w:val="20"/>
      <w:szCs w:val="20"/>
      <w:lang w:val="x-none" w:eastAsia="x-none"/>
    </w:rPr>
  </w:style>
  <w:style w:type="character" w:customStyle="1" w:styleId="FootnoteTextChar">
    <w:name w:val="Footnote Text Char"/>
    <w:link w:val="FootnoteText"/>
    <w:rsid w:val="00491BFE"/>
    <w:rPr>
      <w:rFonts w:ascii="Times New Roman" w:hAnsi="Times New Roman"/>
      <w:lang w:val="x-none" w:eastAsia="x-none"/>
    </w:rPr>
  </w:style>
  <w:style w:type="character" w:styleId="FootnoteReference">
    <w:name w:val="footnote reference"/>
    <w:semiHidden/>
    <w:unhideWhenUsed/>
    <w:rsid w:val="00991960"/>
    <w:rPr>
      <w:vertAlign w:val="superscript"/>
    </w:rPr>
  </w:style>
  <w:style w:type="paragraph" w:styleId="BodyText">
    <w:name w:val="Body Text"/>
    <w:basedOn w:val="Normal"/>
    <w:next w:val="BodyText2"/>
    <w:link w:val="BodyTextChar"/>
    <w:autoRedefine/>
    <w:rsid w:val="00931A73"/>
    <w:pPr>
      <w:widowControl w:val="0"/>
      <w:tabs>
        <w:tab w:val="left" w:pos="2835"/>
      </w:tabs>
      <w:adjustRightInd w:val="0"/>
      <w:spacing w:before="120" w:line="360" w:lineRule="auto"/>
      <w:ind w:left="2835" w:hanging="2835"/>
      <w:jc w:val="both"/>
      <w:textAlignment w:val="baseline"/>
    </w:pPr>
    <w:rPr>
      <w:rFonts w:ascii="Times New Roman" w:eastAsia="Times New Roman" w:hAnsi="Times New Roman"/>
      <w:sz w:val="24"/>
      <w:szCs w:val="24"/>
      <w:lang w:eastAsia="x-none"/>
    </w:rPr>
  </w:style>
  <w:style w:type="character" w:customStyle="1" w:styleId="BodyTextChar">
    <w:name w:val="Body Text Char"/>
    <w:link w:val="BodyText"/>
    <w:rsid w:val="00931A73"/>
    <w:rPr>
      <w:rFonts w:ascii="Times New Roman" w:eastAsia="Times New Roman" w:hAnsi="Times New Roman"/>
      <w:sz w:val="24"/>
      <w:szCs w:val="24"/>
      <w:lang w:eastAsia="x-none"/>
    </w:rPr>
  </w:style>
  <w:style w:type="paragraph" w:styleId="BodyText2">
    <w:name w:val="Body Text 2"/>
    <w:basedOn w:val="Normal"/>
    <w:link w:val="BodyText2Char"/>
    <w:uiPriority w:val="99"/>
    <w:unhideWhenUsed/>
    <w:rsid w:val="00DD2B94"/>
    <w:pPr>
      <w:spacing w:after="120" w:line="480" w:lineRule="auto"/>
    </w:pPr>
  </w:style>
  <w:style w:type="character" w:customStyle="1" w:styleId="BodyText2Char">
    <w:name w:val="Body Text 2 Char"/>
    <w:basedOn w:val="DefaultParagraphFont"/>
    <w:link w:val="BodyText2"/>
    <w:uiPriority w:val="99"/>
    <w:rsid w:val="00DD2B94"/>
  </w:style>
  <w:style w:type="paragraph" w:styleId="BalloonText">
    <w:name w:val="Balloon Text"/>
    <w:basedOn w:val="Normal"/>
    <w:link w:val="BalloonTextChar"/>
    <w:uiPriority w:val="99"/>
    <w:semiHidden/>
    <w:unhideWhenUsed/>
    <w:rsid w:val="0077229C"/>
    <w:rPr>
      <w:rFonts w:ascii="Tahoma" w:hAnsi="Tahoma"/>
      <w:sz w:val="16"/>
      <w:szCs w:val="16"/>
      <w:lang w:val="x-none" w:eastAsia="x-none"/>
    </w:rPr>
  </w:style>
  <w:style w:type="character" w:customStyle="1" w:styleId="BalloonTextChar">
    <w:name w:val="Balloon Text Char"/>
    <w:link w:val="BalloonText"/>
    <w:uiPriority w:val="99"/>
    <w:semiHidden/>
    <w:rsid w:val="0077229C"/>
    <w:rPr>
      <w:rFonts w:ascii="Tahoma" w:hAnsi="Tahoma" w:cs="Tahoma"/>
      <w:sz w:val="16"/>
      <w:szCs w:val="16"/>
    </w:rPr>
  </w:style>
  <w:style w:type="character" w:styleId="Strong">
    <w:name w:val="Strong"/>
    <w:uiPriority w:val="22"/>
    <w:qFormat/>
    <w:rsid w:val="00F507E2"/>
    <w:rPr>
      <w:b/>
      <w:bCs/>
    </w:rPr>
  </w:style>
  <w:style w:type="paragraph" w:styleId="ListNumber2">
    <w:name w:val="List Number 2"/>
    <w:basedOn w:val="Normal"/>
    <w:uiPriority w:val="99"/>
    <w:rsid w:val="007E1C76"/>
    <w:pPr>
      <w:numPr>
        <w:numId w:val="28"/>
      </w:numPr>
      <w:tabs>
        <w:tab w:val="left" w:pos="567"/>
        <w:tab w:val="left" w:pos="1134"/>
      </w:tabs>
      <w:spacing w:before="120" w:line="360" w:lineRule="auto"/>
      <w:contextualSpacing/>
      <w:jc w:val="both"/>
    </w:pPr>
    <w:rPr>
      <w:rFonts w:ascii="Times New Roman" w:hAnsi="Times New Roman"/>
      <w:sz w:val="24"/>
    </w:rPr>
  </w:style>
  <w:style w:type="paragraph" w:styleId="Header">
    <w:name w:val="header"/>
    <w:basedOn w:val="Normal"/>
    <w:link w:val="HeaderChar"/>
    <w:uiPriority w:val="99"/>
    <w:unhideWhenUsed/>
    <w:rsid w:val="006B4830"/>
    <w:pPr>
      <w:tabs>
        <w:tab w:val="center" w:pos="4680"/>
        <w:tab w:val="right" w:pos="9360"/>
      </w:tabs>
    </w:pPr>
    <w:rPr>
      <w:lang w:eastAsia="x-none"/>
    </w:rPr>
  </w:style>
  <w:style w:type="character" w:customStyle="1" w:styleId="HeaderChar">
    <w:name w:val="Header Char"/>
    <w:link w:val="Header"/>
    <w:uiPriority w:val="99"/>
    <w:rsid w:val="006B4830"/>
    <w:rPr>
      <w:sz w:val="22"/>
      <w:szCs w:val="22"/>
      <w:lang w:val="en-GB"/>
    </w:rPr>
  </w:style>
  <w:style w:type="paragraph" w:styleId="Footer">
    <w:name w:val="footer"/>
    <w:basedOn w:val="Normal"/>
    <w:link w:val="FooterChar"/>
    <w:uiPriority w:val="99"/>
    <w:unhideWhenUsed/>
    <w:rsid w:val="006B4830"/>
    <w:pPr>
      <w:tabs>
        <w:tab w:val="center" w:pos="4680"/>
        <w:tab w:val="right" w:pos="9360"/>
      </w:tabs>
    </w:pPr>
    <w:rPr>
      <w:lang w:eastAsia="x-none"/>
    </w:rPr>
  </w:style>
  <w:style w:type="character" w:customStyle="1" w:styleId="FooterChar">
    <w:name w:val="Footer Char"/>
    <w:link w:val="Footer"/>
    <w:uiPriority w:val="99"/>
    <w:rsid w:val="006B4830"/>
    <w:rPr>
      <w:sz w:val="22"/>
      <w:szCs w:val="22"/>
      <w:lang w:val="en-GB"/>
    </w:rPr>
  </w:style>
  <w:style w:type="table" w:styleId="TableGrid">
    <w:name w:val="Table Grid"/>
    <w:basedOn w:val="TableNormal"/>
    <w:rsid w:val="00A65B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bodytext">
    <w:name w:val="SSbodytext"/>
    <w:basedOn w:val="BodyText"/>
    <w:rsid w:val="0058086E"/>
    <w:pPr>
      <w:tabs>
        <w:tab w:val="num" w:pos="567"/>
      </w:tabs>
      <w:adjustRightInd/>
      <w:spacing w:after="240"/>
      <w:ind w:left="0" w:firstLine="0"/>
      <w:textAlignment w:val="auto"/>
    </w:pPr>
    <w:rPr>
      <w:rFonts w:eastAsia="MS Mincho"/>
    </w:rPr>
  </w:style>
  <w:style w:type="paragraph" w:customStyle="1" w:styleId="Default">
    <w:name w:val="Default"/>
    <w:rsid w:val="007A407F"/>
    <w:pPr>
      <w:autoSpaceDE w:val="0"/>
      <w:autoSpaceDN w:val="0"/>
      <w:adjustRightInd w:val="0"/>
    </w:pPr>
    <w:rPr>
      <w:rFonts w:ascii="Times New Roman" w:eastAsia="Times New Roman" w:hAnsi="Times New Roman"/>
      <w:color w:val="000000"/>
      <w:sz w:val="24"/>
      <w:szCs w:val="24"/>
      <w:lang w:eastAsia="en-US"/>
    </w:rPr>
  </w:style>
  <w:style w:type="character" w:customStyle="1" w:styleId="Heading2Char">
    <w:name w:val="Heading 2 Char"/>
    <w:link w:val="Heading2"/>
    <w:uiPriority w:val="9"/>
    <w:rsid w:val="009B5672"/>
    <w:rPr>
      <w:rFonts w:ascii="Times New Roman" w:hAnsi="Times New Roman"/>
      <w:caps/>
      <w:sz w:val="24"/>
      <w:szCs w:val="24"/>
      <w:lang w:val="x-none" w:eastAsia="x-none"/>
    </w:rPr>
  </w:style>
  <w:style w:type="paragraph" w:customStyle="1" w:styleId="TecDocTitle">
    <w:name w:val="TecDoc Title"/>
    <w:rsid w:val="00CC51E6"/>
    <w:pPr>
      <w:keepNext/>
      <w:keepLines/>
      <w:overflowPunct w:val="0"/>
      <w:autoSpaceDE w:val="0"/>
      <w:autoSpaceDN w:val="0"/>
      <w:adjustRightInd w:val="0"/>
      <w:spacing w:before="1701"/>
      <w:jc w:val="right"/>
      <w:textAlignment w:val="baseline"/>
    </w:pPr>
    <w:rPr>
      <w:rFonts w:ascii="Arial" w:eastAsia="Times New Roman" w:hAnsi="Arial"/>
      <w:b/>
      <w:i/>
      <w:noProof/>
      <w:sz w:val="60"/>
      <w:lang w:val="en-US" w:eastAsia="en-US"/>
    </w:rPr>
  </w:style>
  <w:style w:type="paragraph" w:customStyle="1" w:styleId="TecDocSubtitle">
    <w:name w:val="TecDoc Subtitle"/>
    <w:rsid w:val="00CC51E6"/>
    <w:pPr>
      <w:overflowPunct w:val="0"/>
      <w:autoSpaceDE w:val="0"/>
      <w:autoSpaceDN w:val="0"/>
      <w:adjustRightInd w:val="0"/>
      <w:spacing w:before="624"/>
      <w:jc w:val="right"/>
      <w:textAlignment w:val="baseline"/>
    </w:pPr>
    <w:rPr>
      <w:rFonts w:ascii="Arial" w:eastAsia="Times New Roman" w:hAnsi="Arial"/>
      <w:i/>
      <w:noProof/>
      <w:sz w:val="28"/>
      <w:lang w:val="en-US" w:eastAsia="en-US"/>
    </w:rPr>
  </w:style>
  <w:style w:type="character" w:customStyle="1" w:styleId="Heading1Char">
    <w:name w:val="Heading 1 Char"/>
    <w:link w:val="Heading1"/>
    <w:uiPriority w:val="9"/>
    <w:rsid w:val="00342214"/>
    <w:rPr>
      <w:rFonts w:ascii="Times New Roman" w:eastAsia="Times New Roman" w:hAnsi="Times New Roman"/>
      <w:b/>
      <w:bCs/>
      <w:kern w:val="32"/>
      <w:sz w:val="28"/>
      <w:szCs w:val="24"/>
      <w:lang w:val="x-none" w:eastAsia="x-none"/>
    </w:rPr>
  </w:style>
  <w:style w:type="paragraph" w:styleId="TOCHeading">
    <w:name w:val="TOC Heading"/>
    <w:basedOn w:val="Heading1"/>
    <w:next w:val="Normal"/>
    <w:uiPriority w:val="39"/>
    <w:unhideWhenUsed/>
    <w:qFormat/>
    <w:rsid w:val="00CC51E6"/>
    <w:pPr>
      <w:keepLines/>
      <w:spacing w:after="0" w:line="276" w:lineRule="auto"/>
      <w:outlineLvl w:val="9"/>
    </w:pPr>
    <w:rPr>
      <w:color w:val="365F91"/>
      <w:kern w:val="0"/>
      <w:szCs w:val="28"/>
      <w:lang w:val="en-US" w:eastAsia="ja-JP"/>
    </w:rPr>
  </w:style>
  <w:style w:type="paragraph" w:styleId="TOC2">
    <w:name w:val="toc 2"/>
    <w:basedOn w:val="Normal"/>
    <w:next w:val="Normal"/>
    <w:autoRedefine/>
    <w:uiPriority w:val="39"/>
    <w:unhideWhenUsed/>
    <w:qFormat/>
    <w:rsid w:val="00BA5523"/>
    <w:pPr>
      <w:tabs>
        <w:tab w:val="left" w:pos="567"/>
        <w:tab w:val="right" w:leader="dot" w:pos="9072"/>
      </w:tabs>
      <w:ind w:left="1134" w:hanging="567"/>
    </w:pPr>
    <w:rPr>
      <w:rFonts w:cs="Calibri"/>
      <w:smallCaps/>
      <w:sz w:val="20"/>
      <w:szCs w:val="20"/>
    </w:rPr>
  </w:style>
  <w:style w:type="character" w:styleId="Hyperlink">
    <w:name w:val="Hyperlink"/>
    <w:uiPriority w:val="99"/>
    <w:unhideWhenUsed/>
    <w:rsid w:val="00CC51E6"/>
    <w:rPr>
      <w:color w:val="0000FF"/>
      <w:u w:val="single"/>
    </w:rPr>
  </w:style>
  <w:style w:type="paragraph" w:customStyle="1" w:styleId="Heading">
    <w:name w:val="Heading"/>
    <w:basedOn w:val="Normal"/>
    <w:rsid w:val="00CC51E6"/>
    <w:pPr>
      <w:keepNext/>
      <w:keepLines/>
      <w:pageBreakBefore/>
      <w:overflowPunct w:val="0"/>
      <w:autoSpaceDE w:val="0"/>
      <w:autoSpaceDN w:val="0"/>
      <w:adjustRightInd w:val="0"/>
      <w:spacing w:after="480"/>
      <w:jc w:val="center"/>
      <w:textAlignment w:val="baseline"/>
    </w:pPr>
    <w:rPr>
      <w:rFonts w:ascii="Times New Roman" w:eastAsia="Times New Roman" w:hAnsi="Times New Roman"/>
      <w:b/>
      <w:caps/>
      <w:sz w:val="24"/>
      <w:szCs w:val="20"/>
    </w:rPr>
  </w:style>
  <w:style w:type="paragraph" w:customStyle="1" w:styleId="Heading1Type">
    <w:name w:val="Heading 1 Type"/>
    <w:basedOn w:val="Normal"/>
    <w:rsid w:val="002229A0"/>
    <w:pPr>
      <w:overflowPunct w:val="0"/>
      <w:autoSpaceDE w:val="0"/>
      <w:autoSpaceDN w:val="0"/>
      <w:adjustRightInd w:val="0"/>
      <w:spacing w:before="120" w:after="240"/>
      <w:textAlignment w:val="baseline"/>
    </w:pPr>
    <w:rPr>
      <w:rFonts w:ascii="Times New Roman" w:eastAsia="Times New Roman" w:hAnsi="Times New Roman"/>
      <w:color w:val="000000"/>
      <w:sz w:val="24"/>
      <w:szCs w:val="20"/>
    </w:rPr>
  </w:style>
  <w:style w:type="character" w:styleId="CommentReference">
    <w:name w:val="annotation reference"/>
    <w:uiPriority w:val="99"/>
    <w:semiHidden/>
    <w:unhideWhenUsed/>
    <w:rsid w:val="002A1AAD"/>
    <w:rPr>
      <w:sz w:val="16"/>
      <w:szCs w:val="16"/>
    </w:rPr>
  </w:style>
  <w:style w:type="paragraph" w:styleId="CommentText">
    <w:name w:val="annotation text"/>
    <w:basedOn w:val="Normal"/>
    <w:link w:val="CommentTextChar"/>
    <w:uiPriority w:val="99"/>
    <w:semiHidden/>
    <w:unhideWhenUsed/>
    <w:rsid w:val="002A1AAD"/>
    <w:rPr>
      <w:sz w:val="20"/>
      <w:szCs w:val="20"/>
      <w:lang w:val="x-none"/>
    </w:rPr>
  </w:style>
  <w:style w:type="character" w:customStyle="1" w:styleId="CommentTextChar">
    <w:name w:val="Comment Text Char"/>
    <w:link w:val="CommentText"/>
    <w:uiPriority w:val="99"/>
    <w:semiHidden/>
    <w:rsid w:val="002A1AAD"/>
    <w:rPr>
      <w:lang w:eastAsia="en-US"/>
    </w:rPr>
  </w:style>
  <w:style w:type="paragraph" w:styleId="CommentSubject">
    <w:name w:val="annotation subject"/>
    <w:basedOn w:val="CommentText"/>
    <w:next w:val="CommentText"/>
    <w:link w:val="CommentSubjectChar"/>
    <w:uiPriority w:val="99"/>
    <w:semiHidden/>
    <w:unhideWhenUsed/>
    <w:rsid w:val="002A1AAD"/>
    <w:rPr>
      <w:b/>
      <w:bCs/>
    </w:rPr>
  </w:style>
  <w:style w:type="character" w:customStyle="1" w:styleId="CommentSubjectChar">
    <w:name w:val="Comment Subject Char"/>
    <w:link w:val="CommentSubject"/>
    <w:uiPriority w:val="99"/>
    <w:semiHidden/>
    <w:rsid w:val="002A1AAD"/>
    <w:rPr>
      <w:b/>
      <w:bCs/>
      <w:lang w:eastAsia="en-US"/>
    </w:rPr>
  </w:style>
  <w:style w:type="paragraph" w:styleId="Revision">
    <w:name w:val="Revision"/>
    <w:hidden/>
    <w:uiPriority w:val="99"/>
    <w:semiHidden/>
    <w:rsid w:val="002A1AAD"/>
    <w:rPr>
      <w:sz w:val="22"/>
      <w:szCs w:val="22"/>
      <w:lang w:eastAsia="en-US"/>
    </w:rPr>
  </w:style>
  <w:style w:type="paragraph" w:styleId="TOC1">
    <w:name w:val="toc 1"/>
    <w:basedOn w:val="Normal"/>
    <w:next w:val="Normal"/>
    <w:autoRedefine/>
    <w:uiPriority w:val="39"/>
    <w:unhideWhenUsed/>
    <w:qFormat/>
    <w:rsid w:val="00DA13A3"/>
    <w:pPr>
      <w:tabs>
        <w:tab w:val="left" w:pos="567"/>
        <w:tab w:val="right" w:leader="dot" w:pos="9072"/>
      </w:tabs>
      <w:spacing w:before="240" w:after="120"/>
      <w:ind w:left="567" w:hanging="567"/>
    </w:pPr>
    <w:rPr>
      <w:rFonts w:cs="Calibri"/>
      <w:b/>
      <w:bCs/>
      <w:caps/>
      <w:sz w:val="20"/>
      <w:szCs w:val="20"/>
    </w:rPr>
  </w:style>
  <w:style w:type="paragraph" w:styleId="TOC3">
    <w:name w:val="toc 3"/>
    <w:basedOn w:val="Normal"/>
    <w:next w:val="Normal"/>
    <w:autoRedefine/>
    <w:uiPriority w:val="39"/>
    <w:unhideWhenUsed/>
    <w:qFormat/>
    <w:rsid w:val="009B7047"/>
    <w:pPr>
      <w:ind w:left="440"/>
    </w:pPr>
    <w:rPr>
      <w:rFonts w:cs="Calibri"/>
      <w:i/>
      <w:iCs/>
      <w:sz w:val="20"/>
      <w:szCs w:val="20"/>
    </w:rPr>
  </w:style>
  <w:style w:type="paragraph" w:styleId="EndnoteText">
    <w:name w:val="endnote text"/>
    <w:basedOn w:val="Normal"/>
    <w:link w:val="EndnoteTextChar"/>
    <w:semiHidden/>
    <w:rsid w:val="00B17A4D"/>
    <w:rPr>
      <w:rFonts w:ascii="Times New Roman" w:eastAsia="MS Mincho" w:hAnsi="Times New Roman"/>
      <w:sz w:val="20"/>
      <w:szCs w:val="20"/>
      <w:lang w:val="x-none" w:eastAsia="ja-JP"/>
    </w:rPr>
  </w:style>
  <w:style w:type="character" w:customStyle="1" w:styleId="EndnoteTextChar">
    <w:name w:val="Endnote Text Char"/>
    <w:link w:val="EndnoteText"/>
    <w:semiHidden/>
    <w:rsid w:val="00B17A4D"/>
    <w:rPr>
      <w:rFonts w:ascii="Times New Roman" w:eastAsia="MS Mincho" w:hAnsi="Times New Roman"/>
      <w:lang w:eastAsia="ja-JP"/>
    </w:rPr>
  </w:style>
  <w:style w:type="character" w:customStyle="1" w:styleId="Heading3Char">
    <w:name w:val="Heading 3 Char"/>
    <w:link w:val="Heading3"/>
    <w:uiPriority w:val="9"/>
    <w:rsid w:val="00F42E95"/>
    <w:rPr>
      <w:rFonts w:ascii="Times New Roman" w:hAnsi="Times New Roman"/>
      <w:b/>
      <w:sz w:val="24"/>
      <w:szCs w:val="24"/>
    </w:rPr>
  </w:style>
  <w:style w:type="character" w:styleId="FollowedHyperlink">
    <w:name w:val="FollowedHyperlink"/>
    <w:uiPriority w:val="99"/>
    <w:semiHidden/>
    <w:unhideWhenUsed/>
    <w:rsid w:val="001C1F1D"/>
    <w:rPr>
      <w:color w:val="800080"/>
      <w:u w:val="single"/>
    </w:rPr>
  </w:style>
  <w:style w:type="paragraph" w:styleId="NormalWeb">
    <w:name w:val="Normal (Web)"/>
    <w:basedOn w:val="Normal"/>
    <w:uiPriority w:val="99"/>
    <w:unhideWhenUsed/>
    <w:rsid w:val="003B3CA7"/>
    <w:pPr>
      <w:spacing w:before="100" w:beforeAutospacing="1" w:after="100" w:afterAutospacing="1"/>
    </w:pPr>
    <w:rPr>
      <w:rFonts w:ascii="Times New Roman" w:eastAsia="Times New Roman" w:hAnsi="Times New Roman"/>
      <w:sz w:val="24"/>
      <w:szCs w:val="24"/>
      <w:lang w:val="en-US"/>
    </w:rPr>
  </w:style>
  <w:style w:type="paragraph" w:customStyle="1" w:styleId="articletext">
    <w:name w:val="articletext"/>
    <w:basedOn w:val="Normal"/>
    <w:rsid w:val="000C2C93"/>
    <w:pPr>
      <w:spacing w:before="100" w:beforeAutospacing="1" w:after="100" w:afterAutospacing="1"/>
    </w:pPr>
    <w:rPr>
      <w:rFonts w:ascii="Times New Roman" w:eastAsia="Times New Roman" w:hAnsi="Times New Roman"/>
      <w:sz w:val="24"/>
      <w:szCs w:val="24"/>
      <w:lang w:val="en-US"/>
    </w:rPr>
  </w:style>
  <w:style w:type="paragraph" w:styleId="Bibliography">
    <w:name w:val="Bibliography"/>
    <w:basedOn w:val="Normal"/>
    <w:next w:val="Normal"/>
    <w:uiPriority w:val="37"/>
    <w:unhideWhenUsed/>
    <w:rsid w:val="00250CF0"/>
  </w:style>
  <w:style w:type="character" w:customStyle="1" w:styleId="Heading4Char">
    <w:name w:val="Heading 4 Char"/>
    <w:link w:val="Heading4"/>
    <w:uiPriority w:val="9"/>
    <w:rsid w:val="00F00909"/>
    <w:rPr>
      <w:rFonts w:ascii="Times New Roman" w:hAnsi="Times New Roman"/>
      <w:i/>
      <w:sz w:val="24"/>
      <w:szCs w:val="22"/>
    </w:rPr>
  </w:style>
  <w:style w:type="table" w:customStyle="1" w:styleId="1">
    <w:name w:val="Светлая заливка1"/>
    <w:basedOn w:val="TableNormal"/>
    <w:uiPriority w:val="60"/>
    <w:rsid w:val="006E47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efinition">
    <w:name w:val="definition"/>
    <w:basedOn w:val="DefaultParagraphFont"/>
    <w:rsid w:val="006D00B3"/>
  </w:style>
  <w:style w:type="paragraph" w:styleId="NoSpacing">
    <w:name w:val="No Spacing"/>
    <w:uiPriority w:val="1"/>
    <w:qFormat/>
    <w:rsid w:val="00E66A69"/>
    <w:rPr>
      <w:sz w:val="22"/>
      <w:szCs w:val="22"/>
      <w:lang w:eastAsia="en-US"/>
    </w:rPr>
  </w:style>
  <w:style w:type="paragraph" w:styleId="TOC4">
    <w:name w:val="toc 4"/>
    <w:basedOn w:val="Normal"/>
    <w:next w:val="Normal"/>
    <w:autoRedefine/>
    <w:uiPriority w:val="39"/>
    <w:unhideWhenUsed/>
    <w:rsid w:val="00E05F1A"/>
    <w:pPr>
      <w:ind w:left="660"/>
    </w:pPr>
    <w:rPr>
      <w:rFonts w:cs="Calibri"/>
      <w:sz w:val="18"/>
      <w:szCs w:val="18"/>
    </w:rPr>
  </w:style>
  <w:style w:type="paragraph" w:styleId="TOC5">
    <w:name w:val="toc 5"/>
    <w:basedOn w:val="Normal"/>
    <w:next w:val="Normal"/>
    <w:autoRedefine/>
    <w:uiPriority w:val="39"/>
    <w:unhideWhenUsed/>
    <w:rsid w:val="00E05F1A"/>
    <w:pPr>
      <w:ind w:left="880"/>
    </w:pPr>
    <w:rPr>
      <w:rFonts w:cs="Calibri"/>
      <w:sz w:val="18"/>
      <w:szCs w:val="18"/>
    </w:rPr>
  </w:style>
  <w:style w:type="paragraph" w:styleId="TOC6">
    <w:name w:val="toc 6"/>
    <w:basedOn w:val="Normal"/>
    <w:next w:val="Normal"/>
    <w:autoRedefine/>
    <w:uiPriority w:val="39"/>
    <w:unhideWhenUsed/>
    <w:rsid w:val="00E05F1A"/>
    <w:pPr>
      <w:ind w:left="1100"/>
    </w:pPr>
    <w:rPr>
      <w:rFonts w:cs="Calibri"/>
      <w:sz w:val="18"/>
      <w:szCs w:val="18"/>
    </w:rPr>
  </w:style>
  <w:style w:type="paragraph" w:styleId="TOC7">
    <w:name w:val="toc 7"/>
    <w:basedOn w:val="Normal"/>
    <w:next w:val="Normal"/>
    <w:autoRedefine/>
    <w:uiPriority w:val="39"/>
    <w:unhideWhenUsed/>
    <w:rsid w:val="00E05F1A"/>
    <w:pPr>
      <w:ind w:left="1320"/>
    </w:pPr>
    <w:rPr>
      <w:rFonts w:cs="Calibri"/>
      <w:sz w:val="18"/>
      <w:szCs w:val="18"/>
    </w:rPr>
  </w:style>
  <w:style w:type="paragraph" w:styleId="TOC8">
    <w:name w:val="toc 8"/>
    <w:basedOn w:val="Normal"/>
    <w:next w:val="Normal"/>
    <w:autoRedefine/>
    <w:uiPriority w:val="39"/>
    <w:unhideWhenUsed/>
    <w:rsid w:val="00E05F1A"/>
    <w:pPr>
      <w:ind w:left="1540"/>
    </w:pPr>
    <w:rPr>
      <w:rFonts w:cs="Calibri"/>
      <w:sz w:val="18"/>
      <w:szCs w:val="18"/>
    </w:rPr>
  </w:style>
  <w:style w:type="paragraph" w:styleId="TOC9">
    <w:name w:val="toc 9"/>
    <w:basedOn w:val="Normal"/>
    <w:next w:val="Normal"/>
    <w:autoRedefine/>
    <w:uiPriority w:val="39"/>
    <w:unhideWhenUsed/>
    <w:rsid w:val="00E05F1A"/>
    <w:pPr>
      <w:ind w:left="1760"/>
    </w:pPr>
    <w:rPr>
      <w:rFonts w:cs="Calibri"/>
      <w:sz w:val="18"/>
      <w:szCs w:val="18"/>
    </w:rPr>
  </w:style>
  <w:style w:type="character" w:styleId="PlaceholderText">
    <w:name w:val="Placeholder Text"/>
    <w:uiPriority w:val="99"/>
    <w:semiHidden/>
    <w:rsid w:val="00DB53A8"/>
    <w:rPr>
      <w:color w:val="808080"/>
    </w:rPr>
  </w:style>
  <w:style w:type="paragraph" w:styleId="Subtitle">
    <w:name w:val="Subtitle"/>
    <w:basedOn w:val="Normal"/>
    <w:next w:val="BodyText"/>
    <w:link w:val="SubtitleChar"/>
    <w:rsid w:val="006D061F"/>
    <w:pPr>
      <w:overflowPunct w:val="0"/>
      <w:autoSpaceDE w:val="0"/>
      <w:autoSpaceDN w:val="0"/>
      <w:adjustRightInd w:val="0"/>
      <w:spacing w:after="240"/>
      <w:jc w:val="right"/>
      <w:textAlignment w:val="baseline"/>
    </w:pPr>
    <w:rPr>
      <w:rFonts w:ascii="Times New Roman" w:eastAsia="Times New Roman" w:hAnsi="Times New Roman"/>
      <w:b/>
      <w:i/>
      <w:sz w:val="32"/>
      <w:szCs w:val="24"/>
    </w:rPr>
  </w:style>
  <w:style w:type="character" w:customStyle="1" w:styleId="SubtitleChar">
    <w:name w:val="Subtitle Char"/>
    <w:link w:val="Subtitle"/>
    <w:rsid w:val="006D061F"/>
    <w:rPr>
      <w:rFonts w:ascii="Times New Roman" w:eastAsia="Times New Roman" w:hAnsi="Times New Roman"/>
      <w:b/>
      <w:i/>
      <w:sz w:val="32"/>
      <w:szCs w:val="24"/>
      <w:lang w:eastAsia="en-US"/>
    </w:rPr>
  </w:style>
  <w:style w:type="paragraph" w:customStyle="1" w:styleId="TableText">
    <w:name w:val="Table Text"/>
    <w:basedOn w:val="Normal"/>
    <w:rsid w:val="004B5272"/>
    <w:pPr>
      <w:overflowPunct w:val="0"/>
      <w:autoSpaceDE w:val="0"/>
      <w:autoSpaceDN w:val="0"/>
      <w:adjustRightInd w:val="0"/>
      <w:textAlignment w:val="baseline"/>
    </w:pPr>
    <w:rPr>
      <w:rFonts w:ascii="TimesNewRomanPS" w:eastAsia="Times New Roman" w:hAnsi="TimesNewRomanPS"/>
      <w:sz w:val="20"/>
      <w:szCs w:val="20"/>
      <w:lang w:val="en-US" w:eastAsia="en-GB"/>
    </w:rPr>
  </w:style>
  <w:style w:type="paragraph" w:styleId="DocumentMap">
    <w:name w:val="Document Map"/>
    <w:basedOn w:val="Normal"/>
    <w:link w:val="DocumentMapChar"/>
    <w:semiHidden/>
    <w:rsid w:val="000719A4"/>
    <w:pPr>
      <w:shd w:val="clear" w:color="auto" w:fill="000080"/>
    </w:pPr>
    <w:rPr>
      <w:rFonts w:ascii="Tahoma" w:eastAsia="Times New Roman" w:hAnsi="Tahoma" w:cs="Tahoma"/>
      <w:sz w:val="20"/>
      <w:szCs w:val="20"/>
      <w:lang w:val="de-DE" w:eastAsia="de-DE"/>
    </w:rPr>
  </w:style>
  <w:style w:type="character" w:customStyle="1" w:styleId="DocumentMapChar">
    <w:name w:val="Document Map Char"/>
    <w:basedOn w:val="DefaultParagraphFont"/>
    <w:link w:val="DocumentMap"/>
    <w:semiHidden/>
    <w:rsid w:val="000719A4"/>
    <w:rPr>
      <w:rFonts w:ascii="Tahoma" w:eastAsia="Times New Roman" w:hAnsi="Tahoma" w:cs="Tahoma"/>
      <w:shd w:val="clear" w:color="auto" w:fill="00008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BC"/>
    <w:rPr>
      <w:sz w:val="22"/>
      <w:szCs w:val="22"/>
      <w:lang w:eastAsia="en-US"/>
    </w:rPr>
  </w:style>
  <w:style w:type="paragraph" w:styleId="Heading1">
    <w:name w:val="heading 1"/>
    <w:basedOn w:val="Normal"/>
    <w:next w:val="Normal"/>
    <w:link w:val="Heading1Char"/>
    <w:uiPriority w:val="9"/>
    <w:qFormat/>
    <w:rsid w:val="00342214"/>
    <w:pPr>
      <w:keepNext/>
      <w:numPr>
        <w:numId w:val="1"/>
      </w:numPr>
      <w:overflowPunct w:val="0"/>
      <w:autoSpaceDE w:val="0"/>
      <w:autoSpaceDN w:val="0"/>
      <w:adjustRightInd w:val="0"/>
      <w:spacing w:before="480" w:after="360"/>
      <w:jc w:val="center"/>
      <w:textAlignment w:val="baseline"/>
      <w:outlineLvl w:val="0"/>
    </w:pPr>
    <w:rPr>
      <w:rFonts w:ascii="Times New Roman" w:eastAsia="Times New Roman" w:hAnsi="Times New Roman"/>
      <w:b/>
      <w:bCs/>
      <w:kern w:val="32"/>
      <w:sz w:val="28"/>
      <w:szCs w:val="24"/>
      <w:lang w:val="x-none" w:eastAsia="x-none"/>
    </w:rPr>
  </w:style>
  <w:style w:type="paragraph" w:styleId="Heading2">
    <w:name w:val="heading 2"/>
    <w:basedOn w:val="Normal"/>
    <w:link w:val="Heading2Char"/>
    <w:uiPriority w:val="9"/>
    <w:qFormat/>
    <w:rsid w:val="009B5672"/>
    <w:pPr>
      <w:keepNext/>
      <w:autoSpaceDE w:val="0"/>
      <w:autoSpaceDN w:val="0"/>
      <w:adjustRightInd w:val="0"/>
      <w:spacing w:before="360" w:after="240"/>
      <w:outlineLvl w:val="1"/>
    </w:pPr>
    <w:rPr>
      <w:rFonts w:ascii="Times New Roman" w:hAnsi="Times New Roman"/>
      <w:caps/>
      <w:sz w:val="24"/>
      <w:szCs w:val="24"/>
      <w:lang w:val="x-none" w:eastAsia="x-none"/>
    </w:rPr>
  </w:style>
  <w:style w:type="paragraph" w:styleId="Heading3">
    <w:name w:val="heading 3"/>
    <w:basedOn w:val="Normal"/>
    <w:next w:val="Normal"/>
    <w:link w:val="Heading3Char"/>
    <w:uiPriority w:val="9"/>
    <w:unhideWhenUsed/>
    <w:qFormat/>
    <w:rsid w:val="00F42E95"/>
    <w:pPr>
      <w:keepNext/>
      <w:autoSpaceDE w:val="0"/>
      <w:autoSpaceDN w:val="0"/>
      <w:adjustRightInd w:val="0"/>
      <w:spacing w:before="240" w:after="120" w:line="360" w:lineRule="auto"/>
      <w:jc w:val="both"/>
      <w:outlineLvl w:val="2"/>
    </w:pPr>
    <w:rPr>
      <w:rFonts w:ascii="Times New Roman" w:hAnsi="Times New Roman"/>
      <w:b/>
      <w:sz w:val="24"/>
      <w:szCs w:val="24"/>
      <w:lang w:val="x-none" w:eastAsia="x-none"/>
    </w:rPr>
  </w:style>
  <w:style w:type="paragraph" w:styleId="Heading4">
    <w:name w:val="heading 4"/>
    <w:basedOn w:val="Normal"/>
    <w:next w:val="Normal"/>
    <w:link w:val="Heading4Char"/>
    <w:uiPriority w:val="9"/>
    <w:unhideWhenUsed/>
    <w:qFormat/>
    <w:rsid w:val="00F00909"/>
    <w:pPr>
      <w:keepNext/>
      <w:autoSpaceDE w:val="0"/>
      <w:autoSpaceDN w:val="0"/>
      <w:adjustRightInd w:val="0"/>
      <w:spacing w:before="120" w:after="120" w:line="360" w:lineRule="auto"/>
      <w:jc w:val="both"/>
      <w:outlineLvl w:val="3"/>
    </w:pPr>
    <w:rPr>
      <w:rFonts w:ascii="Times New Roman" w:hAnsi="Times New Roman"/>
      <w: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CD1"/>
    <w:pPr>
      <w:tabs>
        <w:tab w:val="left" w:pos="567"/>
        <w:tab w:val="left" w:pos="1134"/>
      </w:tabs>
      <w:spacing w:after="120" w:line="360" w:lineRule="auto"/>
      <w:contextualSpacing/>
    </w:pPr>
    <w:rPr>
      <w:rFonts w:ascii="Times New Roman" w:hAnsi="Times New Roman"/>
      <w:sz w:val="24"/>
    </w:rPr>
  </w:style>
  <w:style w:type="paragraph" w:styleId="FootnoteText">
    <w:name w:val="footnote text"/>
    <w:basedOn w:val="Normal"/>
    <w:link w:val="FootnoteTextChar"/>
    <w:unhideWhenUsed/>
    <w:rsid w:val="00491BFE"/>
    <w:rPr>
      <w:rFonts w:ascii="Times New Roman" w:hAnsi="Times New Roman"/>
      <w:sz w:val="20"/>
      <w:szCs w:val="20"/>
      <w:lang w:val="x-none" w:eastAsia="x-none"/>
    </w:rPr>
  </w:style>
  <w:style w:type="character" w:customStyle="1" w:styleId="FootnoteTextChar">
    <w:name w:val="Footnote Text Char"/>
    <w:link w:val="FootnoteText"/>
    <w:rsid w:val="00491BFE"/>
    <w:rPr>
      <w:rFonts w:ascii="Times New Roman" w:hAnsi="Times New Roman"/>
      <w:lang w:val="x-none" w:eastAsia="x-none"/>
    </w:rPr>
  </w:style>
  <w:style w:type="character" w:styleId="FootnoteReference">
    <w:name w:val="footnote reference"/>
    <w:semiHidden/>
    <w:unhideWhenUsed/>
    <w:rsid w:val="00991960"/>
    <w:rPr>
      <w:vertAlign w:val="superscript"/>
    </w:rPr>
  </w:style>
  <w:style w:type="paragraph" w:styleId="BodyText">
    <w:name w:val="Body Text"/>
    <w:basedOn w:val="Normal"/>
    <w:next w:val="BodyText2"/>
    <w:link w:val="BodyTextChar"/>
    <w:autoRedefine/>
    <w:rsid w:val="00931A73"/>
    <w:pPr>
      <w:widowControl w:val="0"/>
      <w:tabs>
        <w:tab w:val="left" w:pos="2835"/>
      </w:tabs>
      <w:adjustRightInd w:val="0"/>
      <w:spacing w:before="120" w:line="360" w:lineRule="auto"/>
      <w:ind w:left="2835" w:hanging="2835"/>
      <w:jc w:val="both"/>
      <w:textAlignment w:val="baseline"/>
    </w:pPr>
    <w:rPr>
      <w:rFonts w:ascii="Times New Roman" w:eastAsia="Times New Roman" w:hAnsi="Times New Roman"/>
      <w:sz w:val="24"/>
      <w:szCs w:val="24"/>
      <w:lang w:eastAsia="x-none"/>
    </w:rPr>
  </w:style>
  <w:style w:type="character" w:customStyle="1" w:styleId="BodyTextChar">
    <w:name w:val="Body Text Char"/>
    <w:link w:val="BodyText"/>
    <w:rsid w:val="00931A73"/>
    <w:rPr>
      <w:rFonts w:ascii="Times New Roman" w:eastAsia="Times New Roman" w:hAnsi="Times New Roman"/>
      <w:sz w:val="24"/>
      <w:szCs w:val="24"/>
      <w:lang w:eastAsia="x-none"/>
    </w:rPr>
  </w:style>
  <w:style w:type="paragraph" w:styleId="BodyText2">
    <w:name w:val="Body Text 2"/>
    <w:basedOn w:val="Normal"/>
    <w:link w:val="BodyText2Char"/>
    <w:uiPriority w:val="99"/>
    <w:unhideWhenUsed/>
    <w:rsid w:val="00DD2B94"/>
    <w:pPr>
      <w:spacing w:after="120" w:line="480" w:lineRule="auto"/>
    </w:pPr>
  </w:style>
  <w:style w:type="character" w:customStyle="1" w:styleId="BodyText2Char">
    <w:name w:val="Body Text 2 Char"/>
    <w:basedOn w:val="DefaultParagraphFont"/>
    <w:link w:val="BodyText2"/>
    <w:uiPriority w:val="99"/>
    <w:rsid w:val="00DD2B94"/>
  </w:style>
  <w:style w:type="paragraph" w:styleId="BalloonText">
    <w:name w:val="Balloon Text"/>
    <w:basedOn w:val="Normal"/>
    <w:link w:val="BalloonTextChar"/>
    <w:uiPriority w:val="99"/>
    <w:semiHidden/>
    <w:unhideWhenUsed/>
    <w:rsid w:val="0077229C"/>
    <w:rPr>
      <w:rFonts w:ascii="Tahoma" w:hAnsi="Tahoma"/>
      <w:sz w:val="16"/>
      <w:szCs w:val="16"/>
      <w:lang w:val="x-none" w:eastAsia="x-none"/>
    </w:rPr>
  </w:style>
  <w:style w:type="character" w:customStyle="1" w:styleId="BalloonTextChar">
    <w:name w:val="Balloon Text Char"/>
    <w:link w:val="BalloonText"/>
    <w:uiPriority w:val="99"/>
    <w:semiHidden/>
    <w:rsid w:val="0077229C"/>
    <w:rPr>
      <w:rFonts w:ascii="Tahoma" w:hAnsi="Tahoma" w:cs="Tahoma"/>
      <w:sz w:val="16"/>
      <w:szCs w:val="16"/>
    </w:rPr>
  </w:style>
  <w:style w:type="character" w:styleId="Strong">
    <w:name w:val="Strong"/>
    <w:uiPriority w:val="22"/>
    <w:qFormat/>
    <w:rsid w:val="00F507E2"/>
    <w:rPr>
      <w:b/>
      <w:bCs/>
    </w:rPr>
  </w:style>
  <w:style w:type="paragraph" w:styleId="ListNumber2">
    <w:name w:val="List Number 2"/>
    <w:basedOn w:val="Normal"/>
    <w:uiPriority w:val="99"/>
    <w:rsid w:val="007E1C76"/>
    <w:pPr>
      <w:numPr>
        <w:numId w:val="28"/>
      </w:numPr>
      <w:tabs>
        <w:tab w:val="left" w:pos="567"/>
        <w:tab w:val="left" w:pos="1134"/>
      </w:tabs>
      <w:spacing w:before="120" w:line="360" w:lineRule="auto"/>
      <w:contextualSpacing/>
      <w:jc w:val="both"/>
    </w:pPr>
    <w:rPr>
      <w:rFonts w:ascii="Times New Roman" w:hAnsi="Times New Roman"/>
      <w:sz w:val="24"/>
    </w:rPr>
  </w:style>
  <w:style w:type="paragraph" w:styleId="Header">
    <w:name w:val="header"/>
    <w:basedOn w:val="Normal"/>
    <w:link w:val="HeaderChar"/>
    <w:uiPriority w:val="99"/>
    <w:unhideWhenUsed/>
    <w:rsid w:val="006B4830"/>
    <w:pPr>
      <w:tabs>
        <w:tab w:val="center" w:pos="4680"/>
        <w:tab w:val="right" w:pos="9360"/>
      </w:tabs>
    </w:pPr>
    <w:rPr>
      <w:lang w:eastAsia="x-none"/>
    </w:rPr>
  </w:style>
  <w:style w:type="character" w:customStyle="1" w:styleId="HeaderChar">
    <w:name w:val="Header Char"/>
    <w:link w:val="Header"/>
    <w:uiPriority w:val="99"/>
    <w:rsid w:val="006B4830"/>
    <w:rPr>
      <w:sz w:val="22"/>
      <w:szCs w:val="22"/>
      <w:lang w:val="en-GB"/>
    </w:rPr>
  </w:style>
  <w:style w:type="paragraph" w:styleId="Footer">
    <w:name w:val="footer"/>
    <w:basedOn w:val="Normal"/>
    <w:link w:val="FooterChar"/>
    <w:uiPriority w:val="99"/>
    <w:unhideWhenUsed/>
    <w:rsid w:val="006B4830"/>
    <w:pPr>
      <w:tabs>
        <w:tab w:val="center" w:pos="4680"/>
        <w:tab w:val="right" w:pos="9360"/>
      </w:tabs>
    </w:pPr>
    <w:rPr>
      <w:lang w:eastAsia="x-none"/>
    </w:rPr>
  </w:style>
  <w:style w:type="character" w:customStyle="1" w:styleId="FooterChar">
    <w:name w:val="Footer Char"/>
    <w:link w:val="Footer"/>
    <w:uiPriority w:val="99"/>
    <w:rsid w:val="006B4830"/>
    <w:rPr>
      <w:sz w:val="22"/>
      <w:szCs w:val="22"/>
      <w:lang w:val="en-GB"/>
    </w:rPr>
  </w:style>
  <w:style w:type="table" w:styleId="TableGrid">
    <w:name w:val="Table Grid"/>
    <w:basedOn w:val="TableNormal"/>
    <w:rsid w:val="00A65B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bodytext">
    <w:name w:val="SSbodytext"/>
    <w:basedOn w:val="BodyText"/>
    <w:rsid w:val="0058086E"/>
    <w:pPr>
      <w:tabs>
        <w:tab w:val="num" w:pos="567"/>
      </w:tabs>
      <w:adjustRightInd/>
      <w:spacing w:after="240"/>
      <w:ind w:left="0" w:firstLine="0"/>
      <w:textAlignment w:val="auto"/>
    </w:pPr>
    <w:rPr>
      <w:rFonts w:eastAsia="MS Mincho"/>
    </w:rPr>
  </w:style>
  <w:style w:type="paragraph" w:customStyle="1" w:styleId="Default">
    <w:name w:val="Default"/>
    <w:rsid w:val="007A407F"/>
    <w:pPr>
      <w:autoSpaceDE w:val="0"/>
      <w:autoSpaceDN w:val="0"/>
      <w:adjustRightInd w:val="0"/>
    </w:pPr>
    <w:rPr>
      <w:rFonts w:ascii="Times New Roman" w:eastAsia="Times New Roman" w:hAnsi="Times New Roman"/>
      <w:color w:val="000000"/>
      <w:sz w:val="24"/>
      <w:szCs w:val="24"/>
      <w:lang w:eastAsia="en-US"/>
    </w:rPr>
  </w:style>
  <w:style w:type="character" w:customStyle="1" w:styleId="Heading2Char">
    <w:name w:val="Heading 2 Char"/>
    <w:link w:val="Heading2"/>
    <w:uiPriority w:val="9"/>
    <w:rsid w:val="009B5672"/>
    <w:rPr>
      <w:rFonts w:ascii="Times New Roman" w:hAnsi="Times New Roman"/>
      <w:caps/>
      <w:sz w:val="24"/>
      <w:szCs w:val="24"/>
      <w:lang w:val="x-none" w:eastAsia="x-none"/>
    </w:rPr>
  </w:style>
  <w:style w:type="paragraph" w:customStyle="1" w:styleId="TecDocTitle">
    <w:name w:val="TecDoc Title"/>
    <w:rsid w:val="00CC51E6"/>
    <w:pPr>
      <w:keepNext/>
      <w:keepLines/>
      <w:overflowPunct w:val="0"/>
      <w:autoSpaceDE w:val="0"/>
      <w:autoSpaceDN w:val="0"/>
      <w:adjustRightInd w:val="0"/>
      <w:spacing w:before="1701"/>
      <w:jc w:val="right"/>
      <w:textAlignment w:val="baseline"/>
    </w:pPr>
    <w:rPr>
      <w:rFonts w:ascii="Arial" w:eastAsia="Times New Roman" w:hAnsi="Arial"/>
      <w:b/>
      <w:i/>
      <w:noProof/>
      <w:sz w:val="60"/>
      <w:lang w:val="en-US" w:eastAsia="en-US"/>
    </w:rPr>
  </w:style>
  <w:style w:type="paragraph" w:customStyle="1" w:styleId="TecDocSubtitle">
    <w:name w:val="TecDoc Subtitle"/>
    <w:rsid w:val="00CC51E6"/>
    <w:pPr>
      <w:overflowPunct w:val="0"/>
      <w:autoSpaceDE w:val="0"/>
      <w:autoSpaceDN w:val="0"/>
      <w:adjustRightInd w:val="0"/>
      <w:spacing w:before="624"/>
      <w:jc w:val="right"/>
      <w:textAlignment w:val="baseline"/>
    </w:pPr>
    <w:rPr>
      <w:rFonts w:ascii="Arial" w:eastAsia="Times New Roman" w:hAnsi="Arial"/>
      <w:i/>
      <w:noProof/>
      <w:sz w:val="28"/>
      <w:lang w:val="en-US" w:eastAsia="en-US"/>
    </w:rPr>
  </w:style>
  <w:style w:type="character" w:customStyle="1" w:styleId="Heading1Char">
    <w:name w:val="Heading 1 Char"/>
    <w:link w:val="Heading1"/>
    <w:uiPriority w:val="9"/>
    <w:rsid w:val="00342214"/>
    <w:rPr>
      <w:rFonts w:ascii="Times New Roman" w:eastAsia="Times New Roman" w:hAnsi="Times New Roman"/>
      <w:b/>
      <w:bCs/>
      <w:kern w:val="32"/>
      <w:sz w:val="28"/>
      <w:szCs w:val="24"/>
      <w:lang w:val="x-none" w:eastAsia="x-none"/>
    </w:rPr>
  </w:style>
  <w:style w:type="paragraph" w:styleId="TOCHeading">
    <w:name w:val="TOC Heading"/>
    <w:basedOn w:val="Heading1"/>
    <w:next w:val="Normal"/>
    <w:uiPriority w:val="39"/>
    <w:unhideWhenUsed/>
    <w:qFormat/>
    <w:rsid w:val="00CC51E6"/>
    <w:pPr>
      <w:keepLines/>
      <w:spacing w:after="0" w:line="276" w:lineRule="auto"/>
      <w:outlineLvl w:val="9"/>
    </w:pPr>
    <w:rPr>
      <w:color w:val="365F91"/>
      <w:kern w:val="0"/>
      <w:szCs w:val="28"/>
      <w:lang w:val="en-US" w:eastAsia="ja-JP"/>
    </w:rPr>
  </w:style>
  <w:style w:type="paragraph" w:styleId="TOC2">
    <w:name w:val="toc 2"/>
    <w:basedOn w:val="Normal"/>
    <w:next w:val="Normal"/>
    <w:autoRedefine/>
    <w:uiPriority w:val="39"/>
    <w:unhideWhenUsed/>
    <w:qFormat/>
    <w:rsid w:val="00BA5523"/>
    <w:pPr>
      <w:tabs>
        <w:tab w:val="left" w:pos="567"/>
        <w:tab w:val="right" w:leader="dot" w:pos="9072"/>
      </w:tabs>
      <w:ind w:left="1134" w:hanging="567"/>
    </w:pPr>
    <w:rPr>
      <w:rFonts w:cs="Calibri"/>
      <w:smallCaps/>
      <w:sz w:val="20"/>
      <w:szCs w:val="20"/>
    </w:rPr>
  </w:style>
  <w:style w:type="character" w:styleId="Hyperlink">
    <w:name w:val="Hyperlink"/>
    <w:uiPriority w:val="99"/>
    <w:unhideWhenUsed/>
    <w:rsid w:val="00CC51E6"/>
    <w:rPr>
      <w:color w:val="0000FF"/>
      <w:u w:val="single"/>
    </w:rPr>
  </w:style>
  <w:style w:type="paragraph" w:customStyle="1" w:styleId="Heading">
    <w:name w:val="Heading"/>
    <w:basedOn w:val="Normal"/>
    <w:rsid w:val="00CC51E6"/>
    <w:pPr>
      <w:keepNext/>
      <w:keepLines/>
      <w:pageBreakBefore/>
      <w:overflowPunct w:val="0"/>
      <w:autoSpaceDE w:val="0"/>
      <w:autoSpaceDN w:val="0"/>
      <w:adjustRightInd w:val="0"/>
      <w:spacing w:after="480"/>
      <w:jc w:val="center"/>
      <w:textAlignment w:val="baseline"/>
    </w:pPr>
    <w:rPr>
      <w:rFonts w:ascii="Times New Roman" w:eastAsia="Times New Roman" w:hAnsi="Times New Roman"/>
      <w:b/>
      <w:caps/>
      <w:sz w:val="24"/>
      <w:szCs w:val="20"/>
    </w:rPr>
  </w:style>
  <w:style w:type="paragraph" w:customStyle="1" w:styleId="Heading1Type">
    <w:name w:val="Heading 1 Type"/>
    <w:basedOn w:val="Normal"/>
    <w:rsid w:val="002229A0"/>
    <w:pPr>
      <w:overflowPunct w:val="0"/>
      <w:autoSpaceDE w:val="0"/>
      <w:autoSpaceDN w:val="0"/>
      <w:adjustRightInd w:val="0"/>
      <w:spacing w:before="120" w:after="240"/>
      <w:textAlignment w:val="baseline"/>
    </w:pPr>
    <w:rPr>
      <w:rFonts w:ascii="Times New Roman" w:eastAsia="Times New Roman" w:hAnsi="Times New Roman"/>
      <w:color w:val="000000"/>
      <w:sz w:val="24"/>
      <w:szCs w:val="20"/>
    </w:rPr>
  </w:style>
  <w:style w:type="character" w:styleId="CommentReference">
    <w:name w:val="annotation reference"/>
    <w:uiPriority w:val="99"/>
    <w:semiHidden/>
    <w:unhideWhenUsed/>
    <w:rsid w:val="002A1AAD"/>
    <w:rPr>
      <w:sz w:val="16"/>
      <w:szCs w:val="16"/>
    </w:rPr>
  </w:style>
  <w:style w:type="paragraph" w:styleId="CommentText">
    <w:name w:val="annotation text"/>
    <w:basedOn w:val="Normal"/>
    <w:link w:val="CommentTextChar"/>
    <w:uiPriority w:val="99"/>
    <w:semiHidden/>
    <w:unhideWhenUsed/>
    <w:rsid w:val="002A1AAD"/>
    <w:rPr>
      <w:sz w:val="20"/>
      <w:szCs w:val="20"/>
      <w:lang w:val="x-none"/>
    </w:rPr>
  </w:style>
  <w:style w:type="character" w:customStyle="1" w:styleId="CommentTextChar">
    <w:name w:val="Comment Text Char"/>
    <w:link w:val="CommentText"/>
    <w:uiPriority w:val="99"/>
    <w:semiHidden/>
    <w:rsid w:val="002A1AAD"/>
    <w:rPr>
      <w:lang w:eastAsia="en-US"/>
    </w:rPr>
  </w:style>
  <w:style w:type="paragraph" w:styleId="CommentSubject">
    <w:name w:val="annotation subject"/>
    <w:basedOn w:val="CommentText"/>
    <w:next w:val="CommentText"/>
    <w:link w:val="CommentSubjectChar"/>
    <w:uiPriority w:val="99"/>
    <w:semiHidden/>
    <w:unhideWhenUsed/>
    <w:rsid w:val="002A1AAD"/>
    <w:rPr>
      <w:b/>
      <w:bCs/>
    </w:rPr>
  </w:style>
  <w:style w:type="character" w:customStyle="1" w:styleId="CommentSubjectChar">
    <w:name w:val="Comment Subject Char"/>
    <w:link w:val="CommentSubject"/>
    <w:uiPriority w:val="99"/>
    <w:semiHidden/>
    <w:rsid w:val="002A1AAD"/>
    <w:rPr>
      <w:b/>
      <w:bCs/>
      <w:lang w:eastAsia="en-US"/>
    </w:rPr>
  </w:style>
  <w:style w:type="paragraph" w:styleId="Revision">
    <w:name w:val="Revision"/>
    <w:hidden/>
    <w:uiPriority w:val="99"/>
    <w:semiHidden/>
    <w:rsid w:val="002A1AAD"/>
    <w:rPr>
      <w:sz w:val="22"/>
      <w:szCs w:val="22"/>
      <w:lang w:eastAsia="en-US"/>
    </w:rPr>
  </w:style>
  <w:style w:type="paragraph" w:styleId="TOC1">
    <w:name w:val="toc 1"/>
    <w:basedOn w:val="Normal"/>
    <w:next w:val="Normal"/>
    <w:autoRedefine/>
    <w:uiPriority w:val="39"/>
    <w:unhideWhenUsed/>
    <w:qFormat/>
    <w:rsid w:val="00DA13A3"/>
    <w:pPr>
      <w:tabs>
        <w:tab w:val="left" w:pos="567"/>
        <w:tab w:val="right" w:leader="dot" w:pos="9072"/>
      </w:tabs>
      <w:spacing w:before="240" w:after="120"/>
      <w:ind w:left="567" w:hanging="567"/>
    </w:pPr>
    <w:rPr>
      <w:rFonts w:cs="Calibri"/>
      <w:b/>
      <w:bCs/>
      <w:caps/>
      <w:sz w:val="20"/>
      <w:szCs w:val="20"/>
    </w:rPr>
  </w:style>
  <w:style w:type="paragraph" w:styleId="TOC3">
    <w:name w:val="toc 3"/>
    <w:basedOn w:val="Normal"/>
    <w:next w:val="Normal"/>
    <w:autoRedefine/>
    <w:uiPriority w:val="39"/>
    <w:unhideWhenUsed/>
    <w:qFormat/>
    <w:rsid w:val="009B7047"/>
    <w:pPr>
      <w:ind w:left="440"/>
    </w:pPr>
    <w:rPr>
      <w:rFonts w:cs="Calibri"/>
      <w:i/>
      <w:iCs/>
      <w:sz w:val="20"/>
      <w:szCs w:val="20"/>
    </w:rPr>
  </w:style>
  <w:style w:type="paragraph" w:styleId="EndnoteText">
    <w:name w:val="endnote text"/>
    <w:basedOn w:val="Normal"/>
    <w:link w:val="EndnoteTextChar"/>
    <w:semiHidden/>
    <w:rsid w:val="00B17A4D"/>
    <w:rPr>
      <w:rFonts w:ascii="Times New Roman" w:eastAsia="MS Mincho" w:hAnsi="Times New Roman"/>
      <w:sz w:val="20"/>
      <w:szCs w:val="20"/>
      <w:lang w:val="x-none" w:eastAsia="ja-JP"/>
    </w:rPr>
  </w:style>
  <w:style w:type="character" w:customStyle="1" w:styleId="EndnoteTextChar">
    <w:name w:val="Endnote Text Char"/>
    <w:link w:val="EndnoteText"/>
    <w:semiHidden/>
    <w:rsid w:val="00B17A4D"/>
    <w:rPr>
      <w:rFonts w:ascii="Times New Roman" w:eastAsia="MS Mincho" w:hAnsi="Times New Roman"/>
      <w:lang w:eastAsia="ja-JP"/>
    </w:rPr>
  </w:style>
  <w:style w:type="character" w:customStyle="1" w:styleId="Heading3Char">
    <w:name w:val="Heading 3 Char"/>
    <w:link w:val="Heading3"/>
    <w:uiPriority w:val="9"/>
    <w:rsid w:val="00F42E95"/>
    <w:rPr>
      <w:rFonts w:ascii="Times New Roman" w:hAnsi="Times New Roman"/>
      <w:b/>
      <w:sz w:val="24"/>
      <w:szCs w:val="24"/>
    </w:rPr>
  </w:style>
  <w:style w:type="character" w:styleId="FollowedHyperlink">
    <w:name w:val="FollowedHyperlink"/>
    <w:uiPriority w:val="99"/>
    <w:semiHidden/>
    <w:unhideWhenUsed/>
    <w:rsid w:val="001C1F1D"/>
    <w:rPr>
      <w:color w:val="800080"/>
      <w:u w:val="single"/>
    </w:rPr>
  </w:style>
  <w:style w:type="paragraph" w:styleId="NormalWeb">
    <w:name w:val="Normal (Web)"/>
    <w:basedOn w:val="Normal"/>
    <w:uiPriority w:val="99"/>
    <w:unhideWhenUsed/>
    <w:rsid w:val="003B3CA7"/>
    <w:pPr>
      <w:spacing w:before="100" w:beforeAutospacing="1" w:after="100" w:afterAutospacing="1"/>
    </w:pPr>
    <w:rPr>
      <w:rFonts w:ascii="Times New Roman" w:eastAsia="Times New Roman" w:hAnsi="Times New Roman"/>
      <w:sz w:val="24"/>
      <w:szCs w:val="24"/>
      <w:lang w:val="en-US"/>
    </w:rPr>
  </w:style>
  <w:style w:type="paragraph" w:customStyle="1" w:styleId="articletext">
    <w:name w:val="articletext"/>
    <w:basedOn w:val="Normal"/>
    <w:rsid w:val="000C2C93"/>
    <w:pPr>
      <w:spacing w:before="100" w:beforeAutospacing="1" w:after="100" w:afterAutospacing="1"/>
    </w:pPr>
    <w:rPr>
      <w:rFonts w:ascii="Times New Roman" w:eastAsia="Times New Roman" w:hAnsi="Times New Roman"/>
      <w:sz w:val="24"/>
      <w:szCs w:val="24"/>
      <w:lang w:val="en-US"/>
    </w:rPr>
  </w:style>
  <w:style w:type="paragraph" w:styleId="Bibliography">
    <w:name w:val="Bibliography"/>
    <w:basedOn w:val="Normal"/>
    <w:next w:val="Normal"/>
    <w:uiPriority w:val="37"/>
    <w:unhideWhenUsed/>
    <w:rsid w:val="00250CF0"/>
  </w:style>
  <w:style w:type="character" w:customStyle="1" w:styleId="Heading4Char">
    <w:name w:val="Heading 4 Char"/>
    <w:link w:val="Heading4"/>
    <w:uiPriority w:val="9"/>
    <w:rsid w:val="00F00909"/>
    <w:rPr>
      <w:rFonts w:ascii="Times New Roman" w:hAnsi="Times New Roman"/>
      <w:i/>
      <w:sz w:val="24"/>
      <w:szCs w:val="22"/>
    </w:rPr>
  </w:style>
  <w:style w:type="table" w:customStyle="1" w:styleId="1">
    <w:name w:val="Светлая заливка1"/>
    <w:basedOn w:val="TableNormal"/>
    <w:uiPriority w:val="60"/>
    <w:rsid w:val="006E47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efinition">
    <w:name w:val="definition"/>
    <w:basedOn w:val="DefaultParagraphFont"/>
    <w:rsid w:val="006D00B3"/>
  </w:style>
  <w:style w:type="paragraph" w:styleId="NoSpacing">
    <w:name w:val="No Spacing"/>
    <w:uiPriority w:val="1"/>
    <w:qFormat/>
    <w:rsid w:val="00E66A69"/>
    <w:rPr>
      <w:sz w:val="22"/>
      <w:szCs w:val="22"/>
      <w:lang w:eastAsia="en-US"/>
    </w:rPr>
  </w:style>
  <w:style w:type="paragraph" w:styleId="TOC4">
    <w:name w:val="toc 4"/>
    <w:basedOn w:val="Normal"/>
    <w:next w:val="Normal"/>
    <w:autoRedefine/>
    <w:uiPriority w:val="39"/>
    <w:unhideWhenUsed/>
    <w:rsid w:val="00E05F1A"/>
    <w:pPr>
      <w:ind w:left="660"/>
    </w:pPr>
    <w:rPr>
      <w:rFonts w:cs="Calibri"/>
      <w:sz w:val="18"/>
      <w:szCs w:val="18"/>
    </w:rPr>
  </w:style>
  <w:style w:type="paragraph" w:styleId="TOC5">
    <w:name w:val="toc 5"/>
    <w:basedOn w:val="Normal"/>
    <w:next w:val="Normal"/>
    <w:autoRedefine/>
    <w:uiPriority w:val="39"/>
    <w:unhideWhenUsed/>
    <w:rsid w:val="00E05F1A"/>
    <w:pPr>
      <w:ind w:left="880"/>
    </w:pPr>
    <w:rPr>
      <w:rFonts w:cs="Calibri"/>
      <w:sz w:val="18"/>
      <w:szCs w:val="18"/>
    </w:rPr>
  </w:style>
  <w:style w:type="paragraph" w:styleId="TOC6">
    <w:name w:val="toc 6"/>
    <w:basedOn w:val="Normal"/>
    <w:next w:val="Normal"/>
    <w:autoRedefine/>
    <w:uiPriority w:val="39"/>
    <w:unhideWhenUsed/>
    <w:rsid w:val="00E05F1A"/>
    <w:pPr>
      <w:ind w:left="1100"/>
    </w:pPr>
    <w:rPr>
      <w:rFonts w:cs="Calibri"/>
      <w:sz w:val="18"/>
      <w:szCs w:val="18"/>
    </w:rPr>
  </w:style>
  <w:style w:type="paragraph" w:styleId="TOC7">
    <w:name w:val="toc 7"/>
    <w:basedOn w:val="Normal"/>
    <w:next w:val="Normal"/>
    <w:autoRedefine/>
    <w:uiPriority w:val="39"/>
    <w:unhideWhenUsed/>
    <w:rsid w:val="00E05F1A"/>
    <w:pPr>
      <w:ind w:left="1320"/>
    </w:pPr>
    <w:rPr>
      <w:rFonts w:cs="Calibri"/>
      <w:sz w:val="18"/>
      <w:szCs w:val="18"/>
    </w:rPr>
  </w:style>
  <w:style w:type="paragraph" w:styleId="TOC8">
    <w:name w:val="toc 8"/>
    <w:basedOn w:val="Normal"/>
    <w:next w:val="Normal"/>
    <w:autoRedefine/>
    <w:uiPriority w:val="39"/>
    <w:unhideWhenUsed/>
    <w:rsid w:val="00E05F1A"/>
    <w:pPr>
      <w:ind w:left="1540"/>
    </w:pPr>
    <w:rPr>
      <w:rFonts w:cs="Calibri"/>
      <w:sz w:val="18"/>
      <w:szCs w:val="18"/>
    </w:rPr>
  </w:style>
  <w:style w:type="paragraph" w:styleId="TOC9">
    <w:name w:val="toc 9"/>
    <w:basedOn w:val="Normal"/>
    <w:next w:val="Normal"/>
    <w:autoRedefine/>
    <w:uiPriority w:val="39"/>
    <w:unhideWhenUsed/>
    <w:rsid w:val="00E05F1A"/>
    <w:pPr>
      <w:ind w:left="1760"/>
    </w:pPr>
    <w:rPr>
      <w:rFonts w:cs="Calibri"/>
      <w:sz w:val="18"/>
      <w:szCs w:val="18"/>
    </w:rPr>
  </w:style>
  <w:style w:type="character" w:styleId="PlaceholderText">
    <w:name w:val="Placeholder Text"/>
    <w:uiPriority w:val="99"/>
    <w:semiHidden/>
    <w:rsid w:val="00DB53A8"/>
    <w:rPr>
      <w:color w:val="808080"/>
    </w:rPr>
  </w:style>
  <w:style w:type="paragraph" w:styleId="Subtitle">
    <w:name w:val="Subtitle"/>
    <w:basedOn w:val="Normal"/>
    <w:next w:val="BodyText"/>
    <w:link w:val="SubtitleChar"/>
    <w:rsid w:val="006D061F"/>
    <w:pPr>
      <w:overflowPunct w:val="0"/>
      <w:autoSpaceDE w:val="0"/>
      <w:autoSpaceDN w:val="0"/>
      <w:adjustRightInd w:val="0"/>
      <w:spacing w:after="240"/>
      <w:jc w:val="right"/>
      <w:textAlignment w:val="baseline"/>
    </w:pPr>
    <w:rPr>
      <w:rFonts w:ascii="Times New Roman" w:eastAsia="Times New Roman" w:hAnsi="Times New Roman"/>
      <w:b/>
      <w:i/>
      <w:sz w:val="32"/>
      <w:szCs w:val="24"/>
    </w:rPr>
  </w:style>
  <w:style w:type="character" w:customStyle="1" w:styleId="SubtitleChar">
    <w:name w:val="Subtitle Char"/>
    <w:link w:val="Subtitle"/>
    <w:rsid w:val="006D061F"/>
    <w:rPr>
      <w:rFonts w:ascii="Times New Roman" w:eastAsia="Times New Roman" w:hAnsi="Times New Roman"/>
      <w:b/>
      <w:i/>
      <w:sz w:val="32"/>
      <w:szCs w:val="24"/>
      <w:lang w:eastAsia="en-US"/>
    </w:rPr>
  </w:style>
  <w:style w:type="paragraph" w:customStyle="1" w:styleId="TableText">
    <w:name w:val="Table Text"/>
    <w:basedOn w:val="Normal"/>
    <w:rsid w:val="004B5272"/>
    <w:pPr>
      <w:overflowPunct w:val="0"/>
      <w:autoSpaceDE w:val="0"/>
      <w:autoSpaceDN w:val="0"/>
      <w:adjustRightInd w:val="0"/>
      <w:textAlignment w:val="baseline"/>
    </w:pPr>
    <w:rPr>
      <w:rFonts w:ascii="TimesNewRomanPS" w:eastAsia="Times New Roman" w:hAnsi="TimesNewRomanPS"/>
      <w:sz w:val="20"/>
      <w:szCs w:val="20"/>
      <w:lang w:val="en-US" w:eastAsia="en-GB"/>
    </w:rPr>
  </w:style>
  <w:style w:type="paragraph" w:styleId="DocumentMap">
    <w:name w:val="Document Map"/>
    <w:basedOn w:val="Normal"/>
    <w:link w:val="DocumentMapChar"/>
    <w:semiHidden/>
    <w:rsid w:val="000719A4"/>
    <w:pPr>
      <w:shd w:val="clear" w:color="auto" w:fill="000080"/>
    </w:pPr>
    <w:rPr>
      <w:rFonts w:ascii="Tahoma" w:eastAsia="Times New Roman" w:hAnsi="Tahoma" w:cs="Tahoma"/>
      <w:sz w:val="20"/>
      <w:szCs w:val="20"/>
      <w:lang w:val="de-DE" w:eastAsia="de-DE"/>
    </w:rPr>
  </w:style>
  <w:style w:type="character" w:customStyle="1" w:styleId="DocumentMapChar">
    <w:name w:val="Document Map Char"/>
    <w:basedOn w:val="DefaultParagraphFont"/>
    <w:link w:val="DocumentMap"/>
    <w:semiHidden/>
    <w:rsid w:val="000719A4"/>
    <w:rPr>
      <w:rFonts w:ascii="Tahoma" w:eastAsia="Times New Roman" w:hAnsi="Tahoma" w:cs="Tahoma"/>
      <w:shd w:val="clear" w:color="auto" w:fill="00008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346">
      <w:bodyDiv w:val="1"/>
      <w:marLeft w:val="0"/>
      <w:marRight w:val="0"/>
      <w:marTop w:val="0"/>
      <w:marBottom w:val="0"/>
      <w:divBdr>
        <w:top w:val="none" w:sz="0" w:space="0" w:color="auto"/>
        <w:left w:val="none" w:sz="0" w:space="0" w:color="auto"/>
        <w:bottom w:val="none" w:sz="0" w:space="0" w:color="auto"/>
        <w:right w:val="none" w:sz="0" w:space="0" w:color="auto"/>
      </w:divBdr>
    </w:div>
    <w:div w:id="64576693">
      <w:bodyDiv w:val="1"/>
      <w:marLeft w:val="0"/>
      <w:marRight w:val="0"/>
      <w:marTop w:val="0"/>
      <w:marBottom w:val="0"/>
      <w:divBdr>
        <w:top w:val="none" w:sz="0" w:space="0" w:color="auto"/>
        <w:left w:val="none" w:sz="0" w:space="0" w:color="auto"/>
        <w:bottom w:val="none" w:sz="0" w:space="0" w:color="auto"/>
        <w:right w:val="none" w:sz="0" w:space="0" w:color="auto"/>
      </w:divBdr>
    </w:div>
    <w:div w:id="175311952">
      <w:bodyDiv w:val="1"/>
      <w:marLeft w:val="0"/>
      <w:marRight w:val="0"/>
      <w:marTop w:val="0"/>
      <w:marBottom w:val="0"/>
      <w:divBdr>
        <w:top w:val="none" w:sz="0" w:space="0" w:color="auto"/>
        <w:left w:val="none" w:sz="0" w:space="0" w:color="auto"/>
        <w:bottom w:val="none" w:sz="0" w:space="0" w:color="auto"/>
        <w:right w:val="none" w:sz="0" w:space="0" w:color="auto"/>
      </w:divBdr>
    </w:div>
    <w:div w:id="194924207">
      <w:bodyDiv w:val="1"/>
      <w:marLeft w:val="0"/>
      <w:marRight w:val="0"/>
      <w:marTop w:val="0"/>
      <w:marBottom w:val="0"/>
      <w:divBdr>
        <w:top w:val="none" w:sz="0" w:space="0" w:color="auto"/>
        <w:left w:val="none" w:sz="0" w:space="0" w:color="auto"/>
        <w:bottom w:val="none" w:sz="0" w:space="0" w:color="auto"/>
        <w:right w:val="none" w:sz="0" w:space="0" w:color="auto"/>
      </w:divBdr>
    </w:div>
    <w:div w:id="330134986">
      <w:bodyDiv w:val="1"/>
      <w:marLeft w:val="0"/>
      <w:marRight w:val="0"/>
      <w:marTop w:val="0"/>
      <w:marBottom w:val="0"/>
      <w:divBdr>
        <w:top w:val="none" w:sz="0" w:space="0" w:color="auto"/>
        <w:left w:val="none" w:sz="0" w:space="0" w:color="auto"/>
        <w:bottom w:val="none" w:sz="0" w:space="0" w:color="auto"/>
        <w:right w:val="none" w:sz="0" w:space="0" w:color="auto"/>
      </w:divBdr>
    </w:div>
    <w:div w:id="472527857">
      <w:bodyDiv w:val="1"/>
      <w:marLeft w:val="0"/>
      <w:marRight w:val="0"/>
      <w:marTop w:val="0"/>
      <w:marBottom w:val="0"/>
      <w:divBdr>
        <w:top w:val="none" w:sz="0" w:space="0" w:color="auto"/>
        <w:left w:val="none" w:sz="0" w:space="0" w:color="auto"/>
        <w:bottom w:val="none" w:sz="0" w:space="0" w:color="auto"/>
        <w:right w:val="none" w:sz="0" w:space="0" w:color="auto"/>
      </w:divBdr>
    </w:div>
    <w:div w:id="536966196">
      <w:bodyDiv w:val="1"/>
      <w:marLeft w:val="0"/>
      <w:marRight w:val="0"/>
      <w:marTop w:val="0"/>
      <w:marBottom w:val="0"/>
      <w:divBdr>
        <w:top w:val="none" w:sz="0" w:space="0" w:color="auto"/>
        <w:left w:val="none" w:sz="0" w:space="0" w:color="auto"/>
        <w:bottom w:val="none" w:sz="0" w:space="0" w:color="auto"/>
        <w:right w:val="none" w:sz="0" w:space="0" w:color="auto"/>
      </w:divBdr>
    </w:div>
    <w:div w:id="636032805">
      <w:bodyDiv w:val="1"/>
      <w:marLeft w:val="0"/>
      <w:marRight w:val="0"/>
      <w:marTop w:val="0"/>
      <w:marBottom w:val="0"/>
      <w:divBdr>
        <w:top w:val="none" w:sz="0" w:space="0" w:color="auto"/>
        <w:left w:val="none" w:sz="0" w:space="0" w:color="auto"/>
        <w:bottom w:val="none" w:sz="0" w:space="0" w:color="auto"/>
        <w:right w:val="none" w:sz="0" w:space="0" w:color="auto"/>
      </w:divBdr>
    </w:div>
    <w:div w:id="657878356">
      <w:bodyDiv w:val="1"/>
      <w:marLeft w:val="0"/>
      <w:marRight w:val="0"/>
      <w:marTop w:val="0"/>
      <w:marBottom w:val="0"/>
      <w:divBdr>
        <w:top w:val="none" w:sz="0" w:space="0" w:color="auto"/>
        <w:left w:val="none" w:sz="0" w:space="0" w:color="auto"/>
        <w:bottom w:val="none" w:sz="0" w:space="0" w:color="auto"/>
        <w:right w:val="none" w:sz="0" w:space="0" w:color="auto"/>
      </w:divBdr>
    </w:div>
    <w:div w:id="743263569">
      <w:bodyDiv w:val="1"/>
      <w:marLeft w:val="0"/>
      <w:marRight w:val="0"/>
      <w:marTop w:val="0"/>
      <w:marBottom w:val="0"/>
      <w:divBdr>
        <w:top w:val="none" w:sz="0" w:space="0" w:color="auto"/>
        <w:left w:val="none" w:sz="0" w:space="0" w:color="auto"/>
        <w:bottom w:val="none" w:sz="0" w:space="0" w:color="auto"/>
        <w:right w:val="none" w:sz="0" w:space="0" w:color="auto"/>
      </w:divBdr>
    </w:div>
    <w:div w:id="778530388">
      <w:bodyDiv w:val="1"/>
      <w:marLeft w:val="0"/>
      <w:marRight w:val="0"/>
      <w:marTop w:val="0"/>
      <w:marBottom w:val="0"/>
      <w:divBdr>
        <w:top w:val="none" w:sz="0" w:space="0" w:color="auto"/>
        <w:left w:val="none" w:sz="0" w:space="0" w:color="auto"/>
        <w:bottom w:val="none" w:sz="0" w:space="0" w:color="auto"/>
        <w:right w:val="none" w:sz="0" w:space="0" w:color="auto"/>
      </w:divBdr>
    </w:div>
    <w:div w:id="783310227">
      <w:bodyDiv w:val="1"/>
      <w:marLeft w:val="0"/>
      <w:marRight w:val="0"/>
      <w:marTop w:val="0"/>
      <w:marBottom w:val="0"/>
      <w:divBdr>
        <w:top w:val="none" w:sz="0" w:space="0" w:color="auto"/>
        <w:left w:val="none" w:sz="0" w:space="0" w:color="auto"/>
        <w:bottom w:val="none" w:sz="0" w:space="0" w:color="auto"/>
        <w:right w:val="none" w:sz="0" w:space="0" w:color="auto"/>
      </w:divBdr>
    </w:div>
    <w:div w:id="890965460">
      <w:bodyDiv w:val="1"/>
      <w:marLeft w:val="0"/>
      <w:marRight w:val="0"/>
      <w:marTop w:val="0"/>
      <w:marBottom w:val="0"/>
      <w:divBdr>
        <w:top w:val="none" w:sz="0" w:space="0" w:color="auto"/>
        <w:left w:val="none" w:sz="0" w:space="0" w:color="auto"/>
        <w:bottom w:val="none" w:sz="0" w:space="0" w:color="auto"/>
        <w:right w:val="none" w:sz="0" w:space="0" w:color="auto"/>
      </w:divBdr>
    </w:div>
    <w:div w:id="983194106">
      <w:bodyDiv w:val="1"/>
      <w:marLeft w:val="0"/>
      <w:marRight w:val="0"/>
      <w:marTop w:val="0"/>
      <w:marBottom w:val="0"/>
      <w:divBdr>
        <w:top w:val="none" w:sz="0" w:space="0" w:color="auto"/>
        <w:left w:val="none" w:sz="0" w:space="0" w:color="auto"/>
        <w:bottom w:val="none" w:sz="0" w:space="0" w:color="auto"/>
        <w:right w:val="none" w:sz="0" w:space="0" w:color="auto"/>
      </w:divBdr>
    </w:div>
    <w:div w:id="998117214">
      <w:bodyDiv w:val="1"/>
      <w:marLeft w:val="0"/>
      <w:marRight w:val="0"/>
      <w:marTop w:val="0"/>
      <w:marBottom w:val="0"/>
      <w:divBdr>
        <w:top w:val="none" w:sz="0" w:space="0" w:color="auto"/>
        <w:left w:val="none" w:sz="0" w:space="0" w:color="auto"/>
        <w:bottom w:val="none" w:sz="0" w:space="0" w:color="auto"/>
        <w:right w:val="none" w:sz="0" w:space="0" w:color="auto"/>
      </w:divBdr>
    </w:div>
    <w:div w:id="1024090852">
      <w:bodyDiv w:val="1"/>
      <w:marLeft w:val="0"/>
      <w:marRight w:val="0"/>
      <w:marTop w:val="0"/>
      <w:marBottom w:val="0"/>
      <w:divBdr>
        <w:top w:val="none" w:sz="0" w:space="0" w:color="auto"/>
        <w:left w:val="none" w:sz="0" w:space="0" w:color="auto"/>
        <w:bottom w:val="none" w:sz="0" w:space="0" w:color="auto"/>
        <w:right w:val="none" w:sz="0" w:space="0" w:color="auto"/>
      </w:divBdr>
    </w:div>
    <w:div w:id="1053892596">
      <w:bodyDiv w:val="1"/>
      <w:marLeft w:val="0"/>
      <w:marRight w:val="0"/>
      <w:marTop w:val="0"/>
      <w:marBottom w:val="0"/>
      <w:divBdr>
        <w:top w:val="none" w:sz="0" w:space="0" w:color="auto"/>
        <w:left w:val="none" w:sz="0" w:space="0" w:color="auto"/>
        <w:bottom w:val="none" w:sz="0" w:space="0" w:color="auto"/>
        <w:right w:val="none" w:sz="0" w:space="0" w:color="auto"/>
      </w:divBdr>
    </w:div>
    <w:div w:id="1058015143">
      <w:bodyDiv w:val="1"/>
      <w:marLeft w:val="0"/>
      <w:marRight w:val="0"/>
      <w:marTop w:val="0"/>
      <w:marBottom w:val="0"/>
      <w:divBdr>
        <w:top w:val="none" w:sz="0" w:space="0" w:color="auto"/>
        <w:left w:val="none" w:sz="0" w:space="0" w:color="auto"/>
        <w:bottom w:val="none" w:sz="0" w:space="0" w:color="auto"/>
        <w:right w:val="none" w:sz="0" w:space="0" w:color="auto"/>
      </w:divBdr>
    </w:div>
    <w:div w:id="1073239701">
      <w:bodyDiv w:val="1"/>
      <w:marLeft w:val="0"/>
      <w:marRight w:val="0"/>
      <w:marTop w:val="0"/>
      <w:marBottom w:val="0"/>
      <w:divBdr>
        <w:top w:val="none" w:sz="0" w:space="0" w:color="auto"/>
        <w:left w:val="none" w:sz="0" w:space="0" w:color="auto"/>
        <w:bottom w:val="none" w:sz="0" w:space="0" w:color="auto"/>
        <w:right w:val="none" w:sz="0" w:space="0" w:color="auto"/>
      </w:divBdr>
    </w:div>
    <w:div w:id="1161307717">
      <w:bodyDiv w:val="1"/>
      <w:marLeft w:val="0"/>
      <w:marRight w:val="0"/>
      <w:marTop w:val="0"/>
      <w:marBottom w:val="0"/>
      <w:divBdr>
        <w:top w:val="none" w:sz="0" w:space="0" w:color="auto"/>
        <w:left w:val="none" w:sz="0" w:space="0" w:color="auto"/>
        <w:bottom w:val="none" w:sz="0" w:space="0" w:color="auto"/>
        <w:right w:val="none" w:sz="0" w:space="0" w:color="auto"/>
      </w:divBdr>
    </w:div>
    <w:div w:id="1214586101">
      <w:bodyDiv w:val="1"/>
      <w:marLeft w:val="0"/>
      <w:marRight w:val="0"/>
      <w:marTop w:val="0"/>
      <w:marBottom w:val="0"/>
      <w:divBdr>
        <w:top w:val="none" w:sz="0" w:space="0" w:color="auto"/>
        <w:left w:val="none" w:sz="0" w:space="0" w:color="auto"/>
        <w:bottom w:val="none" w:sz="0" w:space="0" w:color="auto"/>
        <w:right w:val="none" w:sz="0" w:space="0" w:color="auto"/>
      </w:divBdr>
    </w:div>
    <w:div w:id="1225290346">
      <w:bodyDiv w:val="1"/>
      <w:marLeft w:val="0"/>
      <w:marRight w:val="0"/>
      <w:marTop w:val="0"/>
      <w:marBottom w:val="0"/>
      <w:divBdr>
        <w:top w:val="none" w:sz="0" w:space="0" w:color="auto"/>
        <w:left w:val="none" w:sz="0" w:space="0" w:color="auto"/>
        <w:bottom w:val="none" w:sz="0" w:space="0" w:color="auto"/>
        <w:right w:val="none" w:sz="0" w:space="0" w:color="auto"/>
      </w:divBdr>
    </w:div>
    <w:div w:id="1323386512">
      <w:bodyDiv w:val="1"/>
      <w:marLeft w:val="0"/>
      <w:marRight w:val="0"/>
      <w:marTop w:val="0"/>
      <w:marBottom w:val="0"/>
      <w:divBdr>
        <w:top w:val="none" w:sz="0" w:space="0" w:color="auto"/>
        <w:left w:val="none" w:sz="0" w:space="0" w:color="auto"/>
        <w:bottom w:val="none" w:sz="0" w:space="0" w:color="auto"/>
        <w:right w:val="none" w:sz="0" w:space="0" w:color="auto"/>
      </w:divBdr>
    </w:div>
    <w:div w:id="1372925004">
      <w:bodyDiv w:val="1"/>
      <w:marLeft w:val="0"/>
      <w:marRight w:val="0"/>
      <w:marTop w:val="0"/>
      <w:marBottom w:val="0"/>
      <w:divBdr>
        <w:top w:val="none" w:sz="0" w:space="0" w:color="auto"/>
        <w:left w:val="none" w:sz="0" w:space="0" w:color="auto"/>
        <w:bottom w:val="none" w:sz="0" w:space="0" w:color="auto"/>
        <w:right w:val="none" w:sz="0" w:space="0" w:color="auto"/>
      </w:divBdr>
    </w:div>
    <w:div w:id="1388408539">
      <w:bodyDiv w:val="1"/>
      <w:marLeft w:val="0"/>
      <w:marRight w:val="0"/>
      <w:marTop w:val="0"/>
      <w:marBottom w:val="0"/>
      <w:divBdr>
        <w:top w:val="none" w:sz="0" w:space="0" w:color="auto"/>
        <w:left w:val="none" w:sz="0" w:space="0" w:color="auto"/>
        <w:bottom w:val="none" w:sz="0" w:space="0" w:color="auto"/>
        <w:right w:val="none" w:sz="0" w:space="0" w:color="auto"/>
      </w:divBdr>
    </w:div>
    <w:div w:id="1540164519">
      <w:bodyDiv w:val="1"/>
      <w:marLeft w:val="0"/>
      <w:marRight w:val="0"/>
      <w:marTop w:val="0"/>
      <w:marBottom w:val="0"/>
      <w:divBdr>
        <w:top w:val="none" w:sz="0" w:space="0" w:color="auto"/>
        <w:left w:val="none" w:sz="0" w:space="0" w:color="auto"/>
        <w:bottom w:val="none" w:sz="0" w:space="0" w:color="auto"/>
        <w:right w:val="none" w:sz="0" w:space="0" w:color="auto"/>
      </w:divBdr>
    </w:div>
    <w:div w:id="1636714264">
      <w:bodyDiv w:val="1"/>
      <w:marLeft w:val="0"/>
      <w:marRight w:val="0"/>
      <w:marTop w:val="0"/>
      <w:marBottom w:val="0"/>
      <w:divBdr>
        <w:top w:val="none" w:sz="0" w:space="0" w:color="auto"/>
        <w:left w:val="none" w:sz="0" w:space="0" w:color="auto"/>
        <w:bottom w:val="none" w:sz="0" w:space="0" w:color="auto"/>
        <w:right w:val="none" w:sz="0" w:space="0" w:color="auto"/>
      </w:divBdr>
    </w:div>
    <w:div w:id="1669482056">
      <w:bodyDiv w:val="1"/>
      <w:marLeft w:val="0"/>
      <w:marRight w:val="0"/>
      <w:marTop w:val="0"/>
      <w:marBottom w:val="0"/>
      <w:divBdr>
        <w:top w:val="none" w:sz="0" w:space="0" w:color="auto"/>
        <w:left w:val="none" w:sz="0" w:space="0" w:color="auto"/>
        <w:bottom w:val="none" w:sz="0" w:space="0" w:color="auto"/>
        <w:right w:val="none" w:sz="0" w:space="0" w:color="auto"/>
      </w:divBdr>
    </w:div>
    <w:div w:id="1681738550">
      <w:bodyDiv w:val="1"/>
      <w:marLeft w:val="0"/>
      <w:marRight w:val="0"/>
      <w:marTop w:val="0"/>
      <w:marBottom w:val="0"/>
      <w:divBdr>
        <w:top w:val="none" w:sz="0" w:space="0" w:color="auto"/>
        <w:left w:val="none" w:sz="0" w:space="0" w:color="auto"/>
        <w:bottom w:val="none" w:sz="0" w:space="0" w:color="auto"/>
        <w:right w:val="none" w:sz="0" w:space="0" w:color="auto"/>
      </w:divBdr>
    </w:div>
    <w:div w:id="1743529318">
      <w:bodyDiv w:val="1"/>
      <w:marLeft w:val="0"/>
      <w:marRight w:val="0"/>
      <w:marTop w:val="0"/>
      <w:marBottom w:val="0"/>
      <w:divBdr>
        <w:top w:val="none" w:sz="0" w:space="0" w:color="auto"/>
        <w:left w:val="none" w:sz="0" w:space="0" w:color="auto"/>
        <w:bottom w:val="none" w:sz="0" w:space="0" w:color="auto"/>
        <w:right w:val="none" w:sz="0" w:space="0" w:color="auto"/>
      </w:divBdr>
    </w:div>
    <w:div w:id="1776174871">
      <w:bodyDiv w:val="1"/>
      <w:marLeft w:val="0"/>
      <w:marRight w:val="0"/>
      <w:marTop w:val="0"/>
      <w:marBottom w:val="0"/>
      <w:divBdr>
        <w:top w:val="none" w:sz="0" w:space="0" w:color="auto"/>
        <w:left w:val="none" w:sz="0" w:space="0" w:color="auto"/>
        <w:bottom w:val="none" w:sz="0" w:space="0" w:color="auto"/>
        <w:right w:val="none" w:sz="0" w:space="0" w:color="auto"/>
      </w:divBdr>
    </w:div>
    <w:div w:id="1786920587">
      <w:bodyDiv w:val="1"/>
      <w:marLeft w:val="0"/>
      <w:marRight w:val="0"/>
      <w:marTop w:val="0"/>
      <w:marBottom w:val="0"/>
      <w:divBdr>
        <w:top w:val="none" w:sz="0" w:space="0" w:color="auto"/>
        <w:left w:val="none" w:sz="0" w:space="0" w:color="auto"/>
        <w:bottom w:val="none" w:sz="0" w:space="0" w:color="auto"/>
        <w:right w:val="none" w:sz="0" w:space="0" w:color="auto"/>
      </w:divBdr>
    </w:div>
    <w:div w:id="1825779328">
      <w:bodyDiv w:val="1"/>
      <w:marLeft w:val="0"/>
      <w:marRight w:val="0"/>
      <w:marTop w:val="0"/>
      <w:marBottom w:val="0"/>
      <w:divBdr>
        <w:top w:val="none" w:sz="0" w:space="0" w:color="auto"/>
        <w:left w:val="none" w:sz="0" w:space="0" w:color="auto"/>
        <w:bottom w:val="none" w:sz="0" w:space="0" w:color="auto"/>
        <w:right w:val="none" w:sz="0" w:space="0" w:color="auto"/>
      </w:divBdr>
    </w:div>
    <w:div w:id="1841391377">
      <w:bodyDiv w:val="1"/>
      <w:marLeft w:val="0"/>
      <w:marRight w:val="0"/>
      <w:marTop w:val="0"/>
      <w:marBottom w:val="0"/>
      <w:divBdr>
        <w:top w:val="none" w:sz="0" w:space="0" w:color="auto"/>
        <w:left w:val="none" w:sz="0" w:space="0" w:color="auto"/>
        <w:bottom w:val="none" w:sz="0" w:space="0" w:color="auto"/>
        <w:right w:val="none" w:sz="0" w:space="0" w:color="auto"/>
      </w:divBdr>
    </w:div>
    <w:div w:id="1870222098">
      <w:bodyDiv w:val="1"/>
      <w:marLeft w:val="0"/>
      <w:marRight w:val="0"/>
      <w:marTop w:val="0"/>
      <w:marBottom w:val="0"/>
      <w:divBdr>
        <w:top w:val="none" w:sz="0" w:space="0" w:color="auto"/>
        <w:left w:val="none" w:sz="0" w:space="0" w:color="auto"/>
        <w:bottom w:val="none" w:sz="0" w:space="0" w:color="auto"/>
        <w:right w:val="none" w:sz="0" w:space="0" w:color="auto"/>
      </w:divBdr>
    </w:div>
    <w:div w:id="1890796731">
      <w:bodyDiv w:val="1"/>
      <w:marLeft w:val="0"/>
      <w:marRight w:val="0"/>
      <w:marTop w:val="0"/>
      <w:marBottom w:val="0"/>
      <w:divBdr>
        <w:top w:val="none" w:sz="0" w:space="0" w:color="auto"/>
        <w:left w:val="none" w:sz="0" w:space="0" w:color="auto"/>
        <w:bottom w:val="none" w:sz="0" w:space="0" w:color="auto"/>
        <w:right w:val="none" w:sz="0" w:space="0" w:color="auto"/>
      </w:divBdr>
    </w:div>
    <w:div w:id="2034527520">
      <w:bodyDiv w:val="1"/>
      <w:marLeft w:val="0"/>
      <w:marRight w:val="0"/>
      <w:marTop w:val="0"/>
      <w:marBottom w:val="0"/>
      <w:divBdr>
        <w:top w:val="none" w:sz="0" w:space="0" w:color="auto"/>
        <w:left w:val="none" w:sz="0" w:space="0" w:color="auto"/>
        <w:bottom w:val="none" w:sz="0" w:space="0" w:color="auto"/>
        <w:right w:val="none" w:sz="0" w:space="0" w:color="auto"/>
      </w:divBdr>
    </w:div>
    <w:div w:id="20726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olicie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spar.org/documents/dbase/decrecs/recommendations/pr91-04e.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SG_Glossary2001</b:Tag>
    <b:SourceType>Report</b:SourceType>
    <b:Guid>{B94A374C-1ECA-4A56-B0E2-0FDCF2020549}</b:Guid>
    <b:Author>
      <b:Author>
        <b:Corporate>INTERNATIONAL ATOMIC ENERGY AGENCY</b:Corporate>
      </b:Author>
    </b:Author>
    <b:Title>IAEA Safeguards Glossary (2001 Edition)</b:Title>
    <b:Year>2001</b:Year>
    <b:Institution>IAEA</b:Institution>
    <b:City>Vienna</b:City>
    <b:RefOrder>4</b:RefOrder>
  </b:Source>
  <b:Source>
    <b:Tag>NSG22</b:Tag>
    <b:SourceType>Report</b:SourceType>
    <b:Guid>{3F774DFC-1F1F-4273-BE1E-6A1FCECA4709}</b:Guid>
    <b:Author>
      <b:Author>
        <b:Corporate>INTERNATIONAL ATOMIC ENERGY AGENCY</b:Corporate>
      </b:Author>
    </b:Author>
    <b:Title>Operational Limits and Conditions and Operating Procedures for Nuclear Power Plants, IAEA Safety Standards Series No. NS-G-2.2</b:Title>
    <b:Year>2000</b:Year>
    <b:Publisher>IAEA</b:Publisher>
    <b:City>Vienna</b:City>
    <b:Institution>IAEA</b:Institution>
    <b:RefOrder>5</b:RefOrder>
  </b:Source>
  <b:Source>
    <b:Tag>WSG23</b:Tag>
    <b:SourceType>Report</b:SourceType>
    <b:Guid>{B35E99A2-B2BA-46D3-9256-639B025A4027}</b:Guid>
    <b:Author>
      <b:Author>
        <b:Corporate>INTERNATIONAL ATOMIC ENERGY AGENCY</b:Corporate>
      </b:Author>
    </b:Author>
    <b:Title>Regulatory Control of Radioactive Discharges to the Environment, Safety Standards Series No. WS-G-2.3</b:Title>
    <b:Year>2000</b:Year>
    <b:Publisher>IAEA</b:Publisher>
    <b:City>Vienna</b:City>
    <b:Institution>IAEA</b:Institution>
    <b:RefOrder>6</b:RefOrder>
  </b:Source>
  <b:Source>
    <b:Tag>NSR1</b:Tag>
    <b:SourceType>Report</b:SourceType>
    <b:Guid>{01AF0566-44C6-49D9-83C6-32B5191FB5CC}</b:Guid>
    <b:Author>
      <b:Author>
        <b:Corporate>INTERNATIONAL ATOMIC ENERGY AGENCY</b:Corporate>
      </b:Author>
    </b:Author>
    <b:Title>Safety of Nuclear Power Plants: Design, IAEA Safety Standards Series No. NS-R-1</b:Title>
    <b:Year>2000</b:Year>
    <b:Publisher>IAEA</b:Publisher>
    <b:City>Vienna</b:City>
    <b:Institution>IAEA</b:Institution>
    <b:RefOrder>7</b:RefOrder>
  </b:Source>
  <b:Source>
    <b:Tag>SRS19</b:Tag>
    <b:SourceType>Report</b:SourceType>
    <b:Guid>{A5CF3A9C-BCE4-474A-9731-CB80492F69CD}</b:Guid>
    <b:Author>
      <b:Author>
        <b:Corporate>INTERNATIONAL ATOMIC ENERGY AGENCY</b:Corporate>
      </b:Author>
    </b:Author>
    <b:Title>Generic Models for Use in Assessing the Impact of Discharges of Radioactive Substances to the Environment, Safety Reports Series No. 19</b:Title>
    <b:Year>2001</b:Year>
    <b:Publisher>IAEA</b:Publisher>
    <b:City>Vienna</b:City>
    <b:Institution>IAEA</b:Institution>
    <b:RefOrder>8</b:RefOrder>
  </b:Source>
  <b:Source>
    <b:Tag>RSG18</b:Tag>
    <b:SourceType>Report</b:SourceType>
    <b:Guid>{BA58A4E3-4D19-42D5-B814-ACACFE85AFE6}</b:Guid>
    <b:Author>
      <b:Author>
        <b:Corporate>INTERNATIONAL ATOMIC ENERGY AGENCY</b:Corporate>
      </b:Author>
    </b:Author>
    <b:Title>Environmental and Source Monitoring for Purposes of Radiation Protection, IAEA Safety Standards Series No. RS-G-1.8</b:Title>
    <b:Year>2005</b:Year>
    <b:Publisher>IAEA</b:Publisher>
    <b:City>Vienna</b:City>
    <b:Institution>IAEA</b:Institution>
    <b:RefOrder>9</b:RefOrder>
  </b:Source>
  <b:Source>
    <b:Tag>ICRP101</b:Tag>
    <b:SourceType>Report</b:SourceType>
    <b:Guid>{D3D43E08-64B5-426B-B37B-7D05633EBD54}</b:Guid>
    <b:Author>
      <b:Author>
        <b:Corporate>INTERNATIONAL COMMISSION ON RADIOLOGICAL PROTECTION</b:Corporate>
      </b:Author>
    </b:Author>
    <b:Title>Assessing Dose of the Representative Person for the Purpose of Radiation Protection of the Public and the Optimisation of Radiological Protection: Broadening the Process, ICRP Publication 101</b:Title>
    <b:Year>2006</b:Year>
    <b:Publisher>Pergamon Press</b:Publisher>
    <b:City>Oxford and New York</b:City>
    <b:Institution>ICRP</b:Institution>
    <b:RefOrder>10</b:RefOrder>
  </b:Source>
  <b:Source>
    <b:Tag>SF_1</b:Tag>
    <b:SourceType>Report</b:SourceType>
    <b:Guid>{9423C613-AC95-45F2-86C8-E450C64BAA16}</b:Guid>
    <b:Author>
      <b:Author>
        <b:Corporate>EUROPEAN ATOMIC ENERGY COMMUNITY, FOOD AND AGRICULTURE ORGANIZATION OF THE UNITED NATIONS, INTERNATIONAL ATOMIC ENERGY AGENCY, INTERNATIONAL LABOUR ORGANIZATION, INTERNATIONAL MARITIME ORGANIZATION, OECD NUCLEAR ENERGY AGENCY, PAN AMERICAN HEALTH ORGANIZA</b:Corporate>
      </b:Author>
    </b:Author>
    <b:Title>Fundamental Safety Principles, IAEA Safety Standards Series No. SF-1</b:Title>
    <b:Year>2006</b:Year>
    <b:Publisher>IAEA</b:Publisher>
    <b:City>Vienna</b:City>
    <b:Institution>IAEA</b:Institution>
    <b:RefOrder>11</b:RefOrder>
  </b:Source>
  <b:Source>
    <b:Tag>WSR4</b:Tag>
    <b:SourceType>Report</b:SourceType>
    <b:Guid>{1530E0D8-4DBE-4382-A3C7-016506495E57}</b:Guid>
    <b:Author>
      <b:Author>
        <b:Corporate>INTERNATIONAL ATOMIC ENERGY AGENCY</b:Corporate>
      </b:Author>
    </b:Author>
    <b:Title>Geological Disposal of Radioactive Waste Safety Requirements, IAEA Safety Standards Series No. WS-R-4</b:Title>
    <b:Year>2006</b:Year>
    <b:Publisher>IAEA</b:Publisher>
    <b:City>Vienna</b:City>
    <b:Institution>IAEA</b:Institution>
    <b:RefOrder>12</b:RefOrder>
  </b:Source>
  <b:Source>
    <b:Tag>ICRP103</b:Tag>
    <b:SourceType>Report</b:SourceType>
    <b:Guid>{FB73F49A-83E3-4826-9E7E-E534037128D3}</b:Guid>
    <b:Author>
      <b:Author>
        <b:Corporate>INTERNATIONAL COMMISSION ON RADIOLOGICAL PROTECTION</b:Corporate>
      </b:Author>
    </b:Author>
    <b:Title>The 2007 Recommendations of the International Commission on Radiological Protection, ICRP Publication 103</b:Title>
    <b:Year>2007</b:Year>
    <b:Publisher>Pergamon Press</b:Publisher>
    <b:City>Oxford and New York</b:City>
    <b:Institution>ICRP</b:Institution>
    <b:RefOrder>2</b:RefOrder>
  </b:Source>
  <b:Source>
    <b:Tag>INT09</b:Tag>
    <b:SourceType>Report</b:SourceType>
    <b:Guid>{A7BFE7D5-A573-4AB1-ACD7-96F4BA9D075A}</b:Guid>
    <b:Author>
      <b:Author>
        <b:Corporate>INTERNATIONAL ATOMIC ENERGY AGENCY</b:Corporate>
      </b:Author>
    </b:Author>
    <b:Title>Deterministic safety analysis for nuclear power plants, IAEA Safety Standards Series No. SSG-2</b:Title>
    <b:Year>2009</b:Year>
    <b:Institution>IAEA</b:Institution>
    <b:City>Vienna</b:City>
    <b:RefOrder>13</b:RefOrder>
  </b:Source>
  <b:Source>
    <b:Tag>GSR_P4</b:Tag>
    <b:SourceType>Report</b:SourceType>
    <b:Guid>{A9DCB213-F479-445E-B7F7-1C41CE70B674}</b:Guid>
    <b:Author>
      <b:Author>
        <b:Corporate>INTERNATIONAL ATOMIC ENERGY AGENCY</b:Corporate>
      </b:Author>
    </b:Author>
    <b:Title>Safety Assessment for Facilities and Activities, IAEA Safety Standards Series No. GSR Part 4</b:Title>
    <b:Year>2009</b:Year>
    <b:Publisher>IAEA</b:Publisher>
    <b:City>Vienna</b:City>
    <b:Institution>IAEA</b:Institution>
    <b:RefOrder>14</b:RefOrder>
  </b:Source>
  <b:Source>
    <b:Tag>GSRPart1</b:Tag>
    <b:SourceType>Report</b:SourceType>
    <b:Guid>{CFB3617C-3EF2-458B-A486-15EC84771034}</b:Guid>
    <b:Author>
      <b:Author>
        <b:Corporate>INTERNATIONAL ATOMIC ENERGY AGENCY</b:Corporate>
      </b:Author>
    </b:Author>
    <b:Title>Governmental, Legal and Regulatory Framework for Safety, Safety Standards Series No. GSR Part 1</b:Title>
    <b:Year>2010</b:Year>
    <b:Publisher>IAEA</b:Publisher>
    <b:City>Vienna</b:City>
    <b:Institution>IAEA</b:Institution>
    <b:RefOrder>15</b:RefOrder>
  </b:Source>
  <b:Source>
    <b:Tag>SSG12</b:Tag>
    <b:SourceType>Report</b:SourceType>
    <b:Guid>{976DF464-7EB5-4BCA-8A29-D9846601D56C}</b:Guid>
    <b:Author>
      <b:Author>
        <b:Corporate>INTERNATIONAL ATOMIC ENERGY AGENCY</b:Corporate>
      </b:Author>
    </b:Author>
    <b:Title>Licensing Process for Nuclear Installations, IAEA Safety Standards Series No. SSG-12</b:Title>
    <b:Year>2010</b:Year>
    <b:Publisher>IAEA</b:Publisher>
    <b:City>Vienna</b:City>
    <b:Institution>IAEA</b:Institution>
    <b:RefOrder>1</b:RefOrder>
  </b:Source>
  <b:Source>
    <b:Tag>SRS64</b:Tag>
    <b:SourceType>Report</b:SourceType>
    <b:Guid>{87A9D79C-B465-4486-AC72-707C574A81D0}</b:Guid>
    <b:Author>
      <b:Author>
        <b:Corporate>INTERNATIONAL ATOMIC ENERGY AGENCY</b:Corporate>
      </b:Author>
    </b:Author>
    <b:Title>Programmes and Systems for Source and Environmental Radiation Monitoring, Safety Reports Series No. 64</b:Title>
    <b:Year>2010</b:Year>
    <b:Publisher>IAEA</b:Publisher>
    <b:City>Vienna</b:City>
    <b:Institution>IAEA</b:Institution>
    <b:RefOrder>16</b:RefOrder>
  </b:Source>
  <b:Source>
    <b:Tag>TECDOC1638</b:Tag>
    <b:SourceType>Report</b:SourceType>
    <b:Guid>{843AD40D-985B-46D0-A686-BB1AE6DAC773}</b:Guid>
    <b:Author>
      <b:Author>
        <b:Corporate>INTERNATIONAL ATOMIC ENERGY AGENCY</b:Corporate>
      </b:Author>
    </b:Author>
    <b:Title>Setting Authorized Limits for Radioactive Discharges: Practical Issues to Consider, IAEA-TECDOC-1638</b:Title>
    <b:Year>2010</b:Year>
    <b:Publisher>IAEA</b:Publisher>
    <b:City>Vienna</b:City>
    <b:Institution>IAEA</b:Institution>
    <b:RefOrder>17</b:RefOrder>
  </b:Source>
  <b:Source>
    <b:Tag>SSG13</b:Tag>
    <b:SourceType>Report</b:SourceType>
    <b:Guid>{5169B6D6-8EEE-4134-8EE4-A089E0B9E5A6}</b:Guid>
    <b:Author>
      <b:Author>
        <b:Corporate>INTERNATIONAL ATOMIC ENERGY AGENCY</b:Corporate>
      </b:Author>
    </b:Author>
    <b:Title>Chemistry Programme for Water Cooled Nuclear Power Plants, IAEA Safety Standards Series No. SSG-13</b:Title>
    <b:Year>2011</b:Year>
    <b:Institution>IAEA</b:Institution>
    <b:City>Vienna</b:City>
    <b:RefOrder>18</b:RefOrder>
  </b:Source>
  <b:Source>
    <b:Tag>BSS_new</b:Tag>
    <b:SourceType>Report</b:SourceType>
    <b:Guid>{81E00F57-7814-4B05-B1C7-B88F64328153}</b:Guid>
    <b:Author>
      <b:Author>
        <b:Corporate>FOOD AND AGRICULTURE ORGANIZATION OF THE UNITED NATIONS, INTERNATIONAL ATOMIC ENERGY AGENCY, INTERNATIONAL LABOUR ORGANISATION, OECD NUCLEAR ENERGY AGENCY, PAN AMERICAN HEALTH ORGANIZATION, UNITED NATIONS ENVIRONMENT PROGRAMME, WORLD HEALTH ORGANIZATION</b:Corporate>
      </b:Author>
    </b:Author>
    <b:Title>Radiation Protection and Safety of Radiation Sources: International Basic Safety Standards, General Safety Requirements No. GSR Part 3</b:Title>
    <b:Year>2011</b:Year>
    <b:Publisher>IAEA</b:Publisher>
    <b:City>Vienna</b:City>
    <b:Institution>IAEA</b:Institution>
    <b:RefOrder>3</b:RefOrder>
  </b:Source>
  <b:Source>
    <b:Tag>SSR22</b:Tag>
    <b:SourceType>Report</b:SourceType>
    <b:Guid>{1EBCFDC9-8DBC-41DE-948A-27F6095003A9}</b:Guid>
    <b:Author>
      <b:Author>
        <b:Corporate>INTERNATIONAL ATOMIC ENERGY AGENCY</b:Corporate>
      </b:Author>
    </b:Author>
    <b:Title>Safety of Nuclear Power Plants: Commissioning and Operation, IAEA Safety Standards Series No. SSR-2/2</b:Title>
    <b:Year>2011</b:Year>
    <b:Publisher>IAEA</b:Publisher>
    <b:City>Vienna</b:City>
    <b:Institution>IAEA</b:Institution>
    <b:RefOrder>19</b:RefOrder>
  </b:Source>
  <b:Source>
    <b:Tag>DS427</b:Tag>
    <b:SourceType>Report</b:SourceType>
    <b:Guid>{F5F43A9E-7FB7-46EF-89CD-6DA823E5541C}</b:Guid>
    <b:Author>
      <b:Author>
        <b:Corporate>INTERNATIONAL ATOMIC ENERGY AGENCY</b:Corporate>
      </b:Author>
    </b:Author>
    <b:Title>Radiological Environmental Impact Assessment, IAEA Safety Standards Series No.DS427</b:Title>
    <b:Year>2012</b:Year>
    <b:Institution>IAEA</b:Institution>
    <b:City>Vienna</b:City>
    <b:RefOrder>20</b:RefOrder>
  </b:Source>
  <b:Source>
    <b:Tag>DS432</b:Tag>
    <b:SourceType>Report</b:SourceType>
    <b:Guid>{9B50BB50-DE5C-49F5-AE04-E864341B1A50}</b:Guid>
    <b:Author>
      <b:Author>
        <b:Corporate>INTERNATIONAL ATOMIC ENERGY AGENCY</b:Corporate>
      </b:Author>
    </b:Author>
    <b:Title>Radiation Protection of the Public, IAEA Safety Standards Series No.DS432</b:Title>
    <b:Year>2012</b:Year>
    <b:Institution>IAEA</b:Institution>
    <b:City>Vienna</b:City>
    <b:RefOrder>21</b:RefOrder>
  </b:Source>
  <b:Source>
    <b:Tag>ISO3534_1</b:Tag>
    <b:SourceType>Report</b:SourceType>
    <b:Guid>{C8BE3EFB-43CC-46DA-BDD4-4CA42F0CBE2E}</b:Guid>
    <b:Author>
      <b:Author>
        <b:Corporate>INTERNATIONAL ORGANISATION FOR STANDARDISATION</b:Corporate>
      </b:Author>
    </b:Author>
    <b:Title>Statistics - Vocabulary and Symbols - Part 1: Probability and General Statistical Terms, ISO-3534-1:1993</b:Title>
    <b:Year>1993</b:Year>
    <b:Institution>ISO</b:Institution>
    <b:City>Geneva</b:City>
    <b:RefOrder>22</b:RefOrder>
  </b:Source>
  <b:Source>
    <b:Tag>JConvention</b:Tag>
    <b:SourceType>Report</b:SourceType>
    <b:Guid>{650828C4-99D5-49F4-A521-C79368E3C5B6}</b:Guid>
    <b:Author>
      <b:Author>
        <b:Corporate>INTERNATIONAL ATOMIC ENERGY AGENCY</b:Corporate>
      </b:Author>
    </b:Author>
    <b:Title>Joint Convention on the Safety of Spent Nuclear Fuel Management and on the Safety of Radioactive Waste Management</b:Title>
    <b:Year>1997</b:Year>
    <b:Publisher>IAEA</b:Publisher>
    <b:City>Vienna</b:City>
    <b:Institution>IAEA</b:Institution>
    <b:RefOrder>23</b:RefOrder>
  </b:Source>
  <b:Source>
    <b:Tag>ISO11074_2</b:Tag>
    <b:SourceType>Report</b:SourceType>
    <b:Guid>{8F92B701-DE39-4666-BEAB-B3D4727E788E}</b:Guid>
    <b:Author>
      <b:Author>
        <b:Corporate>INTERNATIONAL ORGANISATION FOR STANDARDISATION</b:Corporate>
      </b:Author>
    </b:Author>
    <b:Title>Soil Quality - Vocabulary - Part 2: Terms and Definitions Relating to Sampling, ISO-11074-2:1998</b:Title>
    <b:Year>1998</b:Year>
    <b:Institution>ISO</b:Institution>
    <b:City>Geneva</b:City>
    <b:RefOrder>24</b:RefOrder>
  </b:Source>
  <b:Source>
    <b:Tag>NEA2003</b:Tag>
    <b:SourceType>Report</b:SourceType>
    <b:Guid>{DA89BEA0-F9BC-4626-9F38-C7DEFB88E5B0}</b:Guid>
    <b:Author>
      <b:Author>
        <b:Corporate>OECD NUCLEAR ENERGY AGENCY</b:Corporate>
      </b:Author>
    </b:Author>
    <b:Title>Effluent Release Options from Installations, Technical Background and Issues Relevant to Regulatory Control</b:Title>
    <b:Year>2003</b:Year>
    <b:Publisher>NEA</b:Publisher>
    <b:City>Paris</b:City>
    <b:Institution>OECD</b:Institution>
    <b:RefOrder>25</b:RefOrder>
  </b:Source>
  <b:Source>
    <b:Tag>TRS419</b:Tag>
    <b:SourceType>Report</b:SourceType>
    <b:Guid>{02C2ABB3-88AE-437C-814A-E344A7E85F99}</b:Guid>
    <b:Author>
      <b:Author>
        <b:Corporate>INTERNATIONAL ATOMIC ENERGY AGENCY</b:Corporate>
      </b:Author>
    </b:Author>
    <b:Title>Extent of Environmental Contamination by Naturally Occurring Radioactive Material (NORM) and Technological Options for mitigation, Technical Report Series N° 419</b:Title>
    <b:Year>2004</b:Year>
    <b:Publisher>IAEA</b:Publisher>
    <b:City>Vienna</b:City>
    <b:Institution>IAEA</b:Institution>
    <b:RefOrder>26</b:RefOrder>
  </b:Source>
  <b:Source>
    <b:Tag>SRS44</b:Tag>
    <b:SourceType>Report</b:SourceType>
    <b:Guid>{9CFF8B7B-6F87-472E-AA8E-B2310607A544}</b:Guid>
    <b:Author>
      <b:Author>
        <b:Corporate>INTERNATIONAL ATOMIC ENERGY AGENCY</b:Corporate>
      </b:Author>
    </b:Author>
    <b:Title>Derivation of Activity Concentration Values for Exclusion, Exemption and Clearance, Safety Reports Series No. 44</b:Title>
    <b:Year>2005</b:Year>
    <b:Publisher>IAEA</b:Publisher>
    <b:City>Vienna</b:City>
    <b:Institution>IAEA</b:Institution>
    <b:RefOrder>27</b:RefOrder>
  </b:Source>
  <b:Source>
    <b:Tag>INT05</b:Tag>
    <b:SourceType>Report</b:SourceType>
    <b:Guid>{18DA6ACC-BF44-4446-AD93-701F15627E8A}</b:Guid>
    <b:Author>
      <b:Author>
        <b:Corporate>INTERNATIONAL ATOMIC ENERGY AGENCY</b:Corporate>
      </b:Author>
    </b:Author>
    <b:Title>Radiation Protection Aspects in the Design of Nuclear Power Plants, Safety Standards Series No. NS-G-1.13</b:Title>
    <b:Year>2005</b:Year>
    <b:Institution>IAEA</b:Institution>
    <b:City>Vienna</b:City>
    <b:RefOrder>28</b:RefOrder>
  </b:Source>
  <b:Source>
    <b:Tag>SSG4</b:Tag>
    <b:SourceType>Report</b:SourceType>
    <b:Guid>{D8EA67E5-27EB-4966-A3FC-F00529D23409}</b:Guid>
    <b:Author>
      <b:Author>
        <b:Corporate>INTERNATIONAL ATOMIC ENERGY AGENCY</b:Corporate>
      </b:Author>
    </b:Author>
    <b:Title>Development and Application of Level 2 Probabilistic Safety Assessment for Nuclear Power Plants, IAEA Safety Standards Series No. SSG-4</b:Title>
    <b:Year>2010</b:Year>
    <b:Institution>IAEA</b:Institution>
    <b:City>Vienna</b:City>
    <b:RefOrder>29</b:RefOrder>
  </b:Source>
  <b:Source>
    <b:Tag>SSG3</b:Tag>
    <b:SourceType>Report</b:SourceType>
    <b:Guid>{EAE57214-E268-430F-A62D-ABA9E3266A0C}</b:Guid>
    <b:Author>
      <b:Author>
        <b:Corporate>INTERNATIONAL ATOMIC ENERGY AGENCY</b:Corporate>
      </b:Author>
    </b:Author>
    <b:Title>Development and Application of Level 1 Probabilistic Safety Assessment for Nuclear Power Plants, IAEA Safety Standards Series No. SSG-3</b:Title>
    <b:Year>2010</b:Year>
    <b:Institution>IAEA</b:Institution>
    <b:City>Vienna</b:City>
    <b:RefOrder>30</b:RefOrder>
  </b:Source>
  <b:Source>
    <b:Tag>INT04</b:Tag>
    <b:SourceType>Report</b:SourceType>
    <b:Guid>{9E80EE5C-44AC-48E0-93AB-11E95FD5D4BD}</b:Guid>
    <b:Author>
      <b:Author>
        <b:Corporate>INTERNATIONAL ATOMIC ENERGY AGENCY</b:Corporate>
      </b:Author>
    </b:Author>
    <b:Title>Format and Content of the Safety Analysis Report for Nuclear Power Plants. IAEA Safety Standards Series No. GS-G-4.1</b:Title>
    <b:Year>2004</b:Year>
    <b:Institution>IAEA</b:Institution>
    <b:City>Vienna</b:City>
    <b:RefOrder>31</b:RefOrder>
  </b:Source>
  <b:Source>
    <b:Tag>INT07</b:Tag>
    <b:SourceType>Book</b:SourceType>
    <b:Guid>{4E1FC5EE-22A0-4DFC-9AB2-125B612E8ACD}</b:Guid>
    <b:Author>
      <b:Author>
        <b:Corporate>INTERNATIONAL ATOMIC ENERGY AGENCY</b:Corporate>
      </b:Author>
    </b:Author>
    <b:Title>IAEA Safety Glossary: Terminology Used in Nuclear Safety and Radiation Protection (2007 Edition)</b:Title>
    <b:Year>2007</b:Year>
    <b:City>Vienna</b:City>
    <b:Publisher>IAEA</b:Publisher>
    <b:LCID>en-GB</b:LCID>
    <b:RefOrder>32</b:RefOrder>
  </b:Source>
  <b:Source>
    <b:Tag>INT</b:Tag>
    <b:SourceType>Book</b:SourceType>
    <b:Guid>{46FAA3A5-B604-4511-98A3-971232123465}</b:Guid>
    <b:Author>
      <b:Author>
        <b:Corporate>INTERNATIONAL ATOMIC ENERGY AGENCY</b:Corporate>
      </b:Author>
    </b:Author>
    <b:RefOrder>33</b:RefOrder>
  </b:Source>
  <b:Source>
    <b:Tag>INT041</b:Tag>
    <b:SourceType>Book</b:SourceType>
    <b:Guid>{C0E7462C-1E04-4006-8AC4-BD0DB6CF1609}</b:Guid>
    <b:Author>
      <b:Author>
        <b:Corporate>INTERNATIONAL ATOMIC ENERGY AGENCY</b:Corporate>
      </b:Author>
    </b:Author>
    <b:Title>Regulatory Control of Radiation Sources, Safety Standard Series No. GS-G-1.5</b:Title>
    <b:Year>2004</b:Year>
    <b:City>Vienna</b:City>
    <b:Publisher>IAEA</b:Publisher>
    <b:RefOrder>34</b:RefOrder>
  </b:Source>
  <b:Source>
    <b:Tag>OXF04</b:Tag>
    <b:SourceType>Book</b:SourceType>
    <b:Guid>{670802BB-CE6F-4A68-B7C9-77A9C26DD53A}</b:Guid>
    <b:Author>
      <b:Author>
        <b:Corporate>OXFORD UNIVERSITY</b:Corporate>
      </b:Author>
      <b:Editor>
        <b:NameList>
          <b:Person>
            <b:Last>Soanes</b:Last>
            <b:First>Catherine</b:First>
          </b:Person>
          <b:Person>
            <b:Last>Stevenson</b:Last>
            <b:First>Angus</b:First>
          </b:Person>
        </b:NameList>
      </b:Editor>
    </b:Author>
    <b:Title>Concise Oxford English Dictionary (Eleventh Edition)</b:Title>
    <b:Year>2004</b:Year>
    <b:City>Oxford</b:City>
    <b:Publisher>Oxford University Press</b:Publisher>
    <b:RefOrder>35</b:RefOrder>
  </b:Source>
  <b:Source>
    <b:Tag>HelsinkiConv</b:Tag>
    <b:SourceType>Report</b:SourceType>
    <b:Guid>{EBBAFCBC-2A71-43DA-9C76-9A1835D21838}</b:Guid>
    <b:Author>
      <b:Author>
        <b:Corporate>HELSINKI COMMISSION BALTIC MARINE ENVIRONMENT PROTECTION COMMISSION</b:Corporate>
      </b:Author>
    </b:Author>
    <b:Title>The Convention on the Protection of the Marine Environment of the Baltic Sea</b:Title>
    <b:Year>1992</b:Year>
    <b:City>Helsinki</b:City>
    <b:Institution>HELCOM</b:Institution>
    <b:RefOrder>36</b:RefOrder>
  </b:Source>
  <b:Source>
    <b:Tag>BarselonaConv</b:Tag>
    <b:SourceType>Report</b:SourceType>
    <b:Guid>{E680F30C-2E5D-48AC-AA03-A7731907D9E5}</b:Guid>
    <b:Author>
      <b:Author>
        <b:Corporate>UNITED NATIONS ENVIRONMENT PROGRAMME</b:Corporate>
      </b:Author>
    </b:Author>
    <b:Title>Convention for the Protection of the Marine Environment and the Coastal Region of the Mediterranean</b:Title>
    <b:Year>1976</b:Year>
    <b:City>Barcelona</b:City>
    <b:Institution>UNEP</b:Institution>
    <b:RefOrder>37</b:RefOrder>
  </b:Source>
  <b:Source>
    <b:Tag>OSPAR</b:Tag>
    <b:SourceType>Report</b:SourceType>
    <b:Guid>{1FEC5B2F-376E-4B67-9836-B49FAB6EF661}</b:Guid>
    <b:Author>
      <b:Author>
        <b:Corporate>OSPAR COMMISSION</b:Corporate>
      </b:Author>
    </b:Author>
    <b:Title>Convention for the Protection of the Marine Environment in the North-East Atlantic</b:Title>
    <b:Year>1992</b:Year>
    <b:Institution>OSPAR</b:Institution>
    <b:RefOrder>38</b:RefOrder>
  </b:Source>
  <b:Source>
    <b:Tag>AarhusConv</b:Tag>
    <b:SourceType>Report</b:SourceType>
    <b:Guid>{41E637B7-BB9F-43BB-966B-D7BFCEBD690D}</b:Guid>
    <b:Author>
      <b:Author>
        <b:Corporate>UNITED NATIONS ECONOMIC COMMISSION FOR EUROPE</b:Corporate>
      </b:Author>
    </b:Author>
    <b:Title>The Convention on Access to Information, Public Participation in Decision-Making and Access to Justice in Environmental Matters</b:Title>
    <b:Year>1998</b:Year>
    <b:City>Aarhus</b:City>
    <b:Institution>UNECE</b:Institution>
    <b:RefOrder>39</b:RefOrder>
  </b:Source>
  <b:Source>
    <b:Tag>EspooConv</b:Tag>
    <b:SourceType>Report</b:SourceType>
    <b:Guid>{278E8117-5878-49E8-9DA8-A9B08894B6CC}</b:Guid>
    <b:Author>
      <b:Author>
        <b:Corporate>UNITED NATIONS ECONOMIC COMMISSION FOR EUROPE</b:Corporate>
      </b:Author>
    </b:Author>
    <b:Title>Convention on Environmental Impact Assessment in a Transboundary Context</b:Title>
    <b:Year>1991</b:Year>
    <b:City>Espoo</b:City>
    <b:Institution>UNECE</b:Institution>
    <b:RefOrder>40</b:RefOrder>
  </b:Source>
  <b:Source>
    <b:Tag>Exclusion</b:Tag>
    <b:SourceType>Book</b:SourceType>
    <b:Guid>{4B5C533F-EA36-471C-8614-C7B4F6EBA674}</b:Guid>
    <b:Author>
      <b:Author>
        <b:Corporate>INTERNATIONAL ATOMIC ENERGY AGENCY</b:Corporate>
      </b:Author>
    </b:Author>
    <b:Title>Application of the Concepts of Exclusion, Exemption and Clearance, RS-G-1.7</b:Title>
    <b:Year>2004</b:Year>
    <b:City>Vienna</b:City>
    <b:Publisher>IAEA</b:Publisher>
    <b:RefOrder>41</b:RefOrder>
  </b:Source>
  <b:Source>
    <b:Tag>UNSCEAR2008</b:Tag>
    <b:SourceType>Report</b:SourceType>
    <b:Guid>{C3FD10A8-D4BA-46C2-BE11-BF31B8F59586}</b:Guid>
    <b:Author>
      <b:Author>
        <b:Corporate>UNITED NATIONS</b:Corporate>
      </b:Author>
    </b:Author>
    <b:Title>Sources and Effects of Ionizing Radiation (Report to the General Assembly), Scientific Committee on the Effects of Atomic Radiation, UNSCEAR 2008 Report to the General Assembly, with annexes</b:Title>
    <b:Year>2008</b:Year>
    <b:Publisher>UN</b:Publisher>
    <b:City>New York</b:City>
    <b:Institution>United Nations</b:Institution>
    <b:RefOrder>42</b:RefOrder>
  </b:Source>
  <b:Source>
    <b:Tag>Int</b:Tag>
    <b:SourceType>Book</b:SourceType>
    <b:Guid>{04BD033C-205E-4F91-8AB0-DAEAEA7DED6C}</b:Guid>
    <b:Author>
      <b:Author>
        <b:NameList>
          <b:Person>
            <b:Last>Agency</b:Last>
            <b:First>International</b:First>
            <b:Middle>Atomic Energy</b:Middle>
          </b:Person>
        </b:NameList>
      </b:Author>
    </b:Author>
    <b:RefOrder>43</b:RefOrder>
  </b:Source>
  <b:Source>
    <b:Tag>UN_Conv_Low_of_Sea</b:Tag>
    <b:SourceType>Report</b:SourceType>
    <b:Guid>{1700C4C1-44AC-4D57-87BC-41352C524CCB}</b:Guid>
    <b:Author>
      <b:Author>
        <b:Corporate>UNITED NATIONS</b:Corporate>
      </b:Author>
    </b:Author>
    <b:Title>Convention on the Law of the Sea</b:Title>
    <b:Year>1982</b:Year>
    <b:Institution>UN</b:Institution>
    <b:RefOrder>44</b:RefOrder>
  </b:Source>
  <b:Source>
    <b:Tag>EspooConvention</b:Tag>
    <b:SourceType>Report</b:SourceType>
    <b:Guid>{F221CB7C-4E8D-48E2-BDF4-C20154378A3B}</b:Guid>
    <b:Author>
      <b:Author>
        <b:Corporate>UNITED NATIONS ECONOMIC COMMISSION FOR EUROPE</b:Corporate>
      </b:Author>
    </b:Author>
    <b:Title>The Convention on Environmental Impact Assessment in a Transboundary Context - Espoo Convention</b:Title>
    <b:Year>1991</b:Year>
    <b:City>Espoo</b:City>
    <b:RefOrder>45</b:RefOrder>
  </b:Source>
  <b:Source>
    <b:Tag>KYIV_Protocol</b:Tag>
    <b:SourceType>Report</b:SourceType>
    <b:Guid>{22A08014-1069-4483-B395-C835BA16B98B}</b:Guid>
    <b:Author>
      <b:Author>
        <b:Corporate>UNITED NATIONS ECONOMIC COMMISSION FOR EUROPE</b:Corporate>
      </b:Author>
    </b:Author>
    <b:Title>The Protocol on Strategic Environmental Assessment - Kyiv Protocol</b:Title>
    <b:Year>2003</b:Year>
    <b:City>Kyiv</b:City>
    <b:RefOrder>46</b:RefOrder>
  </b:Source>
  <b:Source>
    <b:Tag>RioDeclaration92</b:Tag>
    <b:SourceType>Report</b:SourceType>
    <b:Guid>{13442338-F2EF-4A9F-80DA-D1116C96E6C1}</b:Guid>
    <b:Author>
      <b:Author>
        <b:Corporate>UNITED NATIONS</b:Corporate>
      </b:Author>
    </b:Author>
    <b:Title>Rio Declaration on Environment and Development</b:Title>
    <b:Year>1992</b:Year>
    <b:Publisher>UN</b:Publisher>
    <b:City>New York</b:City>
    <b:RefOrder>47</b:RefOrder>
  </b:Source>
  <b:Source>
    <b:Tag>Placeholder1</b:Tag>
    <b:SourceType>Report</b:SourceType>
    <b:Guid>{7A32B827-72C9-459D-9E96-3286F77AA272}</b:Guid>
    <b:Author>
      <b:Author>
        <b:Corporate>KYIV PROTOCOL</b:Corporate>
      </b:Author>
    </b:Author>
    <b:Title>The Protocol on Strategic Environmental Assessment</b:Title>
    <b:Year>2003</b:Year>
    <b:City>Kyiv</b:City>
    <b:RefOrder>48</b:RefOrder>
  </b:Source>
  <b:Source>
    <b:Tag>Placeholder2</b:Tag>
    <b:SourceType>Report</b:SourceType>
    <b:Guid>{B28DF9DC-5733-429D-964F-F035BDB7BD42}</b:Guid>
    <b:Author>
      <b:Author>
        <b:Corporate>Espoo Convention</b:Corporate>
      </b:Author>
    </b:Author>
    <b:Title>The Convention on Environmental Impact Assessment in a Transboundary Context</b:Title>
    <b:Year>1991</b:Year>
    <b:City>Espoo</b:City>
    <b:RefOrder>49</b:RefOrder>
  </b:Source>
  <b:Source>
    <b:Tag>Placeholder3</b:Tag>
    <b:SourceType>Report</b:SourceType>
    <b:Guid>{B7BF05BB-0D5B-4B59-A679-6CB3C2AD7710}</b:Guid>
    <b:Author>
      <b:Author>
        <b:Corporate>Aarhus Convention</b:Corporate>
      </b:Author>
    </b:Author>
    <b:Title>The Convention on Access to Information, Public Participation in Decision-Making and Access to Justice in Environmental Matters</b:Title>
    <b:Year>1998</b:Year>
    <b:City>Aarhus</b:City>
    <b:RefOrder>50</b:RefOrder>
  </b:Source>
</b:Sources>
</file>

<file path=customXml/item2.xml><?xml version="1.0" encoding="utf-8"?>
<b:Sources xmlns:b="http://schemas.openxmlformats.org/officeDocument/2006/bibliography" xmlns="http://schemas.openxmlformats.org/officeDocument/2006/bibliography" SelectedStyle="\APA.XSL" StyleName="APA">
  <b:Source>
    <b:Tag>SG_Glossary2001</b:Tag>
    <b:SourceType>Report</b:SourceType>
    <b:Guid>{B94A374C-1ECA-4A56-B0E2-0FDCF2020549}</b:Guid>
    <b:Author>
      <b:Author>
        <b:Corporate>INTERNATIONAL ATOMIC ENERGY AGENCY</b:Corporate>
      </b:Author>
    </b:Author>
    <b:Title>IAEA Safeguards Glossary (2001 Edition)</b:Title>
    <b:Year>2001</b:Year>
    <b:Institution>IAEA</b:Institution>
    <b:City>Vienna</b:City>
    <b:RefOrder>4</b:RefOrder>
  </b:Source>
  <b:Source>
    <b:Tag>NSG22</b:Tag>
    <b:SourceType>Report</b:SourceType>
    <b:Guid>{3F774DFC-1F1F-4273-BE1E-6A1FCECA4709}</b:Guid>
    <b:Author>
      <b:Author>
        <b:Corporate>INTERNATIONAL ATOMIC ENERGY AGENCY</b:Corporate>
      </b:Author>
    </b:Author>
    <b:Title>Operational Limits and Conditions and Operating Procedures for Nuclear Power Plants, IAEA Safety Standards Series No. NS-G-2.2</b:Title>
    <b:Year>2000</b:Year>
    <b:Publisher>IAEA</b:Publisher>
    <b:City>Vienna</b:City>
    <b:Institution>IAEA</b:Institution>
    <b:RefOrder>5</b:RefOrder>
  </b:Source>
  <b:Source>
    <b:Tag>WSG23</b:Tag>
    <b:SourceType>Report</b:SourceType>
    <b:Guid>{B35E99A2-B2BA-46D3-9256-639B025A4027}</b:Guid>
    <b:Author>
      <b:Author>
        <b:Corporate>INTERNATIONAL ATOMIC ENERGY AGENCY</b:Corporate>
      </b:Author>
    </b:Author>
    <b:Title>Regulatory Control of Radioactive Discharges to the Environment, Safety Standards Series No. WS-G-2.3</b:Title>
    <b:Year>2000</b:Year>
    <b:Publisher>IAEA</b:Publisher>
    <b:City>Vienna</b:City>
    <b:Institution>IAEA</b:Institution>
    <b:RefOrder>6</b:RefOrder>
  </b:Source>
  <b:Source>
    <b:Tag>NSR1</b:Tag>
    <b:SourceType>Report</b:SourceType>
    <b:Guid>{01AF0566-44C6-49D9-83C6-32B5191FB5CC}</b:Guid>
    <b:Author>
      <b:Author>
        <b:Corporate>INTERNATIONAL ATOMIC ENERGY AGENCY</b:Corporate>
      </b:Author>
    </b:Author>
    <b:Title>Safety of Nuclear Power Plants: Design, IAEA Safety Standards Series No. NS-R-1</b:Title>
    <b:Year>2000</b:Year>
    <b:Publisher>IAEA</b:Publisher>
    <b:City>Vienna</b:City>
    <b:Institution>IAEA</b:Institution>
    <b:RefOrder>7</b:RefOrder>
  </b:Source>
  <b:Source>
    <b:Tag>SRS19</b:Tag>
    <b:SourceType>Report</b:SourceType>
    <b:Guid>{A5CF3A9C-BCE4-474A-9731-CB80492F69CD}</b:Guid>
    <b:Author>
      <b:Author>
        <b:Corporate>INTERNATIONAL ATOMIC ENERGY AGENCY</b:Corporate>
      </b:Author>
    </b:Author>
    <b:Title>Generic Models for Use in Assessing the Impact of Discharges of Radioactive Substances to the Environment, Safety Reports Series No. 19</b:Title>
    <b:Year>2001</b:Year>
    <b:Publisher>IAEA</b:Publisher>
    <b:City>Vienna</b:City>
    <b:Institution>IAEA</b:Institution>
    <b:RefOrder>8</b:RefOrder>
  </b:Source>
  <b:Source>
    <b:Tag>RSG18</b:Tag>
    <b:SourceType>Report</b:SourceType>
    <b:Guid>{BA58A4E3-4D19-42D5-B814-ACACFE85AFE6}</b:Guid>
    <b:Author>
      <b:Author>
        <b:Corporate>INTERNATIONAL ATOMIC ENERGY AGENCY</b:Corporate>
      </b:Author>
    </b:Author>
    <b:Title>Environmental and Source Monitoring for Purposes of Radiation Protection, IAEA Safety Standards Series No. RS-G-1.8</b:Title>
    <b:Year>2005</b:Year>
    <b:Publisher>IAEA</b:Publisher>
    <b:City>Vienna</b:City>
    <b:Institution>IAEA</b:Institution>
    <b:RefOrder>9</b:RefOrder>
  </b:Source>
  <b:Source>
    <b:Tag>ICRP101</b:Tag>
    <b:SourceType>Report</b:SourceType>
    <b:Guid>{D3D43E08-64B5-426B-B37B-7D05633EBD54}</b:Guid>
    <b:Author>
      <b:Author>
        <b:Corporate>INTERNATIONAL COMMISSION ON RADIOLOGICAL PROTECTION</b:Corporate>
      </b:Author>
    </b:Author>
    <b:Title>Assessing Dose of the Representative Person for the Purpose of Radiation Protection of the Public and the Optimisation of Radiological Protection: Broadening the Process, ICRP Publication 101</b:Title>
    <b:Year>2006</b:Year>
    <b:Publisher>Pergamon Press</b:Publisher>
    <b:City>Oxford and New York</b:City>
    <b:Institution>ICRP</b:Institution>
    <b:RefOrder>10</b:RefOrder>
  </b:Source>
  <b:Source>
    <b:Tag>SF_1</b:Tag>
    <b:SourceType>Report</b:SourceType>
    <b:Guid>{9423C613-AC95-45F2-86C8-E450C64BAA16}</b:Guid>
    <b:Author>
      <b:Author>
        <b:Corporate>EUROPEAN ATOMIC ENERGY COMMUNITY, FOOD AND AGRICULTURE ORGANIZATION OF THE UNITED NATIONS, INTERNATIONAL ATOMIC ENERGY AGENCY, INTERNATIONAL LABOUR ORGANIZATION, INTERNATIONAL MARITIME ORGANIZATION, OECD NUCLEAR ENERGY AGENCY, PAN AMERICAN HEALTH ORGANIZA</b:Corporate>
      </b:Author>
    </b:Author>
    <b:Title>Fundamental Safety Principles, IAEA Safety Standards Series No. SF-1</b:Title>
    <b:Year>2006</b:Year>
    <b:Publisher>IAEA</b:Publisher>
    <b:City>Vienna</b:City>
    <b:Institution>IAEA</b:Institution>
    <b:RefOrder>11</b:RefOrder>
  </b:Source>
  <b:Source>
    <b:Tag>WSR4</b:Tag>
    <b:SourceType>Report</b:SourceType>
    <b:Guid>{1530E0D8-4DBE-4382-A3C7-016506495E57}</b:Guid>
    <b:Author>
      <b:Author>
        <b:Corporate>INTERNATIONAL ATOMIC ENERGY AGENCY</b:Corporate>
      </b:Author>
    </b:Author>
    <b:Title>Geological Disposal of Radioactive Waste Safety Requirements, IAEA Safety Standards Series No. WS-R-4</b:Title>
    <b:Year>2006</b:Year>
    <b:Publisher>IAEA</b:Publisher>
    <b:City>Vienna</b:City>
    <b:Institution>IAEA</b:Institution>
    <b:RefOrder>12</b:RefOrder>
  </b:Source>
  <b:Source>
    <b:Tag>ICRP103</b:Tag>
    <b:SourceType>Report</b:SourceType>
    <b:Guid>{FB73F49A-83E3-4826-9E7E-E534037128D3}</b:Guid>
    <b:Author>
      <b:Author>
        <b:Corporate>INTERNATIONAL COMMISSION ON RADIOLOGICAL PROTECTION</b:Corporate>
      </b:Author>
    </b:Author>
    <b:Title>The 2007 Recommendations of the International Commission on Radiological Protection, ICRP Publication 103</b:Title>
    <b:Year>2007</b:Year>
    <b:Publisher>Pergamon Press</b:Publisher>
    <b:City>Oxford and New York</b:City>
    <b:Institution>ICRP</b:Institution>
    <b:RefOrder>2</b:RefOrder>
  </b:Source>
  <b:Source>
    <b:Tag>INT09</b:Tag>
    <b:SourceType>Report</b:SourceType>
    <b:Guid>{A7BFE7D5-A573-4AB1-ACD7-96F4BA9D075A}</b:Guid>
    <b:Author>
      <b:Author>
        <b:Corporate>INTERNATIONAL ATOMIC ENERGY AGENCY</b:Corporate>
      </b:Author>
    </b:Author>
    <b:Title>Deterministic safety analysis for nuclear power plants, IAEA Safety Standards Series No. SSG-2</b:Title>
    <b:Year>2009</b:Year>
    <b:Institution>IAEA</b:Institution>
    <b:City>Vienna</b:City>
    <b:RefOrder>13</b:RefOrder>
  </b:Source>
  <b:Source>
    <b:Tag>GSR_P4</b:Tag>
    <b:SourceType>Report</b:SourceType>
    <b:Guid>{A9DCB213-F479-445E-B7F7-1C41CE70B674}</b:Guid>
    <b:Author>
      <b:Author>
        <b:Corporate>INTERNATIONAL ATOMIC ENERGY AGENCY</b:Corporate>
      </b:Author>
    </b:Author>
    <b:Title>Safety Assessment for Facilities and Activities, IAEA Safety Standards Series No. GSR Part 4</b:Title>
    <b:Year>2009</b:Year>
    <b:Publisher>IAEA</b:Publisher>
    <b:City>Vienna</b:City>
    <b:Institution>IAEA</b:Institution>
    <b:RefOrder>14</b:RefOrder>
  </b:Source>
  <b:Source>
    <b:Tag>GSRPart1</b:Tag>
    <b:SourceType>Report</b:SourceType>
    <b:Guid>{CFB3617C-3EF2-458B-A486-15EC84771034}</b:Guid>
    <b:Author>
      <b:Author>
        <b:Corporate>INTERNATIONAL ATOMIC ENERGY AGENCY</b:Corporate>
      </b:Author>
    </b:Author>
    <b:Title>Governmental, Legal and Regulatory Framework for Safety, Safety Standards Series No. GSR Part 1</b:Title>
    <b:Year>2010</b:Year>
    <b:Publisher>IAEA</b:Publisher>
    <b:City>Vienna</b:City>
    <b:Institution>IAEA</b:Institution>
    <b:RefOrder>15</b:RefOrder>
  </b:Source>
  <b:Source>
    <b:Tag>SSG12</b:Tag>
    <b:SourceType>Report</b:SourceType>
    <b:Guid>{976DF464-7EB5-4BCA-8A29-D9846601D56C}</b:Guid>
    <b:Author>
      <b:Author>
        <b:Corporate>INTERNATIONAL ATOMIC ENERGY AGENCY</b:Corporate>
      </b:Author>
    </b:Author>
    <b:Title>Licensing Process for Nuclear Installations, IAEA Safety Standards Series No. SSG-12</b:Title>
    <b:Year>2010</b:Year>
    <b:Publisher>IAEA</b:Publisher>
    <b:City>Vienna</b:City>
    <b:Institution>IAEA</b:Institution>
    <b:RefOrder>1</b:RefOrder>
  </b:Source>
  <b:Source>
    <b:Tag>SRS64</b:Tag>
    <b:SourceType>Report</b:SourceType>
    <b:Guid>{87A9D79C-B465-4486-AC72-707C574A81D0}</b:Guid>
    <b:Author>
      <b:Author>
        <b:Corporate>INTERNATIONAL ATOMIC ENERGY AGENCY</b:Corporate>
      </b:Author>
    </b:Author>
    <b:Title>Programmes and Systems for Source and Environmental Radiation Monitoring, Safety Reports Series No. 64</b:Title>
    <b:Year>2010</b:Year>
    <b:Publisher>IAEA</b:Publisher>
    <b:City>Vienna</b:City>
    <b:Institution>IAEA</b:Institution>
    <b:RefOrder>16</b:RefOrder>
  </b:Source>
  <b:Source>
    <b:Tag>TECDOC1638</b:Tag>
    <b:SourceType>Report</b:SourceType>
    <b:Guid>{843AD40D-985B-46D0-A686-BB1AE6DAC773}</b:Guid>
    <b:Author>
      <b:Author>
        <b:Corporate>INTERNATIONAL ATOMIC ENERGY AGENCY</b:Corporate>
      </b:Author>
    </b:Author>
    <b:Title>Setting Authorized Limits for Radioactive Discharges: Practical Issues to Consider, IAEA-TECDOC-1638</b:Title>
    <b:Year>2010</b:Year>
    <b:Publisher>IAEA</b:Publisher>
    <b:City>Vienna</b:City>
    <b:Institution>IAEA</b:Institution>
    <b:RefOrder>17</b:RefOrder>
  </b:Source>
  <b:Source>
    <b:Tag>SSG13</b:Tag>
    <b:SourceType>Report</b:SourceType>
    <b:Guid>{5169B6D6-8EEE-4134-8EE4-A089E0B9E5A6}</b:Guid>
    <b:Author>
      <b:Author>
        <b:Corporate>INTERNATIONAL ATOMIC ENERGY AGENCY</b:Corporate>
      </b:Author>
    </b:Author>
    <b:Title>Chemistry Programme for Water Cooled Nuclear Power Plants, IAEA Safety Standards Series No. SSG-13</b:Title>
    <b:Year>2011</b:Year>
    <b:Institution>IAEA</b:Institution>
    <b:City>Vienna</b:City>
    <b:RefOrder>18</b:RefOrder>
  </b:Source>
  <b:Source>
    <b:Tag>BSS_new</b:Tag>
    <b:SourceType>Report</b:SourceType>
    <b:Guid>{81E00F57-7814-4B05-B1C7-B88F64328153}</b:Guid>
    <b:Author>
      <b:Author>
        <b:Corporate>FOOD AND AGRICULTURE ORGANIZATION OF THE UNITED NATIONS, INTERNATIONAL ATOMIC ENERGY AGENCY, INTERNATIONAL LABOUR ORGANISATION, OECD NUCLEAR ENERGY AGENCY, PAN AMERICAN HEALTH ORGANIZATION, UNITED NATIONS ENVIRONMENT PROGRAMME, WORLD HEALTH ORGANIZATION</b:Corporate>
      </b:Author>
    </b:Author>
    <b:Title>Radiation Protection and Safety of Radiation Sources: International Basic Safety Standards, General Safety Requirements No. GSR Part 3</b:Title>
    <b:Year>2011</b:Year>
    <b:Publisher>IAEA</b:Publisher>
    <b:City>Vienna</b:City>
    <b:Institution>IAEA</b:Institution>
    <b:RefOrder>3</b:RefOrder>
  </b:Source>
  <b:Source>
    <b:Tag>SSR22</b:Tag>
    <b:SourceType>Report</b:SourceType>
    <b:Guid>{1EBCFDC9-8DBC-41DE-948A-27F6095003A9}</b:Guid>
    <b:Author>
      <b:Author>
        <b:Corporate>INTERNATIONAL ATOMIC ENERGY AGENCY</b:Corporate>
      </b:Author>
    </b:Author>
    <b:Title>Safety of Nuclear Power Plants: Commissioning and Operation, IAEA Safety Standards Series No. SSR-2/2</b:Title>
    <b:Year>2011</b:Year>
    <b:Publisher>IAEA</b:Publisher>
    <b:City>Vienna</b:City>
    <b:Institution>IAEA</b:Institution>
    <b:RefOrder>19</b:RefOrder>
  </b:Source>
  <b:Source>
    <b:Tag>DS427</b:Tag>
    <b:SourceType>Report</b:SourceType>
    <b:Guid>{F5F43A9E-7FB7-46EF-89CD-6DA823E5541C}</b:Guid>
    <b:Author>
      <b:Author>
        <b:Corporate>INTERNATIONAL ATOMIC ENERGY AGENCY</b:Corporate>
      </b:Author>
    </b:Author>
    <b:Title>Radiological Environmental Impact Assessment, IAEA Safety Standards Series No.DS427</b:Title>
    <b:Year>2012</b:Year>
    <b:Institution>IAEA</b:Institution>
    <b:City>Vienna</b:City>
    <b:RefOrder>20</b:RefOrder>
  </b:Source>
  <b:Source>
    <b:Tag>DS432</b:Tag>
    <b:SourceType>Report</b:SourceType>
    <b:Guid>{9B50BB50-DE5C-49F5-AE04-E864341B1A50}</b:Guid>
    <b:Author>
      <b:Author>
        <b:Corporate>INTERNATIONAL ATOMIC ENERGY AGENCY</b:Corporate>
      </b:Author>
    </b:Author>
    <b:Title>Radiation Protection of the Public, IAEA Safety Standards Series No.DS432</b:Title>
    <b:Year>2012</b:Year>
    <b:Institution>IAEA</b:Institution>
    <b:City>Vienna</b:City>
    <b:RefOrder>21</b:RefOrder>
  </b:Source>
  <b:Source>
    <b:Tag>ISO3534_1</b:Tag>
    <b:SourceType>Report</b:SourceType>
    <b:Guid>{C8BE3EFB-43CC-46DA-BDD4-4CA42F0CBE2E}</b:Guid>
    <b:Author>
      <b:Author>
        <b:Corporate>INTERNATIONAL ORGANISATION FOR STANDARDISATION</b:Corporate>
      </b:Author>
    </b:Author>
    <b:Title>Statistics - Vocabulary and Symbols - Part 1: Probability and General Statistical Terms, ISO-3534-1:1993</b:Title>
    <b:Year>1993</b:Year>
    <b:Institution>ISO</b:Institution>
    <b:City>Geneva</b:City>
    <b:RefOrder>22</b:RefOrder>
  </b:Source>
  <b:Source>
    <b:Tag>JConvention</b:Tag>
    <b:SourceType>Report</b:SourceType>
    <b:Guid>{650828C4-99D5-49F4-A521-C79368E3C5B6}</b:Guid>
    <b:Author>
      <b:Author>
        <b:Corporate>INTERNATIONAL ATOMIC ENERGY AGENCY</b:Corporate>
      </b:Author>
    </b:Author>
    <b:Title>Joint Convention on the Safety of Spent Nuclear Fuel Management and on the Safety of Radioactive Waste Management</b:Title>
    <b:Year>1997</b:Year>
    <b:Publisher>IAEA</b:Publisher>
    <b:City>Vienna</b:City>
    <b:Institution>IAEA</b:Institution>
    <b:RefOrder>23</b:RefOrder>
  </b:Source>
  <b:Source>
    <b:Tag>ISO11074_2</b:Tag>
    <b:SourceType>Report</b:SourceType>
    <b:Guid>{8F92B701-DE39-4666-BEAB-B3D4727E788E}</b:Guid>
    <b:Author>
      <b:Author>
        <b:Corporate>INTERNATIONAL ORGANISATION FOR STANDARDISATION</b:Corporate>
      </b:Author>
    </b:Author>
    <b:Title>Soil Quality - Vocabulary - Part 2: Terms and Definitions Relating to Sampling, ISO-11074-2:1998</b:Title>
    <b:Year>1998</b:Year>
    <b:Institution>ISO</b:Institution>
    <b:City>Geneva</b:City>
    <b:RefOrder>24</b:RefOrder>
  </b:Source>
  <b:Source>
    <b:Tag>NEA2003</b:Tag>
    <b:SourceType>Report</b:SourceType>
    <b:Guid>{DA89BEA0-F9BC-4626-9F38-C7DEFB88E5B0}</b:Guid>
    <b:Author>
      <b:Author>
        <b:Corporate>OECD NUCLEAR ENERGY AGENCY</b:Corporate>
      </b:Author>
    </b:Author>
    <b:Title>Effluent Release Options from Installations, Technical Background and Issues Relevant to Regulatory Control</b:Title>
    <b:Year>2003</b:Year>
    <b:Publisher>NEA</b:Publisher>
    <b:City>Paris</b:City>
    <b:Institution>OECD</b:Institution>
    <b:RefOrder>25</b:RefOrder>
  </b:Source>
  <b:Source>
    <b:Tag>TRS419</b:Tag>
    <b:SourceType>Report</b:SourceType>
    <b:Guid>{02C2ABB3-88AE-437C-814A-E344A7E85F99}</b:Guid>
    <b:Author>
      <b:Author>
        <b:Corporate>INTERNATIONAL ATOMIC ENERGY AGENCY</b:Corporate>
      </b:Author>
    </b:Author>
    <b:Title>Extent of Environmental Contamination by Naturally Occurring Radioactive Material (NORM) and Technological Options for mitigation, Technical Report Series N° 419</b:Title>
    <b:Year>2004</b:Year>
    <b:Publisher>IAEA</b:Publisher>
    <b:City>Vienna</b:City>
    <b:Institution>IAEA</b:Institution>
    <b:RefOrder>26</b:RefOrder>
  </b:Source>
  <b:Source>
    <b:Tag>SRS44</b:Tag>
    <b:SourceType>Report</b:SourceType>
    <b:Guid>{9CFF8B7B-6F87-472E-AA8E-B2310607A544}</b:Guid>
    <b:Author>
      <b:Author>
        <b:Corporate>INTERNATIONAL ATOMIC ENERGY AGENCY</b:Corporate>
      </b:Author>
    </b:Author>
    <b:Title>Derivation of Activity Concentration Values for Exclusion, Exemption and Clearance, Safety Reports Series No. 44</b:Title>
    <b:Year>2005</b:Year>
    <b:Publisher>IAEA</b:Publisher>
    <b:City>Vienna</b:City>
    <b:Institution>IAEA</b:Institution>
    <b:RefOrder>27</b:RefOrder>
  </b:Source>
  <b:Source>
    <b:Tag>INT05</b:Tag>
    <b:SourceType>Report</b:SourceType>
    <b:Guid>{18DA6ACC-BF44-4446-AD93-701F15627E8A}</b:Guid>
    <b:Author>
      <b:Author>
        <b:Corporate>INTERNATIONAL ATOMIC ENERGY AGENCY</b:Corporate>
      </b:Author>
    </b:Author>
    <b:Title>Radiation Protection Aspects in the Design of Nuclear Power Plants, Safety Standards Series No. NS-G-1.13</b:Title>
    <b:Year>2005</b:Year>
    <b:Institution>IAEA</b:Institution>
    <b:City>Vienna</b:City>
    <b:RefOrder>28</b:RefOrder>
  </b:Source>
  <b:Source>
    <b:Tag>SSG4</b:Tag>
    <b:SourceType>Report</b:SourceType>
    <b:Guid>{D8EA67E5-27EB-4966-A3FC-F00529D23409}</b:Guid>
    <b:Author>
      <b:Author>
        <b:Corporate>INTERNATIONAL ATOMIC ENERGY AGENCY</b:Corporate>
      </b:Author>
    </b:Author>
    <b:Title>Development and Application of Level 2 Probabilistic Safety Assessment for Nuclear Power Plants, IAEA Safety Standards Series No. SSG-4</b:Title>
    <b:Year>2010</b:Year>
    <b:Institution>IAEA</b:Institution>
    <b:City>Vienna</b:City>
    <b:RefOrder>29</b:RefOrder>
  </b:Source>
  <b:Source>
    <b:Tag>SSG3</b:Tag>
    <b:SourceType>Report</b:SourceType>
    <b:Guid>{EAE57214-E268-430F-A62D-ABA9E3266A0C}</b:Guid>
    <b:Author>
      <b:Author>
        <b:Corporate>INTERNATIONAL ATOMIC ENERGY AGENCY</b:Corporate>
      </b:Author>
    </b:Author>
    <b:Title>Development and Application of Level 1 Probabilistic Safety Assessment for Nuclear Power Plants, IAEA Safety Standards Series No. SSG-3</b:Title>
    <b:Year>2010</b:Year>
    <b:Institution>IAEA</b:Institution>
    <b:City>Vienna</b:City>
    <b:RefOrder>30</b:RefOrder>
  </b:Source>
  <b:Source>
    <b:Tag>INT04</b:Tag>
    <b:SourceType>Report</b:SourceType>
    <b:Guid>{9E80EE5C-44AC-48E0-93AB-11E95FD5D4BD}</b:Guid>
    <b:Author>
      <b:Author>
        <b:Corporate>INTERNATIONAL ATOMIC ENERGY AGENCY</b:Corporate>
      </b:Author>
    </b:Author>
    <b:Title>Format and Content of the Safety Analysis Report for Nuclear Power Plants. IAEA Safety Standards Series No. GS-G-4.1</b:Title>
    <b:Year>2004</b:Year>
    <b:Institution>IAEA</b:Institution>
    <b:City>Vienna</b:City>
    <b:RefOrder>31</b:RefOrder>
  </b:Source>
  <b:Source>
    <b:Tag>INT07</b:Tag>
    <b:SourceType>Book</b:SourceType>
    <b:Guid>{4E1FC5EE-22A0-4DFC-9AB2-125B612E8ACD}</b:Guid>
    <b:Author>
      <b:Author>
        <b:Corporate>INTERNATIONAL ATOMIC ENERGY AGENCY</b:Corporate>
      </b:Author>
    </b:Author>
    <b:Title>IAEA Safety Glossary: Terminology Used in Nuclear Safety and Radiation Protection (2007 Edition)</b:Title>
    <b:Year>2007</b:Year>
    <b:City>Vienna</b:City>
    <b:Publisher>IAEA</b:Publisher>
    <b:LCID>en-GB</b:LCID>
    <b:RefOrder>32</b:RefOrder>
  </b:Source>
  <b:Source>
    <b:Tag>INT</b:Tag>
    <b:SourceType>Book</b:SourceType>
    <b:Guid>{46FAA3A5-B604-4511-98A3-971232123465}</b:Guid>
    <b:Author>
      <b:Author>
        <b:Corporate>INTERNATIONAL ATOMIC ENERGY AGENCY</b:Corporate>
      </b:Author>
    </b:Author>
    <b:RefOrder>33</b:RefOrder>
  </b:Source>
  <b:Source>
    <b:Tag>INT041</b:Tag>
    <b:SourceType>Book</b:SourceType>
    <b:Guid>{C0E7462C-1E04-4006-8AC4-BD0DB6CF1609}</b:Guid>
    <b:Author>
      <b:Author>
        <b:Corporate>INTERNATIONAL ATOMIC ENERGY AGENCY</b:Corporate>
      </b:Author>
    </b:Author>
    <b:Title>Regulatory Control of Radiation Sources, Safety Standard Series No. GS-G-1.5</b:Title>
    <b:Year>2004</b:Year>
    <b:City>Vienna</b:City>
    <b:Publisher>IAEA</b:Publisher>
    <b:RefOrder>34</b:RefOrder>
  </b:Source>
  <b:Source>
    <b:Tag>OXF04</b:Tag>
    <b:SourceType>Book</b:SourceType>
    <b:Guid>{670802BB-CE6F-4A68-B7C9-77A9C26DD53A}</b:Guid>
    <b:Author>
      <b:Author>
        <b:Corporate>OXFORD UNIVERSITY</b:Corporate>
      </b:Author>
      <b:Editor>
        <b:NameList>
          <b:Person>
            <b:Last>Soanes</b:Last>
            <b:First>Catherine</b:First>
          </b:Person>
          <b:Person>
            <b:Last>Stevenson</b:Last>
            <b:First>Angus</b:First>
          </b:Person>
        </b:NameList>
      </b:Editor>
    </b:Author>
    <b:Title>Concise Oxford English Dictionary (Eleventh Edition)</b:Title>
    <b:Year>2004</b:Year>
    <b:City>Oxford</b:City>
    <b:Publisher>Oxford University Press</b:Publisher>
    <b:RefOrder>35</b:RefOrder>
  </b:Source>
  <b:Source>
    <b:Tag>HelsinkiConv</b:Tag>
    <b:SourceType>Report</b:SourceType>
    <b:Guid>{EBBAFCBC-2A71-43DA-9C76-9A1835D21838}</b:Guid>
    <b:Author>
      <b:Author>
        <b:Corporate>HELSINKI COMMISSION BALTIC MARINE ENVIRONMENT PROTECTION COMMISSION</b:Corporate>
      </b:Author>
    </b:Author>
    <b:Title>The Convention on the Protection of the Marine Environment of the Baltic Sea</b:Title>
    <b:Year>1992</b:Year>
    <b:City>Helsinki</b:City>
    <b:Institution>HELCOM</b:Institution>
    <b:RefOrder>36</b:RefOrder>
  </b:Source>
  <b:Source>
    <b:Tag>BarselonaConv</b:Tag>
    <b:SourceType>Report</b:SourceType>
    <b:Guid>{E680F30C-2E5D-48AC-AA03-A7731907D9E5}</b:Guid>
    <b:Author>
      <b:Author>
        <b:Corporate>UNITED NATIONS ENVIRONMENT PROGRAMME</b:Corporate>
      </b:Author>
    </b:Author>
    <b:Title>Convention for the Protection of the Marine Environment and the Coastal Region of the Mediterranean</b:Title>
    <b:Year>1976</b:Year>
    <b:City>Barcelona</b:City>
    <b:Institution>UNEP</b:Institution>
    <b:RefOrder>37</b:RefOrder>
  </b:Source>
  <b:Source>
    <b:Tag>OSPAR</b:Tag>
    <b:SourceType>Report</b:SourceType>
    <b:Guid>{1FEC5B2F-376E-4B67-9836-B49FAB6EF661}</b:Guid>
    <b:Author>
      <b:Author>
        <b:Corporate>OSPAR COMMISSION</b:Corporate>
      </b:Author>
    </b:Author>
    <b:Title>Convention for the Protection of the Marine Environment in the North-East Atlantic</b:Title>
    <b:Year>1992</b:Year>
    <b:Institution>OSPAR</b:Institution>
    <b:RefOrder>38</b:RefOrder>
  </b:Source>
  <b:Source>
    <b:Tag>AarhusConv</b:Tag>
    <b:SourceType>Report</b:SourceType>
    <b:Guid>{41E637B7-BB9F-43BB-966B-D7BFCEBD690D}</b:Guid>
    <b:Author>
      <b:Author>
        <b:Corporate>UNITED NATIONS ECONOMIC COMMISSION FOR EUROPE</b:Corporate>
      </b:Author>
    </b:Author>
    <b:Title>The Convention on Access to Information, Public Participation in Decision-Making and Access to Justice in Environmental Matters</b:Title>
    <b:Year>1998</b:Year>
    <b:City>Aarhus</b:City>
    <b:Institution>UNECE</b:Institution>
    <b:RefOrder>39</b:RefOrder>
  </b:Source>
  <b:Source>
    <b:Tag>EspooConv</b:Tag>
    <b:SourceType>Report</b:SourceType>
    <b:Guid>{278E8117-5878-49E8-9DA8-A9B08894B6CC}</b:Guid>
    <b:Author>
      <b:Author>
        <b:Corporate>UNITED NATIONS ECONOMIC COMMISSION FOR EUROPE</b:Corporate>
      </b:Author>
    </b:Author>
    <b:Title>Convention on Environmental Impact Assessment in a Transboundary Context</b:Title>
    <b:Year>1991</b:Year>
    <b:City>Espoo</b:City>
    <b:Institution>UNECE</b:Institution>
    <b:RefOrder>40</b:RefOrder>
  </b:Source>
  <b:Source>
    <b:Tag>Exclusion</b:Tag>
    <b:SourceType>Book</b:SourceType>
    <b:Guid>{4B5C533F-EA36-471C-8614-C7B4F6EBA674}</b:Guid>
    <b:Author>
      <b:Author>
        <b:Corporate>INTERNATIONAL ATOMIC ENERGY AGENCY</b:Corporate>
      </b:Author>
    </b:Author>
    <b:Title>Application of the Concepts of Exclusion, Exemption and Clearance, RS-G-1.7</b:Title>
    <b:Year>2004</b:Year>
    <b:City>Vienna</b:City>
    <b:Publisher>IAEA</b:Publisher>
    <b:RefOrder>41</b:RefOrder>
  </b:Source>
  <b:Source>
    <b:Tag>UNSCEAR2008</b:Tag>
    <b:SourceType>Report</b:SourceType>
    <b:Guid>{C3FD10A8-D4BA-46C2-BE11-BF31B8F59586}</b:Guid>
    <b:Author>
      <b:Author>
        <b:Corporate>UNITED NATIONS</b:Corporate>
      </b:Author>
    </b:Author>
    <b:Title>Sources and Effects of Ionizing Radiation (Report to the General Assembly), Scientific Committee on the Effects of Atomic Radiation, UNSCEAR 2008 Report to the General Assembly, with annexes</b:Title>
    <b:Year>2008</b:Year>
    <b:Publisher>UN</b:Publisher>
    <b:City>New York</b:City>
    <b:Institution>United Nations</b:Institution>
    <b:RefOrder>42</b:RefOrder>
  </b:Source>
  <b:Source>
    <b:Tag>Int</b:Tag>
    <b:SourceType>Book</b:SourceType>
    <b:Guid>{04BD033C-205E-4F91-8AB0-DAEAEA7DED6C}</b:Guid>
    <b:Author>
      <b:Author>
        <b:NameList>
          <b:Person>
            <b:Last>Agency</b:Last>
            <b:First>International</b:First>
            <b:Middle>Atomic Energy</b:Middle>
          </b:Person>
        </b:NameList>
      </b:Author>
    </b:Author>
    <b:RefOrder>43</b:RefOrder>
  </b:Source>
  <b:Source>
    <b:Tag>UN_Conv_Low_of_Sea</b:Tag>
    <b:SourceType>Report</b:SourceType>
    <b:Guid>{1700C4C1-44AC-4D57-87BC-41352C524CCB}</b:Guid>
    <b:Author>
      <b:Author>
        <b:Corporate>UNITED NATIONS</b:Corporate>
      </b:Author>
    </b:Author>
    <b:Title>Convention on the Law of the Sea</b:Title>
    <b:Year>1982</b:Year>
    <b:Institution>UN</b:Institution>
    <b:RefOrder>44</b:RefOrder>
  </b:Source>
  <b:Source>
    <b:Tag>EspooConvention</b:Tag>
    <b:SourceType>Report</b:SourceType>
    <b:Guid>{F221CB7C-4E8D-48E2-BDF4-C20154378A3B}</b:Guid>
    <b:Author>
      <b:Author>
        <b:Corporate>UNITED NATIONS ECONOMIC COMMISSION FOR EUROPE</b:Corporate>
      </b:Author>
    </b:Author>
    <b:Title>The Convention on Environmental Impact Assessment in a Transboundary Context - Espoo Convention</b:Title>
    <b:Year>1991</b:Year>
    <b:City>Espoo</b:City>
    <b:RefOrder>45</b:RefOrder>
  </b:Source>
  <b:Source>
    <b:Tag>KYIV_Protocol</b:Tag>
    <b:SourceType>Report</b:SourceType>
    <b:Guid>{22A08014-1069-4483-B395-C835BA16B98B}</b:Guid>
    <b:Author>
      <b:Author>
        <b:Corporate>UNITED NATIONS ECONOMIC COMMISSION FOR EUROPE</b:Corporate>
      </b:Author>
    </b:Author>
    <b:Title>The Protocol on Strategic Environmental Assessment - Kyiv Protocol</b:Title>
    <b:Year>2003</b:Year>
    <b:City>Kyiv</b:City>
    <b:RefOrder>46</b:RefOrder>
  </b:Source>
  <b:Source>
    <b:Tag>RioDeclaration92</b:Tag>
    <b:SourceType>Report</b:SourceType>
    <b:Guid>{13442338-F2EF-4A9F-80DA-D1116C96E6C1}</b:Guid>
    <b:Author>
      <b:Author>
        <b:Corporate>UNITED NATIONS</b:Corporate>
      </b:Author>
    </b:Author>
    <b:Title>Rio Declaration on Environment and Development</b:Title>
    <b:Year>1992</b:Year>
    <b:Publisher>UN</b:Publisher>
    <b:City>New York</b:City>
    <b:RefOrder>47</b:RefOrder>
  </b:Source>
  <b:Source>
    <b:Tag>Placeholder1</b:Tag>
    <b:SourceType>Report</b:SourceType>
    <b:Guid>{7A32B827-72C9-459D-9E96-3286F77AA272}</b:Guid>
    <b:Author>
      <b:Author>
        <b:Corporate>KYIV PROTOCOL</b:Corporate>
      </b:Author>
    </b:Author>
    <b:Title>The Protocol on Strategic Environmental Assessment</b:Title>
    <b:Year>2003</b:Year>
    <b:City>Kyiv</b:City>
    <b:RefOrder>48</b:RefOrder>
  </b:Source>
  <b:Source>
    <b:Tag>Placeholder2</b:Tag>
    <b:SourceType>Report</b:SourceType>
    <b:Guid>{B28DF9DC-5733-429D-964F-F035BDB7BD42}</b:Guid>
    <b:Author>
      <b:Author>
        <b:Corporate>Espoo Convention</b:Corporate>
      </b:Author>
    </b:Author>
    <b:Title>The Convention on Environmental Impact Assessment in a Transboundary Context</b:Title>
    <b:Year>1991</b:Year>
    <b:City>Espoo</b:City>
    <b:RefOrder>49</b:RefOrder>
  </b:Source>
  <b:Source>
    <b:Tag>Placeholder3</b:Tag>
    <b:SourceType>Report</b:SourceType>
    <b:Guid>{B7BF05BB-0D5B-4B59-A679-6CB3C2AD7710}</b:Guid>
    <b:Author>
      <b:Author>
        <b:Corporate>Aarhus Convention</b:Corporate>
      </b:Author>
    </b:Author>
    <b:Title>The Convention on Access to Information, Public Participation in Decision-Making and Access to Justice in Environmental Matters</b:Title>
    <b:Year>1998</b:Year>
    <b:City>Aarhus</b:City>
    <b:RefOrder>50</b:RefOrder>
  </b:Source>
</b:Sources>
</file>

<file path=customXml/itemProps1.xml><?xml version="1.0" encoding="utf-8"?>
<ds:datastoreItem xmlns:ds="http://schemas.openxmlformats.org/officeDocument/2006/customXml" ds:itemID="{2FB24283-D330-4799-9B72-ED3EF36F84EC}">
  <ds:schemaRefs>
    <ds:schemaRef ds:uri="http://schemas.openxmlformats.org/officeDocument/2006/bibliography"/>
  </ds:schemaRefs>
</ds:datastoreItem>
</file>

<file path=customXml/itemProps2.xml><?xml version="1.0" encoding="utf-8"?>
<ds:datastoreItem xmlns:ds="http://schemas.openxmlformats.org/officeDocument/2006/customXml" ds:itemID="{09E36B9D-C382-429D-AD07-B5D1B280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22010</Words>
  <Characters>125457</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DRAFT 0.33  DS442</vt:lpstr>
    </vt:vector>
  </TitlesOfParts>
  <Company>IAEA</Company>
  <LinksUpToDate>false</LinksUpToDate>
  <CharactersWithSpaces>147173</CharactersWithSpaces>
  <SharedDoc>false</SharedDoc>
  <HLinks>
    <vt:vector size="228" baseType="variant">
      <vt:variant>
        <vt:i4>3866748</vt:i4>
      </vt:variant>
      <vt:variant>
        <vt:i4>236</vt:i4>
      </vt:variant>
      <vt:variant>
        <vt:i4>0</vt:i4>
      </vt:variant>
      <vt:variant>
        <vt:i4>5</vt:i4>
      </vt:variant>
      <vt:variant>
        <vt:lpwstr>http://www.ospar.org/eng/html/welcome.html</vt:lpwstr>
      </vt:variant>
      <vt:variant>
        <vt:lpwstr/>
      </vt:variant>
      <vt:variant>
        <vt:i4>3211364</vt:i4>
      </vt:variant>
      <vt:variant>
        <vt:i4>227</vt:i4>
      </vt:variant>
      <vt:variant>
        <vt:i4>0</vt:i4>
      </vt:variant>
      <vt:variant>
        <vt:i4>5</vt:i4>
      </vt:variant>
      <vt:variant>
        <vt:lpwstr>https://www.gov.uk/government/policies</vt:lpwstr>
      </vt:variant>
      <vt:variant>
        <vt:lpwstr/>
      </vt:variant>
      <vt:variant>
        <vt:i4>1114164</vt:i4>
      </vt:variant>
      <vt:variant>
        <vt:i4>214</vt:i4>
      </vt:variant>
      <vt:variant>
        <vt:i4>0</vt:i4>
      </vt:variant>
      <vt:variant>
        <vt:i4>5</vt:i4>
      </vt:variant>
      <vt:variant>
        <vt:lpwstr/>
      </vt:variant>
      <vt:variant>
        <vt:lpwstr>_Toc412125039</vt:lpwstr>
      </vt:variant>
      <vt:variant>
        <vt:i4>1114164</vt:i4>
      </vt:variant>
      <vt:variant>
        <vt:i4>208</vt:i4>
      </vt:variant>
      <vt:variant>
        <vt:i4>0</vt:i4>
      </vt:variant>
      <vt:variant>
        <vt:i4>5</vt:i4>
      </vt:variant>
      <vt:variant>
        <vt:lpwstr/>
      </vt:variant>
      <vt:variant>
        <vt:lpwstr>_Toc412125038</vt:lpwstr>
      </vt:variant>
      <vt:variant>
        <vt:i4>1114164</vt:i4>
      </vt:variant>
      <vt:variant>
        <vt:i4>202</vt:i4>
      </vt:variant>
      <vt:variant>
        <vt:i4>0</vt:i4>
      </vt:variant>
      <vt:variant>
        <vt:i4>5</vt:i4>
      </vt:variant>
      <vt:variant>
        <vt:lpwstr/>
      </vt:variant>
      <vt:variant>
        <vt:lpwstr>_Toc412125037</vt:lpwstr>
      </vt:variant>
      <vt:variant>
        <vt:i4>1114164</vt:i4>
      </vt:variant>
      <vt:variant>
        <vt:i4>196</vt:i4>
      </vt:variant>
      <vt:variant>
        <vt:i4>0</vt:i4>
      </vt:variant>
      <vt:variant>
        <vt:i4>5</vt:i4>
      </vt:variant>
      <vt:variant>
        <vt:lpwstr/>
      </vt:variant>
      <vt:variant>
        <vt:lpwstr>_Toc412125036</vt:lpwstr>
      </vt:variant>
      <vt:variant>
        <vt:i4>1114164</vt:i4>
      </vt:variant>
      <vt:variant>
        <vt:i4>190</vt:i4>
      </vt:variant>
      <vt:variant>
        <vt:i4>0</vt:i4>
      </vt:variant>
      <vt:variant>
        <vt:i4>5</vt:i4>
      </vt:variant>
      <vt:variant>
        <vt:lpwstr/>
      </vt:variant>
      <vt:variant>
        <vt:lpwstr>_Toc412125035</vt:lpwstr>
      </vt:variant>
      <vt:variant>
        <vt:i4>1114164</vt:i4>
      </vt:variant>
      <vt:variant>
        <vt:i4>184</vt:i4>
      </vt:variant>
      <vt:variant>
        <vt:i4>0</vt:i4>
      </vt:variant>
      <vt:variant>
        <vt:i4>5</vt:i4>
      </vt:variant>
      <vt:variant>
        <vt:lpwstr/>
      </vt:variant>
      <vt:variant>
        <vt:lpwstr>_Toc412125034</vt:lpwstr>
      </vt:variant>
      <vt:variant>
        <vt:i4>1114164</vt:i4>
      </vt:variant>
      <vt:variant>
        <vt:i4>178</vt:i4>
      </vt:variant>
      <vt:variant>
        <vt:i4>0</vt:i4>
      </vt:variant>
      <vt:variant>
        <vt:i4>5</vt:i4>
      </vt:variant>
      <vt:variant>
        <vt:lpwstr/>
      </vt:variant>
      <vt:variant>
        <vt:lpwstr>_Toc412125033</vt:lpwstr>
      </vt:variant>
      <vt:variant>
        <vt:i4>1114164</vt:i4>
      </vt:variant>
      <vt:variant>
        <vt:i4>172</vt:i4>
      </vt:variant>
      <vt:variant>
        <vt:i4>0</vt:i4>
      </vt:variant>
      <vt:variant>
        <vt:i4>5</vt:i4>
      </vt:variant>
      <vt:variant>
        <vt:lpwstr/>
      </vt:variant>
      <vt:variant>
        <vt:lpwstr>_Toc412125032</vt:lpwstr>
      </vt:variant>
      <vt:variant>
        <vt:i4>1114164</vt:i4>
      </vt:variant>
      <vt:variant>
        <vt:i4>166</vt:i4>
      </vt:variant>
      <vt:variant>
        <vt:i4>0</vt:i4>
      </vt:variant>
      <vt:variant>
        <vt:i4>5</vt:i4>
      </vt:variant>
      <vt:variant>
        <vt:lpwstr/>
      </vt:variant>
      <vt:variant>
        <vt:lpwstr>_Toc412125031</vt:lpwstr>
      </vt:variant>
      <vt:variant>
        <vt:i4>1114164</vt:i4>
      </vt:variant>
      <vt:variant>
        <vt:i4>160</vt:i4>
      </vt:variant>
      <vt:variant>
        <vt:i4>0</vt:i4>
      </vt:variant>
      <vt:variant>
        <vt:i4>5</vt:i4>
      </vt:variant>
      <vt:variant>
        <vt:lpwstr/>
      </vt:variant>
      <vt:variant>
        <vt:lpwstr>_Toc412125030</vt:lpwstr>
      </vt:variant>
      <vt:variant>
        <vt:i4>1048628</vt:i4>
      </vt:variant>
      <vt:variant>
        <vt:i4>154</vt:i4>
      </vt:variant>
      <vt:variant>
        <vt:i4>0</vt:i4>
      </vt:variant>
      <vt:variant>
        <vt:i4>5</vt:i4>
      </vt:variant>
      <vt:variant>
        <vt:lpwstr/>
      </vt:variant>
      <vt:variant>
        <vt:lpwstr>_Toc412125029</vt:lpwstr>
      </vt:variant>
      <vt:variant>
        <vt:i4>1048628</vt:i4>
      </vt:variant>
      <vt:variant>
        <vt:i4>148</vt:i4>
      </vt:variant>
      <vt:variant>
        <vt:i4>0</vt:i4>
      </vt:variant>
      <vt:variant>
        <vt:i4>5</vt:i4>
      </vt:variant>
      <vt:variant>
        <vt:lpwstr/>
      </vt:variant>
      <vt:variant>
        <vt:lpwstr>_Toc412125028</vt:lpwstr>
      </vt:variant>
      <vt:variant>
        <vt:i4>1048628</vt:i4>
      </vt:variant>
      <vt:variant>
        <vt:i4>142</vt:i4>
      </vt:variant>
      <vt:variant>
        <vt:i4>0</vt:i4>
      </vt:variant>
      <vt:variant>
        <vt:i4>5</vt:i4>
      </vt:variant>
      <vt:variant>
        <vt:lpwstr/>
      </vt:variant>
      <vt:variant>
        <vt:lpwstr>_Toc412125027</vt:lpwstr>
      </vt:variant>
      <vt:variant>
        <vt:i4>1048628</vt:i4>
      </vt:variant>
      <vt:variant>
        <vt:i4>136</vt:i4>
      </vt:variant>
      <vt:variant>
        <vt:i4>0</vt:i4>
      </vt:variant>
      <vt:variant>
        <vt:i4>5</vt:i4>
      </vt:variant>
      <vt:variant>
        <vt:lpwstr/>
      </vt:variant>
      <vt:variant>
        <vt:lpwstr>_Toc412125026</vt:lpwstr>
      </vt:variant>
      <vt:variant>
        <vt:i4>1048628</vt:i4>
      </vt:variant>
      <vt:variant>
        <vt:i4>130</vt:i4>
      </vt:variant>
      <vt:variant>
        <vt:i4>0</vt:i4>
      </vt:variant>
      <vt:variant>
        <vt:i4>5</vt:i4>
      </vt:variant>
      <vt:variant>
        <vt:lpwstr/>
      </vt:variant>
      <vt:variant>
        <vt:lpwstr>_Toc412125025</vt:lpwstr>
      </vt:variant>
      <vt:variant>
        <vt:i4>1048628</vt:i4>
      </vt:variant>
      <vt:variant>
        <vt:i4>124</vt:i4>
      </vt:variant>
      <vt:variant>
        <vt:i4>0</vt:i4>
      </vt:variant>
      <vt:variant>
        <vt:i4>5</vt:i4>
      </vt:variant>
      <vt:variant>
        <vt:lpwstr/>
      </vt:variant>
      <vt:variant>
        <vt:lpwstr>_Toc412125024</vt:lpwstr>
      </vt:variant>
      <vt:variant>
        <vt:i4>1048628</vt:i4>
      </vt:variant>
      <vt:variant>
        <vt:i4>118</vt:i4>
      </vt:variant>
      <vt:variant>
        <vt:i4>0</vt:i4>
      </vt:variant>
      <vt:variant>
        <vt:i4>5</vt:i4>
      </vt:variant>
      <vt:variant>
        <vt:lpwstr/>
      </vt:variant>
      <vt:variant>
        <vt:lpwstr>_Toc412125023</vt:lpwstr>
      </vt:variant>
      <vt:variant>
        <vt:i4>1048628</vt:i4>
      </vt:variant>
      <vt:variant>
        <vt:i4>112</vt:i4>
      </vt:variant>
      <vt:variant>
        <vt:i4>0</vt:i4>
      </vt:variant>
      <vt:variant>
        <vt:i4>5</vt:i4>
      </vt:variant>
      <vt:variant>
        <vt:lpwstr/>
      </vt:variant>
      <vt:variant>
        <vt:lpwstr>_Toc412125022</vt:lpwstr>
      </vt:variant>
      <vt:variant>
        <vt:i4>1048628</vt:i4>
      </vt:variant>
      <vt:variant>
        <vt:i4>106</vt:i4>
      </vt:variant>
      <vt:variant>
        <vt:i4>0</vt:i4>
      </vt:variant>
      <vt:variant>
        <vt:i4>5</vt:i4>
      </vt:variant>
      <vt:variant>
        <vt:lpwstr/>
      </vt:variant>
      <vt:variant>
        <vt:lpwstr>_Toc412125021</vt:lpwstr>
      </vt:variant>
      <vt:variant>
        <vt:i4>1048628</vt:i4>
      </vt:variant>
      <vt:variant>
        <vt:i4>100</vt:i4>
      </vt:variant>
      <vt:variant>
        <vt:i4>0</vt:i4>
      </vt:variant>
      <vt:variant>
        <vt:i4>5</vt:i4>
      </vt:variant>
      <vt:variant>
        <vt:lpwstr/>
      </vt:variant>
      <vt:variant>
        <vt:lpwstr>_Toc412125020</vt:lpwstr>
      </vt:variant>
      <vt:variant>
        <vt:i4>1245236</vt:i4>
      </vt:variant>
      <vt:variant>
        <vt:i4>94</vt:i4>
      </vt:variant>
      <vt:variant>
        <vt:i4>0</vt:i4>
      </vt:variant>
      <vt:variant>
        <vt:i4>5</vt:i4>
      </vt:variant>
      <vt:variant>
        <vt:lpwstr/>
      </vt:variant>
      <vt:variant>
        <vt:lpwstr>_Toc412125019</vt:lpwstr>
      </vt:variant>
      <vt:variant>
        <vt:i4>1245236</vt:i4>
      </vt:variant>
      <vt:variant>
        <vt:i4>88</vt:i4>
      </vt:variant>
      <vt:variant>
        <vt:i4>0</vt:i4>
      </vt:variant>
      <vt:variant>
        <vt:i4>5</vt:i4>
      </vt:variant>
      <vt:variant>
        <vt:lpwstr/>
      </vt:variant>
      <vt:variant>
        <vt:lpwstr>_Toc412125018</vt:lpwstr>
      </vt:variant>
      <vt:variant>
        <vt:i4>1245236</vt:i4>
      </vt:variant>
      <vt:variant>
        <vt:i4>82</vt:i4>
      </vt:variant>
      <vt:variant>
        <vt:i4>0</vt:i4>
      </vt:variant>
      <vt:variant>
        <vt:i4>5</vt:i4>
      </vt:variant>
      <vt:variant>
        <vt:lpwstr/>
      </vt:variant>
      <vt:variant>
        <vt:lpwstr>_Toc412125017</vt:lpwstr>
      </vt:variant>
      <vt:variant>
        <vt:i4>1245236</vt:i4>
      </vt:variant>
      <vt:variant>
        <vt:i4>76</vt:i4>
      </vt:variant>
      <vt:variant>
        <vt:i4>0</vt:i4>
      </vt:variant>
      <vt:variant>
        <vt:i4>5</vt:i4>
      </vt:variant>
      <vt:variant>
        <vt:lpwstr/>
      </vt:variant>
      <vt:variant>
        <vt:lpwstr>_Toc412125016</vt:lpwstr>
      </vt:variant>
      <vt:variant>
        <vt:i4>1245236</vt:i4>
      </vt:variant>
      <vt:variant>
        <vt:i4>70</vt:i4>
      </vt:variant>
      <vt:variant>
        <vt:i4>0</vt:i4>
      </vt:variant>
      <vt:variant>
        <vt:i4>5</vt:i4>
      </vt:variant>
      <vt:variant>
        <vt:lpwstr/>
      </vt:variant>
      <vt:variant>
        <vt:lpwstr>_Toc412125015</vt:lpwstr>
      </vt:variant>
      <vt:variant>
        <vt:i4>1245236</vt:i4>
      </vt:variant>
      <vt:variant>
        <vt:i4>64</vt:i4>
      </vt:variant>
      <vt:variant>
        <vt:i4>0</vt:i4>
      </vt:variant>
      <vt:variant>
        <vt:i4>5</vt:i4>
      </vt:variant>
      <vt:variant>
        <vt:lpwstr/>
      </vt:variant>
      <vt:variant>
        <vt:lpwstr>_Toc412125014</vt:lpwstr>
      </vt:variant>
      <vt:variant>
        <vt:i4>1245236</vt:i4>
      </vt:variant>
      <vt:variant>
        <vt:i4>58</vt:i4>
      </vt:variant>
      <vt:variant>
        <vt:i4>0</vt:i4>
      </vt:variant>
      <vt:variant>
        <vt:i4>5</vt:i4>
      </vt:variant>
      <vt:variant>
        <vt:lpwstr/>
      </vt:variant>
      <vt:variant>
        <vt:lpwstr>_Toc412125013</vt:lpwstr>
      </vt:variant>
      <vt:variant>
        <vt:i4>1245236</vt:i4>
      </vt:variant>
      <vt:variant>
        <vt:i4>52</vt:i4>
      </vt:variant>
      <vt:variant>
        <vt:i4>0</vt:i4>
      </vt:variant>
      <vt:variant>
        <vt:i4>5</vt:i4>
      </vt:variant>
      <vt:variant>
        <vt:lpwstr/>
      </vt:variant>
      <vt:variant>
        <vt:lpwstr>_Toc412125012</vt:lpwstr>
      </vt:variant>
      <vt:variant>
        <vt:i4>1245236</vt:i4>
      </vt:variant>
      <vt:variant>
        <vt:i4>46</vt:i4>
      </vt:variant>
      <vt:variant>
        <vt:i4>0</vt:i4>
      </vt:variant>
      <vt:variant>
        <vt:i4>5</vt:i4>
      </vt:variant>
      <vt:variant>
        <vt:lpwstr/>
      </vt:variant>
      <vt:variant>
        <vt:lpwstr>_Toc412125011</vt:lpwstr>
      </vt:variant>
      <vt:variant>
        <vt:i4>1245236</vt:i4>
      </vt:variant>
      <vt:variant>
        <vt:i4>40</vt:i4>
      </vt:variant>
      <vt:variant>
        <vt:i4>0</vt:i4>
      </vt:variant>
      <vt:variant>
        <vt:i4>5</vt:i4>
      </vt:variant>
      <vt:variant>
        <vt:lpwstr/>
      </vt:variant>
      <vt:variant>
        <vt:lpwstr>_Toc412125010</vt:lpwstr>
      </vt:variant>
      <vt:variant>
        <vt:i4>1179700</vt:i4>
      </vt:variant>
      <vt:variant>
        <vt:i4>34</vt:i4>
      </vt:variant>
      <vt:variant>
        <vt:i4>0</vt:i4>
      </vt:variant>
      <vt:variant>
        <vt:i4>5</vt:i4>
      </vt:variant>
      <vt:variant>
        <vt:lpwstr/>
      </vt:variant>
      <vt:variant>
        <vt:lpwstr>_Toc412125009</vt:lpwstr>
      </vt:variant>
      <vt:variant>
        <vt:i4>1179700</vt:i4>
      </vt:variant>
      <vt:variant>
        <vt:i4>28</vt:i4>
      </vt:variant>
      <vt:variant>
        <vt:i4>0</vt:i4>
      </vt:variant>
      <vt:variant>
        <vt:i4>5</vt:i4>
      </vt:variant>
      <vt:variant>
        <vt:lpwstr/>
      </vt:variant>
      <vt:variant>
        <vt:lpwstr>_Toc412125008</vt:lpwstr>
      </vt:variant>
      <vt:variant>
        <vt:i4>1179700</vt:i4>
      </vt:variant>
      <vt:variant>
        <vt:i4>22</vt:i4>
      </vt:variant>
      <vt:variant>
        <vt:i4>0</vt:i4>
      </vt:variant>
      <vt:variant>
        <vt:i4>5</vt:i4>
      </vt:variant>
      <vt:variant>
        <vt:lpwstr/>
      </vt:variant>
      <vt:variant>
        <vt:lpwstr>_Toc412125007</vt:lpwstr>
      </vt:variant>
      <vt:variant>
        <vt:i4>1179700</vt:i4>
      </vt:variant>
      <vt:variant>
        <vt:i4>16</vt:i4>
      </vt:variant>
      <vt:variant>
        <vt:i4>0</vt:i4>
      </vt:variant>
      <vt:variant>
        <vt:i4>5</vt:i4>
      </vt:variant>
      <vt:variant>
        <vt:lpwstr/>
      </vt:variant>
      <vt:variant>
        <vt:lpwstr>_Toc412125006</vt:lpwstr>
      </vt:variant>
      <vt:variant>
        <vt:i4>1179700</vt:i4>
      </vt:variant>
      <vt:variant>
        <vt:i4>10</vt:i4>
      </vt:variant>
      <vt:variant>
        <vt:i4>0</vt:i4>
      </vt:variant>
      <vt:variant>
        <vt:i4>5</vt:i4>
      </vt:variant>
      <vt:variant>
        <vt:lpwstr/>
      </vt:variant>
      <vt:variant>
        <vt:lpwstr>_Toc412125005</vt:lpwstr>
      </vt:variant>
      <vt:variant>
        <vt:i4>1179700</vt:i4>
      </vt:variant>
      <vt:variant>
        <vt:i4>4</vt:i4>
      </vt:variant>
      <vt:variant>
        <vt:i4>0</vt:i4>
      </vt:variant>
      <vt:variant>
        <vt:i4>5</vt:i4>
      </vt:variant>
      <vt:variant>
        <vt:lpwstr/>
      </vt:variant>
      <vt:variant>
        <vt:lpwstr>_Toc412125004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0.33  DS442</dc:title>
  <dc:creator>IAEA</dc:creator>
  <cp:keywords>Discharges;Editorial corrections</cp:keywords>
  <cp:lastModifiedBy>TELLERIA, Diego M.</cp:lastModifiedBy>
  <cp:revision>2</cp:revision>
  <cp:lastPrinted>2016-06-06T07:02:00Z</cp:lastPrinted>
  <dcterms:created xsi:type="dcterms:W3CDTF">2016-08-10T12:43:00Z</dcterms:created>
  <dcterms:modified xsi:type="dcterms:W3CDTF">2016-08-10T12:43:00Z</dcterms:modified>
</cp:coreProperties>
</file>