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3" w:rsidRPr="0045207A" w:rsidRDefault="00347C27" w:rsidP="00347C27">
      <w:pPr>
        <w:jc w:val="right"/>
        <w:rPr>
          <w:b/>
          <w:szCs w:val="24"/>
        </w:rPr>
      </w:pPr>
      <w:r w:rsidRPr="0045207A">
        <w:rPr>
          <w:b/>
          <w:szCs w:val="24"/>
        </w:rPr>
        <w:t>DS432</w:t>
      </w:r>
    </w:p>
    <w:p w:rsidR="00347C27" w:rsidRPr="0045207A" w:rsidRDefault="00347C27" w:rsidP="00347C27">
      <w:pPr>
        <w:jc w:val="right"/>
        <w:rPr>
          <w:b/>
          <w:szCs w:val="24"/>
        </w:rPr>
      </w:pPr>
      <w:r w:rsidRPr="0045207A">
        <w:rPr>
          <w:b/>
          <w:szCs w:val="24"/>
        </w:rPr>
        <w:t xml:space="preserve">Date: </w:t>
      </w:r>
      <w:r w:rsidR="007917F1">
        <w:rPr>
          <w:b/>
          <w:szCs w:val="24"/>
        </w:rPr>
        <w:t>10</w:t>
      </w:r>
      <w:r w:rsidR="001B5449">
        <w:rPr>
          <w:b/>
          <w:szCs w:val="24"/>
        </w:rPr>
        <w:t xml:space="preserve"> August</w:t>
      </w:r>
      <w:r w:rsidR="001D7C8E">
        <w:rPr>
          <w:b/>
          <w:szCs w:val="24"/>
        </w:rPr>
        <w:t xml:space="preserve"> </w:t>
      </w:r>
      <w:r w:rsidR="00560EAD">
        <w:rPr>
          <w:b/>
          <w:szCs w:val="24"/>
        </w:rPr>
        <w:t>2016</w:t>
      </w:r>
    </w:p>
    <w:p w:rsidR="00AD3343" w:rsidRPr="0045207A" w:rsidRDefault="00AD3343" w:rsidP="00AD3343">
      <w:pPr>
        <w:pStyle w:val="BodyText"/>
        <w:rPr>
          <w:b/>
          <w:bCs/>
          <w:sz w:val="44"/>
          <w:lang w:val="en-GB"/>
        </w:rPr>
      </w:pPr>
      <w:r w:rsidRPr="0045207A">
        <w:rPr>
          <w:b/>
          <w:bCs/>
          <w:sz w:val="44"/>
          <w:lang w:val="en-GB"/>
        </w:rPr>
        <w:t>IAEA SAFETY STANDARDS</w:t>
      </w:r>
    </w:p>
    <w:p w:rsidR="00AD3343" w:rsidRPr="0045207A" w:rsidRDefault="00AD3343" w:rsidP="00AD3343">
      <w:pPr>
        <w:rPr>
          <w:b/>
          <w:bCs/>
          <w:sz w:val="28"/>
        </w:rPr>
      </w:pPr>
      <w:proofErr w:type="gramStart"/>
      <w:r w:rsidRPr="0045207A">
        <w:rPr>
          <w:b/>
          <w:bCs/>
          <w:sz w:val="28"/>
        </w:rPr>
        <w:t>for</w:t>
      </w:r>
      <w:proofErr w:type="gramEnd"/>
      <w:r w:rsidRPr="0045207A">
        <w:rPr>
          <w:b/>
          <w:bCs/>
          <w:sz w:val="28"/>
        </w:rPr>
        <w:t xml:space="preserve"> protecting people and the environment</w:t>
      </w:r>
    </w:p>
    <w:p w:rsidR="00AD3343" w:rsidRPr="0045207A" w:rsidRDefault="00AD3343" w:rsidP="00AD3343"/>
    <w:p w:rsidR="00AD3343" w:rsidRPr="0045207A" w:rsidRDefault="00AD3343" w:rsidP="00AD3343">
      <w:pPr>
        <w:rPr>
          <w:b/>
          <w:sz w:val="44"/>
        </w:rPr>
      </w:pPr>
    </w:p>
    <w:p w:rsidR="00AD3343" w:rsidRPr="0045207A" w:rsidRDefault="00AD3343" w:rsidP="00AD3343">
      <w:pPr>
        <w:rPr>
          <w:b/>
          <w:sz w:val="44"/>
        </w:rPr>
      </w:pPr>
    </w:p>
    <w:p w:rsidR="009C7917" w:rsidRPr="000A36A3" w:rsidRDefault="009C7917" w:rsidP="009C7917">
      <w:pPr>
        <w:framePr w:w="4661" w:h="1159" w:hSpace="180" w:wrap="around" w:vAnchor="text" w:hAnchor="page" w:x="5641" w:y="139"/>
        <w:pBdr>
          <w:top w:val="single" w:sz="4" w:space="1" w:color="auto"/>
          <w:left w:val="single" w:sz="4" w:space="4" w:color="auto"/>
          <w:bottom w:val="single" w:sz="4" w:space="1" w:color="auto"/>
          <w:right w:val="single" w:sz="4" w:space="4" w:color="auto"/>
        </w:pBdr>
        <w:rPr>
          <w:b/>
          <w:bCs/>
        </w:rPr>
      </w:pPr>
      <w:r w:rsidRPr="000A36A3">
        <w:rPr>
          <w:b/>
          <w:bCs/>
        </w:rPr>
        <w:t>Status: STEP 1</w:t>
      </w:r>
      <w:r>
        <w:rPr>
          <w:b/>
          <w:bCs/>
        </w:rPr>
        <w:t>2</w:t>
      </w:r>
    </w:p>
    <w:p w:rsidR="009C7917" w:rsidRPr="00D02F29" w:rsidRDefault="00D02F29" w:rsidP="00D02F29">
      <w:pPr>
        <w:framePr w:w="4661" w:h="1159" w:hSpace="180" w:wrap="around" w:vAnchor="text" w:hAnchor="page" w:x="5641" w:y="139"/>
        <w:pBdr>
          <w:top w:val="single" w:sz="4" w:space="1" w:color="auto"/>
          <w:left w:val="single" w:sz="4" w:space="4" w:color="auto"/>
          <w:bottom w:val="single" w:sz="4" w:space="1" w:color="auto"/>
          <w:right w:val="single" w:sz="4" w:space="4" w:color="auto"/>
        </w:pBdr>
        <w:rPr>
          <w:b/>
          <w:bCs/>
        </w:rPr>
      </w:pPr>
      <w:proofErr w:type="gramStart"/>
      <w:r>
        <w:rPr>
          <w:b/>
          <w:bCs/>
        </w:rPr>
        <w:t xml:space="preserve">For </w:t>
      </w:r>
      <w:r w:rsidR="007917F1">
        <w:rPr>
          <w:b/>
          <w:bCs/>
        </w:rPr>
        <w:t>review by</w:t>
      </w:r>
      <w:r>
        <w:rPr>
          <w:b/>
          <w:bCs/>
        </w:rPr>
        <w:t xml:space="preserve"> CSS.</w:t>
      </w:r>
      <w:proofErr w:type="gramEnd"/>
    </w:p>
    <w:p w:rsidR="00AD3343" w:rsidRPr="0045207A" w:rsidRDefault="00AD3343" w:rsidP="00AD3343">
      <w:pPr>
        <w:rPr>
          <w:b/>
          <w:sz w:val="44"/>
        </w:rPr>
      </w:pPr>
    </w:p>
    <w:p w:rsidR="00AD3343" w:rsidRPr="0045207A" w:rsidRDefault="00AD3343" w:rsidP="00AD3343">
      <w:pPr>
        <w:rPr>
          <w:b/>
          <w:sz w:val="44"/>
        </w:rPr>
      </w:pPr>
    </w:p>
    <w:p w:rsidR="00AD3343" w:rsidRPr="0045207A" w:rsidRDefault="00AD3343" w:rsidP="00AD3343">
      <w:pPr>
        <w:rPr>
          <w:b/>
          <w:sz w:val="44"/>
        </w:rPr>
      </w:pPr>
    </w:p>
    <w:p w:rsidR="00AD3343" w:rsidRDefault="00AD3343" w:rsidP="00AD3343">
      <w:pPr>
        <w:rPr>
          <w:b/>
          <w:sz w:val="44"/>
        </w:rPr>
      </w:pPr>
    </w:p>
    <w:p w:rsidR="00560EAD" w:rsidRPr="0045207A" w:rsidRDefault="00560EAD" w:rsidP="00AD3343">
      <w:pPr>
        <w:rPr>
          <w:b/>
          <w:sz w:val="44"/>
        </w:rPr>
      </w:pPr>
    </w:p>
    <w:p w:rsidR="00AD3343" w:rsidRPr="0045207A" w:rsidRDefault="001D7C8E" w:rsidP="00FF020F">
      <w:pPr>
        <w:jc w:val="left"/>
        <w:rPr>
          <w:b/>
          <w:bCs/>
          <w:sz w:val="44"/>
          <w:szCs w:val="44"/>
        </w:rPr>
      </w:pPr>
      <w:r>
        <w:rPr>
          <w:b/>
          <w:bCs/>
          <w:sz w:val="44"/>
          <w:szCs w:val="44"/>
        </w:rPr>
        <w:t xml:space="preserve">Radiation </w:t>
      </w:r>
      <w:r w:rsidR="00AD3343" w:rsidRPr="0045207A">
        <w:rPr>
          <w:b/>
          <w:bCs/>
          <w:sz w:val="44"/>
          <w:szCs w:val="44"/>
        </w:rPr>
        <w:t xml:space="preserve">Protection of the Public and </w:t>
      </w:r>
      <w:r w:rsidR="00A95F10" w:rsidRPr="0045207A">
        <w:rPr>
          <w:b/>
          <w:bCs/>
          <w:sz w:val="44"/>
          <w:szCs w:val="44"/>
        </w:rPr>
        <w:t xml:space="preserve">Protection of </w:t>
      </w:r>
      <w:r w:rsidR="00AD3343" w:rsidRPr="0045207A">
        <w:rPr>
          <w:b/>
          <w:bCs/>
          <w:sz w:val="44"/>
          <w:szCs w:val="44"/>
        </w:rPr>
        <w:t>the Environment</w:t>
      </w:r>
      <w:r w:rsidR="007D28DA">
        <w:rPr>
          <w:b/>
          <w:bCs/>
          <w:sz w:val="44"/>
          <w:szCs w:val="44"/>
        </w:rPr>
        <w:t xml:space="preserve"> </w:t>
      </w:r>
    </w:p>
    <w:p w:rsidR="00AD3343" w:rsidRPr="0045207A" w:rsidRDefault="00AD3343" w:rsidP="00AD3343">
      <w:pPr>
        <w:rPr>
          <w:b/>
          <w:sz w:val="44"/>
        </w:rPr>
      </w:pPr>
    </w:p>
    <w:p w:rsidR="00AD3343" w:rsidRPr="0045207A" w:rsidRDefault="00AD3343" w:rsidP="00AD3343">
      <w:r w:rsidRPr="0045207A">
        <w:t>DRAFT SAFETY GUIDE</w:t>
      </w:r>
    </w:p>
    <w:p w:rsidR="00AD3343" w:rsidRPr="0045207A" w:rsidRDefault="00AD3343" w:rsidP="00AD3343">
      <w:pPr>
        <w:rPr>
          <w:b/>
          <w:sz w:val="36"/>
        </w:rPr>
      </w:pPr>
      <w:r w:rsidRPr="0045207A">
        <w:rPr>
          <w:b/>
          <w:sz w:val="36"/>
        </w:rPr>
        <w:t>DS432</w:t>
      </w:r>
    </w:p>
    <w:p w:rsidR="00AD3343" w:rsidRPr="0045207A" w:rsidRDefault="00AD3343" w:rsidP="00AD3343">
      <w:pPr>
        <w:rPr>
          <w:b/>
          <w:sz w:val="44"/>
        </w:rPr>
      </w:pPr>
    </w:p>
    <w:p w:rsidR="00AD3343" w:rsidRPr="0045207A" w:rsidRDefault="00AD3343" w:rsidP="00AD3343">
      <w:pPr>
        <w:rPr>
          <w:b/>
        </w:rPr>
      </w:pPr>
      <w:r w:rsidRPr="0045207A">
        <w:t>New Safety Guide</w:t>
      </w:r>
    </w:p>
    <w:p w:rsidR="00AD3343" w:rsidRPr="0045207A" w:rsidRDefault="00AD3343" w:rsidP="00AD3343">
      <w:pPr>
        <w:pStyle w:val="BodyText"/>
        <w:spacing w:after="0"/>
        <w:rPr>
          <w:sz w:val="28"/>
          <w:szCs w:val="28"/>
          <w:lang w:val="en-GB"/>
        </w:rPr>
      </w:pPr>
      <w:r w:rsidRPr="0045207A">
        <w:rPr>
          <w:sz w:val="28"/>
          <w:szCs w:val="28"/>
          <w:lang w:val="en-GB"/>
        </w:rPr>
        <w:t>IAEA</w:t>
      </w:r>
    </w:p>
    <w:p w:rsidR="00AD3343" w:rsidRPr="0045207A" w:rsidRDefault="00AD3343" w:rsidP="00AD3343">
      <w:pPr>
        <w:rPr>
          <w:b/>
          <w:bCs/>
        </w:rPr>
      </w:pPr>
      <w:r w:rsidRPr="0045207A">
        <w:rPr>
          <w:b/>
          <w:bCs/>
        </w:rPr>
        <w:t>International Atomic Energy Agency</w:t>
      </w:r>
    </w:p>
    <w:p w:rsidR="00E12A42" w:rsidRPr="00FF020F" w:rsidRDefault="00E12A42">
      <w:pPr>
        <w:pStyle w:val="Foreword"/>
        <w:rPr>
          <w:lang w:val="en-GB"/>
        </w:rPr>
      </w:pPr>
      <w:r w:rsidRPr="00FF020F">
        <w:rPr>
          <w:lang w:val="en-GB"/>
        </w:rPr>
        <w:lastRenderedPageBreak/>
        <w:t>Foreword</w:t>
      </w:r>
    </w:p>
    <w:p w:rsidR="00E12A42" w:rsidRPr="00FF020F" w:rsidRDefault="00C338E2">
      <w:pPr>
        <w:pStyle w:val="BodyText"/>
        <w:rPr>
          <w:lang w:val="en-GB"/>
        </w:rPr>
      </w:pPr>
      <w:r w:rsidRPr="00FF020F">
        <w:rPr>
          <w:lang w:val="en-GB"/>
        </w:rPr>
        <w:fldChar w:fldCharType="begin"/>
      </w:r>
      <w:r w:rsidR="00E12A42" w:rsidRPr="00FF020F">
        <w:rPr>
          <w:lang w:val="en-GB"/>
        </w:rPr>
        <w:instrText xml:space="preserve"> MACROBUTTON ""[Click here to insert foreword]</w:instrText>
      </w:r>
      <w:r w:rsidRPr="00FF020F">
        <w:rPr>
          <w:lang w:val="en-GB"/>
        </w:rPr>
        <w:fldChar w:fldCharType="end"/>
      </w:r>
    </w:p>
    <w:p w:rsidR="00E12A42" w:rsidRPr="00FF020F" w:rsidRDefault="00E12A42">
      <w:pPr>
        <w:pStyle w:val="Contents"/>
        <w:rPr>
          <w:lang w:val="en-GB"/>
        </w:rPr>
      </w:pPr>
      <w:r w:rsidRPr="00FF020F">
        <w:rPr>
          <w:lang w:val="en-GB"/>
        </w:rPr>
        <w:lastRenderedPageBreak/>
        <w:t>Contents</w:t>
      </w:r>
    </w:p>
    <w:p w:rsidR="007A0243" w:rsidRPr="00FF020F" w:rsidRDefault="00C338E2">
      <w:pPr>
        <w:pStyle w:val="TOC1"/>
        <w:rPr>
          <w:rFonts w:asciiTheme="minorHAnsi" w:eastAsiaTheme="minorEastAsia" w:hAnsiTheme="minorHAnsi" w:cstheme="minorBidi"/>
          <w:bCs w:val="0"/>
          <w:iCs w:val="0"/>
          <w:caps w:val="0"/>
          <w:sz w:val="22"/>
          <w:szCs w:val="22"/>
        </w:rPr>
      </w:pPr>
      <w:r w:rsidRPr="00FF020F">
        <w:rPr>
          <w:caps w:val="0"/>
        </w:rPr>
        <w:fldChar w:fldCharType="begin"/>
      </w:r>
      <w:r w:rsidR="00E12A42" w:rsidRPr="0045207A">
        <w:rPr>
          <w:caps w:val="0"/>
        </w:rPr>
        <w:instrText xml:space="preserve"> TOC \o "1-3" \h \z \t "Annex Heading 1,4,Heading,6,Reference Heading,1,Appendix Heading 1,5" </w:instrText>
      </w:r>
      <w:r w:rsidRPr="00FF020F">
        <w:rPr>
          <w:caps w:val="0"/>
        </w:rPr>
        <w:fldChar w:fldCharType="separate"/>
      </w:r>
      <w:hyperlink w:anchor="_Toc396137861" w:history="1">
        <w:r w:rsidR="007A0243" w:rsidRPr="0045207A">
          <w:rPr>
            <w:rStyle w:val="Hyperlink"/>
          </w:rPr>
          <w:t>1.</w:t>
        </w:r>
        <w:r w:rsidR="007A0243" w:rsidRPr="00FF020F">
          <w:rPr>
            <w:rFonts w:asciiTheme="minorHAnsi" w:eastAsiaTheme="minorEastAsia" w:hAnsiTheme="minorHAnsi" w:cstheme="minorBidi"/>
            <w:bCs w:val="0"/>
            <w:iCs w:val="0"/>
            <w:caps w:val="0"/>
            <w:sz w:val="22"/>
            <w:szCs w:val="22"/>
          </w:rPr>
          <w:tab/>
        </w:r>
        <w:r w:rsidR="007A0243" w:rsidRPr="0045207A">
          <w:rPr>
            <w:rStyle w:val="Hyperlink"/>
          </w:rPr>
          <w:t>INTRODUCTION</w:t>
        </w:r>
        <w:r w:rsidR="007A0243" w:rsidRPr="0045207A">
          <w:rPr>
            <w:webHidden/>
          </w:rPr>
          <w:tab/>
        </w:r>
        <w:r w:rsidRPr="00FF020F">
          <w:rPr>
            <w:webHidden/>
          </w:rPr>
          <w:fldChar w:fldCharType="begin"/>
        </w:r>
        <w:r w:rsidR="007A0243" w:rsidRPr="0045207A">
          <w:rPr>
            <w:webHidden/>
          </w:rPr>
          <w:instrText xml:space="preserve"> PAGEREF _Toc396137861 \h </w:instrText>
        </w:r>
        <w:r w:rsidRPr="00FF020F">
          <w:rPr>
            <w:webHidden/>
          </w:rPr>
        </w:r>
        <w:r w:rsidRPr="00FF020F">
          <w:rPr>
            <w:webHidden/>
          </w:rPr>
          <w:fldChar w:fldCharType="separate"/>
        </w:r>
        <w:r w:rsidR="002A6139">
          <w:rPr>
            <w:webHidden/>
          </w:rPr>
          <w:t>1</w:t>
        </w:r>
        <w:r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2" w:history="1">
        <w:r w:rsidR="007A0243" w:rsidRPr="0045207A">
          <w:rPr>
            <w:rStyle w:val="Hyperlink"/>
          </w:rPr>
          <w:t>BACKGROUND</w:t>
        </w:r>
        <w:r w:rsidR="007A0243" w:rsidRPr="0045207A">
          <w:rPr>
            <w:webHidden/>
          </w:rPr>
          <w:tab/>
        </w:r>
        <w:r w:rsidR="00C338E2" w:rsidRPr="00FF020F">
          <w:rPr>
            <w:webHidden/>
          </w:rPr>
          <w:fldChar w:fldCharType="begin"/>
        </w:r>
        <w:r w:rsidR="007A0243" w:rsidRPr="0045207A">
          <w:rPr>
            <w:webHidden/>
          </w:rPr>
          <w:instrText xml:space="preserve"> PAGEREF _Toc396137862 \h </w:instrText>
        </w:r>
        <w:r w:rsidR="00C338E2" w:rsidRPr="00FF020F">
          <w:rPr>
            <w:webHidden/>
          </w:rPr>
        </w:r>
        <w:r w:rsidR="00C338E2" w:rsidRPr="00FF020F">
          <w:rPr>
            <w:webHidden/>
          </w:rPr>
          <w:fldChar w:fldCharType="separate"/>
        </w:r>
        <w:r w:rsidR="002A6139">
          <w:rPr>
            <w:webHidden/>
          </w:rPr>
          <w:t>1</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3" w:history="1">
        <w:r w:rsidR="007A0243" w:rsidRPr="0045207A">
          <w:rPr>
            <w:rStyle w:val="Hyperlink"/>
          </w:rPr>
          <w:t>OBJECTIVE</w:t>
        </w:r>
        <w:r w:rsidR="007A0243" w:rsidRPr="0045207A">
          <w:rPr>
            <w:webHidden/>
          </w:rPr>
          <w:tab/>
        </w:r>
        <w:r w:rsidR="00C338E2" w:rsidRPr="00FF020F">
          <w:rPr>
            <w:webHidden/>
          </w:rPr>
          <w:fldChar w:fldCharType="begin"/>
        </w:r>
        <w:r w:rsidR="007A0243" w:rsidRPr="0045207A">
          <w:rPr>
            <w:webHidden/>
          </w:rPr>
          <w:instrText xml:space="preserve"> PAGEREF _Toc396137863 \h </w:instrText>
        </w:r>
        <w:r w:rsidR="00C338E2" w:rsidRPr="00FF020F">
          <w:rPr>
            <w:webHidden/>
          </w:rPr>
        </w:r>
        <w:r w:rsidR="00C338E2" w:rsidRPr="00FF020F">
          <w:rPr>
            <w:webHidden/>
          </w:rPr>
          <w:fldChar w:fldCharType="separate"/>
        </w:r>
        <w:r w:rsidR="002A6139">
          <w:rPr>
            <w:webHidden/>
          </w:rPr>
          <w:t>2</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4" w:history="1">
        <w:r w:rsidR="007A0243" w:rsidRPr="0045207A">
          <w:rPr>
            <w:rStyle w:val="Hyperlink"/>
          </w:rPr>
          <w:t>SCOPE</w:t>
        </w:r>
        <w:r w:rsidR="00E3083B">
          <w:rPr>
            <w:rStyle w:val="Hyperlink"/>
          </w:rPr>
          <w:tab/>
        </w:r>
        <w:r w:rsidR="007A0243" w:rsidRPr="0045207A">
          <w:rPr>
            <w:webHidden/>
          </w:rPr>
          <w:tab/>
        </w:r>
        <w:r w:rsidR="00C338E2" w:rsidRPr="00FF020F">
          <w:rPr>
            <w:webHidden/>
          </w:rPr>
          <w:fldChar w:fldCharType="begin"/>
        </w:r>
        <w:r w:rsidR="007A0243" w:rsidRPr="0045207A">
          <w:rPr>
            <w:webHidden/>
          </w:rPr>
          <w:instrText xml:space="preserve"> PAGEREF _Toc396137864 \h </w:instrText>
        </w:r>
        <w:r w:rsidR="00C338E2" w:rsidRPr="00FF020F">
          <w:rPr>
            <w:webHidden/>
          </w:rPr>
        </w:r>
        <w:r w:rsidR="00C338E2" w:rsidRPr="00FF020F">
          <w:rPr>
            <w:webHidden/>
          </w:rPr>
          <w:fldChar w:fldCharType="separate"/>
        </w:r>
        <w:r w:rsidR="002A6139">
          <w:rPr>
            <w:webHidden/>
          </w:rPr>
          <w:t>2</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5" w:history="1">
        <w:r w:rsidR="007A0243" w:rsidRPr="0045207A">
          <w:rPr>
            <w:rStyle w:val="Hyperlink"/>
          </w:rPr>
          <w:t>STRUCTURE</w:t>
        </w:r>
        <w:r w:rsidR="007A0243" w:rsidRPr="0045207A">
          <w:rPr>
            <w:webHidden/>
          </w:rPr>
          <w:tab/>
        </w:r>
        <w:r w:rsidR="00C338E2" w:rsidRPr="00FF020F">
          <w:rPr>
            <w:webHidden/>
          </w:rPr>
          <w:fldChar w:fldCharType="begin"/>
        </w:r>
        <w:r w:rsidR="007A0243" w:rsidRPr="0045207A">
          <w:rPr>
            <w:webHidden/>
          </w:rPr>
          <w:instrText xml:space="preserve"> PAGEREF _Toc396137865 \h </w:instrText>
        </w:r>
        <w:r w:rsidR="00C338E2" w:rsidRPr="00FF020F">
          <w:rPr>
            <w:webHidden/>
          </w:rPr>
        </w:r>
        <w:r w:rsidR="00C338E2" w:rsidRPr="00FF020F">
          <w:rPr>
            <w:webHidden/>
          </w:rPr>
          <w:fldChar w:fldCharType="separate"/>
        </w:r>
        <w:r w:rsidR="002A6139">
          <w:rPr>
            <w:webHidden/>
          </w:rPr>
          <w:t>3</w:t>
        </w:r>
        <w:r w:rsidR="00C338E2" w:rsidRPr="00FF020F">
          <w:rPr>
            <w:webHidden/>
          </w:rPr>
          <w:fldChar w:fldCharType="end"/>
        </w:r>
      </w:hyperlink>
    </w:p>
    <w:p w:rsidR="007A0243" w:rsidRPr="00FF020F" w:rsidRDefault="007917F1">
      <w:pPr>
        <w:pStyle w:val="TOC1"/>
        <w:rPr>
          <w:rFonts w:asciiTheme="minorHAnsi" w:eastAsiaTheme="minorEastAsia" w:hAnsiTheme="minorHAnsi" w:cstheme="minorBidi"/>
          <w:bCs w:val="0"/>
          <w:iCs w:val="0"/>
          <w:caps w:val="0"/>
          <w:sz w:val="22"/>
          <w:szCs w:val="22"/>
        </w:rPr>
      </w:pPr>
      <w:hyperlink w:anchor="_Toc396137866" w:history="1">
        <w:r w:rsidR="007A0243" w:rsidRPr="0045207A">
          <w:rPr>
            <w:rStyle w:val="Hyperlink"/>
          </w:rPr>
          <w:t>2.</w:t>
        </w:r>
        <w:r w:rsidR="007A0243" w:rsidRPr="00FF020F">
          <w:rPr>
            <w:rFonts w:asciiTheme="minorHAnsi" w:eastAsiaTheme="minorEastAsia" w:hAnsiTheme="minorHAnsi" w:cstheme="minorBidi"/>
            <w:bCs w:val="0"/>
            <w:iCs w:val="0"/>
            <w:caps w:val="0"/>
            <w:sz w:val="22"/>
            <w:szCs w:val="22"/>
          </w:rPr>
          <w:tab/>
        </w:r>
        <w:r w:rsidR="007A0243" w:rsidRPr="0045207A">
          <w:rPr>
            <w:rStyle w:val="Hyperlink"/>
          </w:rPr>
          <w:t>framework for the protection of the public and the environment</w:t>
        </w:r>
        <w:r w:rsidR="007A0243" w:rsidRPr="0045207A">
          <w:rPr>
            <w:webHidden/>
          </w:rPr>
          <w:tab/>
        </w:r>
        <w:r w:rsidR="00C338E2" w:rsidRPr="00FF020F">
          <w:rPr>
            <w:webHidden/>
          </w:rPr>
          <w:fldChar w:fldCharType="begin"/>
        </w:r>
        <w:r w:rsidR="007A0243" w:rsidRPr="0045207A">
          <w:rPr>
            <w:webHidden/>
          </w:rPr>
          <w:instrText xml:space="preserve"> PAGEREF _Toc396137866 \h </w:instrText>
        </w:r>
        <w:r w:rsidR="00C338E2" w:rsidRPr="00FF020F">
          <w:rPr>
            <w:webHidden/>
          </w:rPr>
        </w:r>
        <w:r w:rsidR="00C338E2" w:rsidRPr="00FF020F">
          <w:rPr>
            <w:webHidden/>
          </w:rPr>
          <w:fldChar w:fldCharType="separate"/>
        </w:r>
        <w:r w:rsidR="002A6139">
          <w:rPr>
            <w:webHidden/>
          </w:rPr>
          <w:t>4</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7" w:history="1">
        <w:r w:rsidR="007A0243" w:rsidRPr="0045207A">
          <w:rPr>
            <w:rStyle w:val="Hyperlink"/>
          </w:rPr>
          <w:t>INTRODUCTION</w:t>
        </w:r>
        <w:r w:rsidR="007A0243" w:rsidRPr="0045207A">
          <w:rPr>
            <w:webHidden/>
          </w:rPr>
          <w:tab/>
        </w:r>
        <w:r w:rsidR="00C338E2" w:rsidRPr="00FF020F">
          <w:rPr>
            <w:webHidden/>
          </w:rPr>
          <w:fldChar w:fldCharType="begin"/>
        </w:r>
        <w:r w:rsidR="007A0243" w:rsidRPr="0045207A">
          <w:rPr>
            <w:webHidden/>
          </w:rPr>
          <w:instrText xml:space="preserve"> PAGEREF _Toc396137867 \h </w:instrText>
        </w:r>
        <w:r w:rsidR="00C338E2" w:rsidRPr="00FF020F">
          <w:rPr>
            <w:webHidden/>
          </w:rPr>
        </w:r>
        <w:r w:rsidR="00C338E2" w:rsidRPr="00FF020F">
          <w:rPr>
            <w:webHidden/>
          </w:rPr>
          <w:fldChar w:fldCharType="separate"/>
        </w:r>
        <w:r w:rsidR="002A6139">
          <w:rPr>
            <w:webHidden/>
          </w:rPr>
          <w:t>4</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8" w:history="1">
        <w:r w:rsidR="007A0243" w:rsidRPr="0045207A">
          <w:rPr>
            <w:rStyle w:val="Hyperlink"/>
          </w:rPr>
          <w:t>EXPOSURE SITUATIONS</w:t>
        </w:r>
        <w:r w:rsidR="007A0243" w:rsidRPr="0045207A">
          <w:rPr>
            <w:webHidden/>
          </w:rPr>
          <w:tab/>
        </w:r>
        <w:r w:rsidR="00C338E2" w:rsidRPr="00FF020F">
          <w:rPr>
            <w:webHidden/>
          </w:rPr>
          <w:fldChar w:fldCharType="begin"/>
        </w:r>
        <w:r w:rsidR="007A0243" w:rsidRPr="0045207A">
          <w:rPr>
            <w:webHidden/>
          </w:rPr>
          <w:instrText xml:space="preserve"> PAGEREF _Toc396137868 \h </w:instrText>
        </w:r>
        <w:r w:rsidR="00C338E2" w:rsidRPr="00FF020F">
          <w:rPr>
            <w:webHidden/>
          </w:rPr>
        </w:r>
        <w:r w:rsidR="00C338E2" w:rsidRPr="00FF020F">
          <w:rPr>
            <w:webHidden/>
          </w:rPr>
          <w:fldChar w:fldCharType="separate"/>
        </w:r>
        <w:r w:rsidR="002A6139">
          <w:rPr>
            <w:webHidden/>
          </w:rPr>
          <w:t>4</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69" w:history="1">
        <w:r w:rsidR="007A0243" w:rsidRPr="0045207A">
          <w:rPr>
            <w:rStyle w:val="Hyperlink"/>
          </w:rPr>
          <w:t>RADIATION PROTECTION PRINCIPLES</w:t>
        </w:r>
        <w:r w:rsidR="007A0243" w:rsidRPr="0045207A">
          <w:rPr>
            <w:webHidden/>
          </w:rPr>
          <w:tab/>
        </w:r>
        <w:r w:rsidR="00C338E2" w:rsidRPr="00FF020F">
          <w:rPr>
            <w:webHidden/>
          </w:rPr>
          <w:fldChar w:fldCharType="begin"/>
        </w:r>
        <w:r w:rsidR="007A0243" w:rsidRPr="0045207A">
          <w:rPr>
            <w:webHidden/>
          </w:rPr>
          <w:instrText xml:space="preserve"> PAGEREF _Toc396137869 \h </w:instrText>
        </w:r>
        <w:r w:rsidR="00C338E2" w:rsidRPr="00FF020F">
          <w:rPr>
            <w:webHidden/>
          </w:rPr>
        </w:r>
        <w:r w:rsidR="00C338E2" w:rsidRPr="00FF020F">
          <w:rPr>
            <w:webHidden/>
          </w:rPr>
          <w:fldChar w:fldCharType="separate"/>
        </w:r>
        <w:r w:rsidR="002A6139">
          <w:rPr>
            <w:webHidden/>
          </w:rPr>
          <w:t>5</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70" w:history="1">
        <w:r w:rsidR="007A0243" w:rsidRPr="0045207A">
          <w:rPr>
            <w:rStyle w:val="Hyperlink"/>
          </w:rPr>
          <w:t>RESPONSIBILITIES</w:t>
        </w:r>
        <w:r w:rsidR="007A0243" w:rsidRPr="0045207A">
          <w:rPr>
            <w:webHidden/>
          </w:rPr>
          <w:tab/>
        </w:r>
        <w:r w:rsidR="00C338E2" w:rsidRPr="00FF020F">
          <w:rPr>
            <w:webHidden/>
          </w:rPr>
          <w:fldChar w:fldCharType="begin"/>
        </w:r>
        <w:r w:rsidR="007A0243" w:rsidRPr="0045207A">
          <w:rPr>
            <w:webHidden/>
          </w:rPr>
          <w:instrText xml:space="preserve"> PAGEREF _Toc396137870 \h </w:instrText>
        </w:r>
        <w:r w:rsidR="00C338E2" w:rsidRPr="00FF020F">
          <w:rPr>
            <w:webHidden/>
          </w:rPr>
        </w:r>
        <w:r w:rsidR="00C338E2" w:rsidRPr="00FF020F">
          <w:rPr>
            <w:webHidden/>
          </w:rPr>
          <w:fldChar w:fldCharType="separate"/>
        </w:r>
        <w:r w:rsidR="002A6139">
          <w:rPr>
            <w:webHidden/>
          </w:rPr>
          <w:t>10</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71" w:history="1">
        <w:r w:rsidR="007A0243" w:rsidRPr="0045207A">
          <w:rPr>
            <w:rStyle w:val="Hyperlink"/>
          </w:rPr>
          <w:t>GRADED APPROACH</w:t>
        </w:r>
        <w:r w:rsidR="007A0243" w:rsidRPr="0045207A">
          <w:rPr>
            <w:webHidden/>
          </w:rPr>
          <w:tab/>
        </w:r>
        <w:r w:rsidR="00C338E2" w:rsidRPr="00FF020F">
          <w:rPr>
            <w:webHidden/>
          </w:rPr>
          <w:fldChar w:fldCharType="begin"/>
        </w:r>
        <w:r w:rsidR="007A0243" w:rsidRPr="0045207A">
          <w:rPr>
            <w:webHidden/>
          </w:rPr>
          <w:instrText xml:space="preserve"> PAGEREF _Toc396137871 \h </w:instrText>
        </w:r>
        <w:r w:rsidR="00C338E2" w:rsidRPr="00FF020F">
          <w:rPr>
            <w:webHidden/>
          </w:rPr>
        </w:r>
        <w:r w:rsidR="00C338E2" w:rsidRPr="00FF020F">
          <w:rPr>
            <w:webHidden/>
          </w:rPr>
          <w:fldChar w:fldCharType="separate"/>
        </w:r>
        <w:r w:rsidR="002A6139">
          <w:rPr>
            <w:webHidden/>
          </w:rPr>
          <w:t>14</w:t>
        </w:r>
        <w:r w:rsidR="00C338E2" w:rsidRPr="00FF020F">
          <w:rPr>
            <w:webHidden/>
          </w:rPr>
          <w:fldChar w:fldCharType="end"/>
        </w:r>
      </w:hyperlink>
    </w:p>
    <w:p w:rsidR="007A0243" w:rsidRPr="00FF020F" w:rsidRDefault="007917F1">
      <w:pPr>
        <w:pStyle w:val="TOC1"/>
        <w:rPr>
          <w:rFonts w:asciiTheme="minorHAnsi" w:eastAsiaTheme="minorEastAsia" w:hAnsiTheme="minorHAnsi" w:cstheme="minorBidi"/>
          <w:bCs w:val="0"/>
          <w:iCs w:val="0"/>
          <w:caps w:val="0"/>
          <w:sz w:val="22"/>
          <w:szCs w:val="22"/>
        </w:rPr>
      </w:pPr>
      <w:hyperlink w:anchor="_Toc396137872" w:history="1">
        <w:r w:rsidR="007A0243" w:rsidRPr="0045207A">
          <w:rPr>
            <w:rStyle w:val="Hyperlink"/>
          </w:rPr>
          <w:t>3.</w:t>
        </w:r>
        <w:r w:rsidR="007A0243" w:rsidRPr="00FF020F">
          <w:rPr>
            <w:rFonts w:asciiTheme="minorHAnsi" w:eastAsiaTheme="minorEastAsia" w:hAnsiTheme="minorHAnsi" w:cstheme="minorBidi"/>
            <w:bCs w:val="0"/>
            <w:iCs w:val="0"/>
            <w:caps w:val="0"/>
            <w:sz w:val="22"/>
            <w:szCs w:val="22"/>
          </w:rPr>
          <w:tab/>
        </w:r>
        <w:r w:rsidR="007A0243" w:rsidRPr="0045207A">
          <w:rPr>
            <w:rStyle w:val="Hyperlink"/>
          </w:rPr>
          <w:t>RADIATION PROTECTION OF THE PUBLIC</w:t>
        </w:r>
        <w:r w:rsidR="007A0243" w:rsidRPr="0045207A">
          <w:rPr>
            <w:webHidden/>
          </w:rPr>
          <w:tab/>
        </w:r>
        <w:r w:rsidR="00C338E2" w:rsidRPr="00FF020F">
          <w:rPr>
            <w:webHidden/>
          </w:rPr>
          <w:fldChar w:fldCharType="begin"/>
        </w:r>
        <w:r w:rsidR="007A0243" w:rsidRPr="0045207A">
          <w:rPr>
            <w:webHidden/>
          </w:rPr>
          <w:instrText xml:space="preserve"> PAGEREF _Toc396137872 \h </w:instrText>
        </w:r>
        <w:r w:rsidR="00C338E2" w:rsidRPr="00FF020F">
          <w:rPr>
            <w:webHidden/>
          </w:rPr>
        </w:r>
        <w:r w:rsidR="00C338E2" w:rsidRPr="00FF020F">
          <w:rPr>
            <w:webHidden/>
          </w:rPr>
          <w:fldChar w:fldCharType="separate"/>
        </w:r>
        <w:r w:rsidR="002A6139">
          <w:rPr>
            <w:webHidden/>
          </w:rPr>
          <w:t>16</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73" w:history="1">
        <w:r w:rsidR="007A0243" w:rsidRPr="0045207A">
          <w:rPr>
            <w:rStyle w:val="Hyperlink"/>
          </w:rPr>
          <w:t>PLANNED EXPOSURE SITUATIONS</w:t>
        </w:r>
        <w:r w:rsidR="007A0243" w:rsidRPr="0045207A">
          <w:rPr>
            <w:webHidden/>
          </w:rPr>
          <w:tab/>
        </w:r>
        <w:r w:rsidR="00C338E2" w:rsidRPr="00FF020F">
          <w:rPr>
            <w:webHidden/>
          </w:rPr>
          <w:fldChar w:fldCharType="begin"/>
        </w:r>
        <w:r w:rsidR="007A0243" w:rsidRPr="0045207A">
          <w:rPr>
            <w:webHidden/>
          </w:rPr>
          <w:instrText xml:space="preserve"> PAGEREF _Toc396137873 \h </w:instrText>
        </w:r>
        <w:r w:rsidR="00C338E2" w:rsidRPr="00FF020F">
          <w:rPr>
            <w:webHidden/>
          </w:rPr>
        </w:r>
        <w:r w:rsidR="00C338E2" w:rsidRPr="00FF020F">
          <w:rPr>
            <w:webHidden/>
          </w:rPr>
          <w:fldChar w:fldCharType="separate"/>
        </w:r>
        <w:r w:rsidR="002A6139">
          <w:rPr>
            <w:webHidden/>
          </w:rPr>
          <w:t>16</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74" w:history="1">
        <w:r w:rsidR="007A0243" w:rsidRPr="0045207A">
          <w:rPr>
            <w:rStyle w:val="Hyperlink"/>
          </w:rPr>
          <w:t>EMERGENCY EXPOSURE SITUATIONS</w:t>
        </w:r>
        <w:r w:rsidR="007A0243" w:rsidRPr="0045207A">
          <w:rPr>
            <w:webHidden/>
          </w:rPr>
          <w:tab/>
        </w:r>
        <w:r w:rsidR="00C338E2" w:rsidRPr="00FF020F">
          <w:rPr>
            <w:webHidden/>
          </w:rPr>
          <w:fldChar w:fldCharType="begin"/>
        </w:r>
        <w:r w:rsidR="007A0243" w:rsidRPr="0045207A">
          <w:rPr>
            <w:webHidden/>
          </w:rPr>
          <w:instrText xml:space="preserve"> PAGEREF _Toc396137874 \h </w:instrText>
        </w:r>
        <w:r w:rsidR="00C338E2" w:rsidRPr="00FF020F">
          <w:rPr>
            <w:webHidden/>
          </w:rPr>
        </w:r>
        <w:r w:rsidR="00C338E2" w:rsidRPr="00FF020F">
          <w:rPr>
            <w:webHidden/>
          </w:rPr>
          <w:fldChar w:fldCharType="separate"/>
        </w:r>
        <w:r w:rsidR="002A6139">
          <w:rPr>
            <w:webHidden/>
          </w:rPr>
          <w:t>27</w:t>
        </w:r>
        <w:r w:rsidR="00C338E2" w:rsidRPr="00FF020F">
          <w:rPr>
            <w:webHidden/>
          </w:rPr>
          <w:fldChar w:fldCharType="end"/>
        </w:r>
      </w:hyperlink>
    </w:p>
    <w:p w:rsidR="007A0243" w:rsidRPr="00FF020F" w:rsidRDefault="007917F1">
      <w:pPr>
        <w:pStyle w:val="TOC2"/>
        <w:rPr>
          <w:rFonts w:asciiTheme="minorHAnsi" w:eastAsiaTheme="minorEastAsia" w:hAnsiTheme="minorHAnsi" w:cstheme="minorBidi"/>
          <w:bCs w:val="0"/>
          <w:sz w:val="22"/>
          <w:szCs w:val="22"/>
        </w:rPr>
      </w:pPr>
      <w:hyperlink w:anchor="_Toc396137875" w:history="1">
        <w:r w:rsidR="007A0243" w:rsidRPr="0045207A">
          <w:rPr>
            <w:rStyle w:val="Hyperlink"/>
          </w:rPr>
          <w:t>EXISTING EXPOSURE SITUATIONS</w:t>
        </w:r>
        <w:r w:rsidR="007A0243" w:rsidRPr="0045207A">
          <w:rPr>
            <w:webHidden/>
          </w:rPr>
          <w:tab/>
        </w:r>
        <w:r w:rsidR="00C338E2" w:rsidRPr="00FF020F">
          <w:rPr>
            <w:webHidden/>
          </w:rPr>
          <w:fldChar w:fldCharType="begin"/>
        </w:r>
        <w:r w:rsidR="007A0243" w:rsidRPr="0045207A">
          <w:rPr>
            <w:webHidden/>
          </w:rPr>
          <w:instrText xml:space="preserve"> PAGEREF _Toc396137875 \h </w:instrText>
        </w:r>
        <w:r w:rsidR="00C338E2" w:rsidRPr="00FF020F">
          <w:rPr>
            <w:webHidden/>
          </w:rPr>
        </w:r>
        <w:r w:rsidR="00C338E2" w:rsidRPr="00FF020F">
          <w:rPr>
            <w:webHidden/>
          </w:rPr>
          <w:fldChar w:fldCharType="separate"/>
        </w:r>
        <w:r w:rsidR="002A6139">
          <w:rPr>
            <w:webHidden/>
          </w:rPr>
          <w:t>32</w:t>
        </w:r>
        <w:r w:rsidR="00C338E2" w:rsidRPr="00FF020F">
          <w:rPr>
            <w:webHidden/>
          </w:rPr>
          <w:fldChar w:fldCharType="end"/>
        </w:r>
      </w:hyperlink>
    </w:p>
    <w:p w:rsidR="007A0243" w:rsidRPr="00FF020F" w:rsidRDefault="007917F1">
      <w:pPr>
        <w:pStyle w:val="TOC1"/>
        <w:rPr>
          <w:rFonts w:asciiTheme="minorHAnsi" w:eastAsiaTheme="minorEastAsia" w:hAnsiTheme="minorHAnsi" w:cstheme="minorBidi"/>
          <w:bCs w:val="0"/>
          <w:iCs w:val="0"/>
          <w:caps w:val="0"/>
          <w:sz w:val="22"/>
          <w:szCs w:val="22"/>
        </w:rPr>
      </w:pPr>
      <w:hyperlink w:anchor="_Toc396137876" w:history="1">
        <w:r w:rsidR="007A0243" w:rsidRPr="0045207A">
          <w:rPr>
            <w:rStyle w:val="Hyperlink"/>
          </w:rPr>
          <w:t>4.</w:t>
        </w:r>
        <w:r w:rsidR="007A0243" w:rsidRPr="00FF020F">
          <w:rPr>
            <w:rFonts w:asciiTheme="minorHAnsi" w:eastAsiaTheme="minorEastAsia" w:hAnsiTheme="minorHAnsi" w:cstheme="minorBidi"/>
            <w:bCs w:val="0"/>
            <w:iCs w:val="0"/>
            <w:caps w:val="0"/>
            <w:sz w:val="22"/>
            <w:szCs w:val="22"/>
          </w:rPr>
          <w:tab/>
        </w:r>
        <w:r w:rsidR="007A0243" w:rsidRPr="0045207A">
          <w:rPr>
            <w:rStyle w:val="Hyperlink"/>
          </w:rPr>
          <w:t>PROTECTION OF the ENVIRONMENT</w:t>
        </w:r>
        <w:r w:rsidR="007A0243" w:rsidRPr="0045207A">
          <w:rPr>
            <w:webHidden/>
          </w:rPr>
          <w:tab/>
        </w:r>
        <w:r w:rsidR="00C338E2" w:rsidRPr="00FF020F">
          <w:rPr>
            <w:webHidden/>
          </w:rPr>
          <w:fldChar w:fldCharType="begin"/>
        </w:r>
        <w:r w:rsidR="007A0243" w:rsidRPr="0045207A">
          <w:rPr>
            <w:webHidden/>
          </w:rPr>
          <w:instrText xml:space="preserve"> PAGEREF _Toc396137876 \h </w:instrText>
        </w:r>
        <w:r w:rsidR="00C338E2" w:rsidRPr="00FF020F">
          <w:rPr>
            <w:webHidden/>
          </w:rPr>
        </w:r>
        <w:r w:rsidR="00C338E2" w:rsidRPr="00FF020F">
          <w:rPr>
            <w:webHidden/>
          </w:rPr>
          <w:fldChar w:fldCharType="separate"/>
        </w:r>
        <w:r w:rsidR="002A6139">
          <w:rPr>
            <w:webHidden/>
          </w:rPr>
          <w:t>40</w:t>
        </w:r>
        <w:r w:rsidR="00C338E2" w:rsidRPr="00FF020F">
          <w:rPr>
            <w:webHidden/>
          </w:rPr>
          <w:fldChar w:fldCharType="end"/>
        </w:r>
      </w:hyperlink>
    </w:p>
    <w:p w:rsidR="007A0243" w:rsidRPr="00FF020F" w:rsidRDefault="007917F1">
      <w:pPr>
        <w:pStyle w:val="TOC1"/>
        <w:rPr>
          <w:rFonts w:asciiTheme="minorHAnsi" w:eastAsiaTheme="minorEastAsia" w:hAnsiTheme="minorHAnsi" w:cstheme="minorBidi"/>
          <w:bCs w:val="0"/>
          <w:iCs w:val="0"/>
          <w:caps w:val="0"/>
          <w:sz w:val="22"/>
          <w:szCs w:val="22"/>
        </w:rPr>
      </w:pPr>
      <w:hyperlink w:anchor="_Toc396137877" w:history="1">
        <w:r w:rsidR="007A0243" w:rsidRPr="0045207A">
          <w:rPr>
            <w:rStyle w:val="Hyperlink"/>
          </w:rPr>
          <w:t>APPENDIX</w:t>
        </w:r>
        <w:r w:rsidR="001909AA">
          <w:rPr>
            <w:rStyle w:val="Hyperlink"/>
          </w:rPr>
          <w:t xml:space="preserve">: </w:t>
        </w:r>
        <w:r w:rsidR="001909AA" w:rsidRPr="006C448D">
          <w:rPr>
            <w:szCs w:val="24"/>
          </w:rPr>
          <w:t xml:space="preserve">FRAMEWORK FOR SOURCE-RELATED </w:t>
        </w:r>
        <w:r w:rsidR="001909AA" w:rsidRPr="0095256E">
          <w:rPr>
            <w:szCs w:val="24"/>
          </w:rPr>
          <w:t>dose c</w:t>
        </w:r>
        <w:r w:rsidR="001909AA">
          <w:rPr>
            <w:szCs w:val="24"/>
          </w:rPr>
          <w:t>onstraints and reference levels</w:t>
        </w:r>
        <w:r w:rsidR="007A0243" w:rsidRPr="0045207A">
          <w:rPr>
            <w:webHidden/>
          </w:rPr>
          <w:tab/>
        </w:r>
        <w:r w:rsidR="00C338E2" w:rsidRPr="00FF020F">
          <w:rPr>
            <w:webHidden/>
          </w:rPr>
          <w:fldChar w:fldCharType="begin"/>
        </w:r>
        <w:r w:rsidR="007A0243" w:rsidRPr="0045207A">
          <w:rPr>
            <w:webHidden/>
          </w:rPr>
          <w:instrText xml:space="preserve"> PAGEREF _Toc396137877 \h </w:instrText>
        </w:r>
        <w:r w:rsidR="00C338E2" w:rsidRPr="00FF020F">
          <w:rPr>
            <w:webHidden/>
          </w:rPr>
        </w:r>
        <w:r w:rsidR="00C338E2" w:rsidRPr="00FF020F">
          <w:rPr>
            <w:webHidden/>
          </w:rPr>
          <w:fldChar w:fldCharType="separate"/>
        </w:r>
        <w:r w:rsidR="002A6139">
          <w:rPr>
            <w:webHidden/>
          </w:rPr>
          <w:t>43</w:t>
        </w:r>
        <w:r w:rsidR="00C338E2" w:rsidRPr="00FF020F">
          <w:rPr>
            <w:webHidden/>
          </w:rPr>
          <w:fldChar w:fldCharType="end"/>
        </w:r>
      </w:hyperlink>
    </w:p>
    <w:p w:rsidR="007A0243" w:rsidRPr="00FF020F" w:rsidRDefault="007917F1">
      <w:pPr>
        <w:pStyle w:val="TOC1"/>
        <w:rPr>
          <w:rFonts w:asciiTheme="minorHAnsi" w:eastAsiaTheme="minorEastAsia" w:hAnsiTheme="minorHAnsi" w:cstheme="minorBidi"/>
          <w:bCs w:val="0"/>
          <w:iCs w:val="0"/>
          <w:caps w:val="0"/>
          <w:sz w:val="22"/>
          <w:szCs w:val="22"/>
        </w:rPr>
      </w:pPr>
      <w:hyperlink w:anchor="_Toc396137878" w:history="1">
        <w:r w:rsidR="007A0243" w:rsidRPr="0045207A">
          <w:rPr>
            <w:rStyle w:val="Hyperlink"/>
          </w:rPr>
          <w:t>REFERENCES</w:t>
        </w:r>
        <w:r w:rsidR="007A0243" w:rsidRPr="0045207A">
          <w:rPr>
            <w:webHidden/>
          </w:rPr>
          <w:tab/>
        </w:r>
        <w:r w:rsidR="00C338E2" w:rsidRPr="00FF020F">
          <w:rPr>
            <w:webHidden/>
          </w:rPr>
          <w:fldChar w:fldCharType="begin"/>
        </w:r>
        <w:r w:rsidR="007A0243" w:rsidRPr="0045207A">
          <w:rPr>
            <w:webHidden/>
          </w:rPr>
          <w:instrText xml:space="preserve"> PAGEREF _Toc396137878 \h </w:instrText>
        </w:r>
        <w:r w:rsidR="00C338E2" w:rsidRPr="00FF020F">
          <w:rPr>
            <w:webHidden/>
          </w:rPr>
        </w:r>
        <w:r w:rsidR="00C338E2" w:rsidRPr="00FF020F">
          <w:rPr>
            <w:webHidden/>
          </w:rPr>
          <w:fldChar w:fldCharType="separate"/>
        </w:r>
        <w:r w:rsidR="002A6139">
          <w:rPr>
            <w:webHidden/>
          </w:rPr>
          <w:t>44</w:t>
        </w:r>
        <w:r w:rsidR="00C338E2" w:rsidRPr="00FF020F">
          <w:rPr>
            <w:webHidden/>
          </w:rPr>
          <w:fldChar w:fldCharType="end"/>
        </w:r>
      </w:hyperlink>
    </w:p>
    <w:p w:rsidR="00E12A42" w:rsidRPr="0045207A" w:rsidRDefault="00C338E2">
      <w:pPr>
        <w:pStyle w:val="TOC3"/>
        <w:sectPr w:rsidR="00E12A42" w:rsidRPr="0045207A">
          <w:headerReference w:type="even" r:id="rId9"/>
          <w:headerReference w:type="default" r:id="rId10"/>
          <w:footerReference w:type="even" r:id="rId11"/>
          <w:footerReference w:type="default" r:id="rId12"/>
          <w:headerReference w:type="first" r:id="rId13"/>
          <w:pgSz w:w="11907" w:h="16840" w:code="9"/>
          <w:pgMar w:top="1134" w:right="1418" w:bottom="1531" w:left="1418" w:header="709" w:footer="709" w:gutter="0"/>
          <w:pgNumType w:start="1"/>
          <w:cols w:space="720"/>
          <w:docGrid w:linePitch="360"/>
        </w:sectPr>
      </w:pPr>
      <w:r w:rsidRPr="00FF020F">
        <w:rPr>
          <w:caps/>
          <w:szCs w:val="28"/>
        </w:rPr>
        <w:fldChar w:fldCharType="end"/>
      </w:r>
    </w:p>
    <w:p w:rsidR="00E12A42" w:rsidRPr="00FF020F" w:rsidRDefault="00AD3343">
      <w:pPr>
        <w:pStyle w:val="Heading1"/>
        <w:rPr>
          <w:lang w:val="en-GB"/>
        </w:rPr>
      </w:pPr>
      <w:bookmarkStart w:id="0" w:name="_Toc396137861"/>
      <w:r w:rsidRPr="00FF020F">
        <w:rPr>
          <w:lang w:val="en-GB"/>
        </w:rPr>
        <w:lastRenderedPageBreak/>
        <w:t>INTRODUCTION</w:t>
      </w:r>
      <w:bookmarkEnd w:id="0"/>
    </w:p>
    <w:p w:rsidR="00AD3343" w:rsidRPr="00FF020F" w:rsidRDefault="00AD3343" w:rsidP="00FF020F">
      <w:pPr>
        <w:pStyle w:val="Heading2"/>
        <w:numPr>
          <w:ilvl w:val="0"/>
          <w:numId w:val="0"/>
        </w:numPr>
        <w:spacing w:after="120" w:line="360" w:lineRule="auto"/>
        <w:ind w:left="567" w:hanging="567"/>
        <w:rPr>
          <w:lang w:val="en-GB"/>
        </w:rPr>
      </w:pPr>
      <w:bookmarkStart w:id="1" w:name="_Toc396137862"/>
      <w:r w:rsidRPr="00FF020F">
        <w:rPr>
          <w:lang w:val="en-GB"/>
        </w:rPr>
        <w:t>BACKGROUND</w:t>
      </w:r>
      <w:bookmarkEnd w:id="1"/>
    </w:p>
    <w:p w:rsidR="00C83160" w:rsidRDefault="00C83160" w:rsidP="00BF11EB">
      <w:pPr>
        <w:numPr>
          <w:ilvl w:val="0"/>
          <w:numId w:val="4"/>
        </w:numPr>
        <w:tabs>
          <w:tab w:val="clear" w:pos="851"/>
          <w:tab w:val="num" w:pos="709"/>
        </w:tabs>
        <w:overflowPunct/>
        <w:autoSpaceDE/>
        <w:autoSpaceDN/>
        <w:adjustRightInd/>
        <w:spacing w:after="120" w:line="360" w:lineRule="auto"/>
        <w:ind w:left="0" w:firstLine="0"/>
        <w:textAlignment w:val="auto"/>
      </w:pPr>
      <w:r w:rsidRPr="00E55A35">
        <w:t xml:space="preserve">The fundamental safety objective given in </w:t>
      </w:r>
      <w:r w:rsidR="001909AA">
        <w:t>IAEA</w:t>
      </w:r>
      <w:r w:rsidR="001909AA" w:rsidRPr="00E55A35">
        <w:t xml:space="preserve"> </w:t>
      </w:r>
      <w:r w:rsidRPr="00E55A35">
        <w:t xml:space="preserve">Safety </w:t>
      </w:r>
      <w:r w:rsidR="001909AA">
        <w:t>Standards Series</w:t>
      </w:r>
      <w:r w:rsidR="001909AA" w:rsidRPr="00E55A35">
        <w:t xml:space="preserve"> </w:t>
      </w:r>
      <w:r w:rsidRPr="00E55A35">
        <w:t>No. SF-1, Fundamental Safety Principles</w:t>
      </w:r>
      <w:r>
        <w:t xml:space="preserve"> [1</w:t>
      </w:r>
      <w:r w:rsidRPr="00E55A35">
        <w:t>] is “to protect people and the environment from harmful effects of ionizing radiation”. It applies to all circumstances that give rise to radiation risks. The fundamental safety objective is associated with ten safety principles [</w:t>
      </w:r>
      <w:r>
        <w:t>1</w:t>
      </w:r>
      <w:r w:rsidRPr="00E55A35">
        <w:t>]. Virtually all of these safety principles touch on the protection of members of the public and the environment. Principle 7 in particular states that “People and the environment, present and future, must be protected against radiation risks”.</w:t>
      </w:r>
    </w:p>
    <w:p w:rsidR="002B6AC9" w:rsidRDefault="00B9433C" w:rsidP="002B6AC9">
      <w:pPr>
        <w:numPr>
          <w:ilvl w:val="0"/>
          <w:numId w:val="4"/>
        </w:numPr>
        <w:tabs>
          <w:tab w:val="clear" w:pos="851"/>
          <w:tab w:val="num" w:pos="709"/>
        </w:tabs>
        <w:overflowPunct/>
        <w:autoSpaceDE/>
        <w:autoSpaceDN/>
        <w:adjustRightInd/>
        <w:spacing w:after="120" w:line="360" w:lineRule="auto"/>
        <w:ind w:left="0" w:firstLine="0"/>
        <w:textAlignment w:val="auto"/>
        <w:rPr>
          <w:szCs w:val="24"/>
        </w:rPr>
      </w:pPr>
      <w:r w:rsidRPr="00E55A35">
        <w:t xml:space="preserve">General requirements designed to protect members of the public and the </w:t>
      </w:r>
      <w:proofErr w:type="gramStart"/>
      <w:r w:rsidRPr="00E55A35">
        <w:t>environment from harmful effects of ionizing radiation</w:t>
      </w:r>
      <w:r>
        <w:t xml:space="preserve"> </w:t>
      </w:r>
      <w:r w:rsidRPr="00E55A35">
        <w:t>are</w:t>
      </w:r>
      <w:proofErr w:type="gramEnd"/>
      <w:r w:rsidRPr="00E55A35">
        <w:t xml:space="preserve"> </w:t>
      </w:r>
      <w:r w:rsidR="001909AA">
        <w:t>established</w:t>
      </w:r>
      <w:r w:rsidR="001909AA" w:rsidRPr="00E55A35">
        <w:t xml:space="preserve"> </w:t>
      </w:r>
      <w:r w:rsidRPr="00E55A35">
        <w:t xml:space="preserve">in </w:t>
      </w:r>
      <w:r w:rsidR="001909AA">
        <w:t>IAEA</w:t>
      </w:r>
      <w:r w:rsidR="001909AA" w:rsidRPr="00E55A35">
        <w:t xml:space="preserve"> Safety </w:t>
      </w:r>
      <w:r w:rsidR="001909AA">
        <w:t>Standards Series</w:t>
      </w:r>
      <w:r w:rsidR="001909AA" w:rsidRPr="0045207A" w:rsidDel="001909AA">
        <w:t xml:space="preserve"> </w:t>
      </w:r>
      <w:r w:rsidRPr="0045207A">
        <w:t>No.</w:t>
      </w:r>
      <w:r w:rsidR="00771FD6">
        <w:t> </w:t>
      </w:r>
      <w:r w:rsidRPr="0045207A">
        <w:t>GSR Part 3, Radiation Protection and Safety of Radiation Sources: International Basic Safet</w:t>
      </w:r>
      <w:r w:rsidR="00C83160">
        <w:t>y Standards [2</w:t>
      </w:r>
      <w:r w:rsidRPr="0045207A">
        <w:t xml:space="preserve">]. The </w:t>
      </w:r>
      <w:r w:rsidR="002334A9">
        <w:t xml:space="preserve">requirements for the </w:t>
      </w:r>
      <w:r w:rsidRPr="0045207A">
        <w:t xml:space="preserve">governmental, legal and regulatory framework to be used </w:t>
      </w:r>
      <w:r w:rsidR="002334A9">
        <w:t xml:space="preserve">are established </w:t>
      </w:r>
      <w:r w:rsidRPr="0045207A">
        <w:t xml:space="preserve">in </w:t>
      </w:r>
      <w:r w:rsidR="001909AA">
        <w:t>IAEA</w:t>
      </w:r>
      <w:r w:rsidR="001909AA" w:rsidRPr="00E55A35">
        <w:t xml:space="preserve"> Safety </w:t>
      </w:r>
      <w:r w:rsidR="001909AA">
        <w:t>Standards Series</w:t>
      </w:r>
      <w:r w:rsidR="001909AA" w:rsidRPr="0045207A" w:rsidDel="001909AA">
        <w:t xml:space="preserve"> </w:t>
      </w:r>
      <w:r w:rsidRPr="0045207A">
        <w:t>No</w:t>
      </w:r>
      <w:r w:rsidR="00B35543">
        <w:t>.</w:t>
      </w:r>
      <w:r w:rsidRPr="0045207A">
        <w:t xml:space="preserve"> GSR Part 1</w:t>
      </w:r>
      <w:r w:rsidR="001909AA">
        <w:t xml:space="preserve"> (Rev. 1)</w:t>
      </w:r>
      <w:r w:rsidRPr="0045207A">
        <w:t>, Governmental, Legal and Regulatory Framework for Safety [</w:t>
      </w:r>
      <w:r>
        <w:t>3</w:t>
      </w:r>
      <w:r w:rsidRPr="0045207A">
        <w:t xml:space="preserve">]. </w:t>
      </w:r>
      <w:r w:rsidR="006371E1">
        <w:t xml:space="preserve">The requirements for </w:t>
      </w:r>
      <w:r w:rsidR="006371E1" w:rsidRPr="005F2CCC">
        <w:rPr>
          <w:szCs w:val="24"/>
        </w:rPr>
        <w:t xml:space="preserve">emergency preparedness and response are </w:t>
      </w:r>
      <w:r w:rsidR="002334A9">
        <w:rPr>
          <w:szCs w:val="24"/>
        </w:rPr>
        <w:t>established</w:t>
      </w:r>
      <w:r w:rsidR="002334A9" w:rsidRPr="005F2CCC">
        <w:rPr>
          <w:szCs w:val="24"/>
        </w:rPr>
        <w:t xml:space="preserve"> </w:t>
      </w:r>
      <w:r w:rsidR="006371E1" w:rsidRPr="005F2CCC">
        <w:rPr>
          <w:szCs w:val="24"/>
        </w:rPr>
        <w:t xml:space="preserve">in </w:t>
      </w:r>
      <w:r w:rsidR="001909AA">
        <w:t>IAEA</w:t>
      </w:r>
      <w:r w:rsidR="001909AA" w:rsidRPr="00E55A35">
        <w:t xml:space="preserve"> Safety </w:t>
      </w:r>
      <w:r w:rsidR="001909AA">
        <w:t>Standards Series</w:t>
      </w:r>
      <w:r w:rsidR="001909AA" w:rsidRPr="005F2CCC" w:rsidDel="001909AA">
        <w:rPr>
          <w:szCs w:val="24"/>
        </w:rPr>
        <w:t xml:space="preserve"> </w:t>
      </w:r>
      <w:r w:rsidR="006371E1" w:rsidRPr="005F2CCC">
        <w:rPr>
          <w:szCs w:val="24"/>
        </w:rPr>
        <w:t xml:space="preserve">No. GSR Part 7, </w:t>
      </w:r>
      <w:r w:rsidR="005F2CCC" w:rsidRPr="005F2CCC">
        <w:rPr>
          <w:szCs w:val="24"/>
        </w:rPr>
        <w:t xml:space="preserve">Preparedness and Response for a Nuclear or Radiological </w:t>
      </w:r>
      <w:r w:rsidR="005F2CCC" w:rsidRPr="00BB1302">
        <w:rPr>
          <w:szCs w:val="24"/>
        </w:rPr>
        <w:t>Emergency [4].</w:t>
      </w:r>
      <w:r w:rsidR="006371E1" w:rsidRPr="005F2CCC">
        <w:rPr>
          <w:szCs w:val="24"/>
        </w:rPr>
        <w:t xml:space="preserve"> </w:t>
      </w:r>
    </w:p>
    <w:p w:rsidR="002B6AC9" w:rsidRPr="002B6AC9" w:rsidRDefault="00AD3343" w:rsidP="002B6AC9">
      <w:pPr>
        <w:numPr>
          <w:ilvl w:val="0"/>
          <w:numId w:val="4"/>
        </w:numPr>
        <w:tabs>
          <w:tab w:val="clear" w:pos="851"/>
          <w:tab w:val="num" w:pos="709"/>
        </w:tabs>
        <w:overflowPunct/>
        <w:autoSpaceDE/>
        <w:autoSpaceDN/>
        <w:adjustRightInd/>
        <w:spacing w:after="120" w:line="360" w:lineRule="auto"/>
        <w:ind w:left="0" w:firstLine="0"/>
        <w:textAlignment w:val="auto"/>
        <w:rPr>
          <w:szCs w:val="24"/>
        </w:rPr>
      </w:pPr>
      <w:r w:rsidRPr="0045207A">
        <w:t xml:space="preserve">Radiation protection has been largely focused on the protection of humans and, for this purpose, three basic </w:t>
      </w:r>
      <w:r w:rsidR="00CA2DB2" w:rsidRPr="00CA2DB2">
        <w:t>categories</w:t>
      </w:r>
      <w:r w:rsidRPr="0045207A">
        <w:t xml:space="preserve"> of exposure have been considered, namely occupational</w:t>
      </w:r>
      <w:r w:rsidR="0045207A" w:rsidRPr="0045207A">
        <w:t xml:space="preserve"> exposure</w:t>
      </w:r>
      <w:r w:rsidRPr="0045207A">
        <w:t>, medical</w:t>
      </w:r>
      <w:r w:rsidR="0045207A" w:rsidRPr="0045207A">
        <w:t xml:space="preserve"> exposure</w:t>
      </w:r>
      <w:r w:rsidRPr="0045207A">
        <w:t xml:space="preserve"> and public</w:t>
      </w:r>
      <w:r w:rsidR="0045207A" w:rsidRPr="0045207A">
        <w:t xml:space="preserve"> exposure</w:t>
      </w:r>
      <w:r w:rsidRPr="0045207A">
        <w:t>.</w:t>
      </w:r>
      <w:r w:rsidR="00645718" w:rsidRPr="0045207A">
        <w:t xml:space="preserve"> The relevant radiation protection requirements are defined according to the exposure situation</w:t>
      </w:r>
      <w:r w:rsidR="002334A9">
        <w:t>, namely</w:t>
      </w:r>
      <w:r w:rsidR="00DB4524">
        <w:t xml:space="preserve"> </w:t>
      </w:r>
      <w:r w:rsidR="00645718" w:rsidRPr="0045207A">
        <w:t>planned</w:t>
      </w:r>
      <w:r w:rsidR="0045207A" w:rsidRPr="0045207A">
        <w:t xml:space="preserve"> exposure situation</w:t>
      </w:r>
      <w:r w:rsidR="00FF020F">
        <w:t>s</w:t>
      </w:r>
      <w:r w:rsidR="00645718" w:rsidRPr="0045207A">
        <w:t xml:space="preserve">, emergency </w:t>
      </w:r>
      <w:r w:rsidR="0045207A" w:rsidRPr="0045207A">
        <w:t>exposure situation</w:t>
      </w:r>
      <w:r w:rsidR="00FF020F">
        <w:t>s</w:t>
      </w:r>
      <w:r w:rsidR="0045207A" w:rsidRPr="0045207A">
        <w:t xml:space="preserve"> </w:t>
      </w:r>
      <w:r w:rsidR="00645718" w:rsidRPr="0045207A">
        <w:t>or existing</w:t>
      </w:r>
      <w:r w:rsidR="0045207A" w:rsidRPr="0045207A">
        <w:t xml:space="preserve"> exposure situation</w:t>
      </w:r>
      <w:r w:rsidR="00FF020F">
        <w:t>s</w:t>
      </w:r>
      <w:r w:rsidR="00645718" w:rsidRPr="0045207A">
        <w:t xml:space="preserve">. </w:t>
      </w:r>
    </w:p>
    <w:p w:rsidR="008407E7" w:rsidRDefault="00645718" w:rsidP="002B6AC9">
      <w:pPr>
        <w:numPr>
          <w:ilvl w:val="0"/>
          <w:numId w:val="4"/>
        </w:numPr>
        <w:tabs>
          <w:tab w:val="clear" w:pos="851"/>
          <w:tab w:val="num" w:pos="709"/>
        </w:tabs>
        <w:overflowPunct/>
        <w:autoSpaceDE/>
        <w:autoSpaceDN/>
        <w:adjustRightInd/>
        <w:spacing w:after="120" w:line="360" w:lineRule="auto"/>
        <w:ind w:left="0" w:firstLine="0"/>
        <w:textAlignment w:val="auto"/>
      </w:pPr>
      <w:r w:rsidRPr="00FF020F">
        <w:t xml:space="preserve">Public exposure </w:t>
      </w:r>
      <w:r w:rsidR="00FF020F">
        <w:t xml:space="preserve">is defined as exposure incurred by members of the public due to sources in </w:t>
      </w:r>
      <w:r w:rsidRPr="0045207A">
        <w:t xml:space="preserve">planned exposure situations, emergency exposure situations </w:t>
      </w:r>
      <w:r w:rsidR="00FF020F">
        <w:t>and</w:t>
      </w:r>
      <w:r w:rsidRPr="0045207A">
        <w:t xml:space="preserve"> existing exposure situations</w:t>
      </w:r>
      <w:r w:rsidR="00BA3C35">
        <w:t>,</w:t>
      </w:r>
      <w:r w:rsidRPr="0045207A">
        <w:t xml:space="preserve"> </w:t>
      </w:r>
      <w:r w:rsidR="00FF020F">
        <w:t>excluding any</w:t>
      </w:r>
      <w:r w:rsidR="00FF020F" w:rsidRPr="00FF020F">
        <w:t xml:space="preserve"> occupational exposure </w:t>
      </w:r>
      <w:r w:rsidR="00BA3C35">
        <w:t>or</w:t>
      </w:r>
      <w:r w:rsidR="00BA3C35" w:rsidRPr="00FF020F">
        <w:t xml:space="preserve"> </w:t>
      </w:r>
      <w:r w:rsidR="00FF020F" w:rsidRPr="00FF020F">
        <w:t xml:space="preserve">medical </w:t>
      </w:r>
      <w:r w:rsidR="00FF020F" w:rsidRPr="002B6AC9">
        <w:rPr>
          <w:szCs w:val="24"/>
        </w:rPr>
        <w:t xml:space="preserve">exposure </w:t>
      </w:r>
      <w:r w:rsidRPr="002B6AC9">
        <w:rPr>
          <w:szCs w:val="24"/>
        </w:rPr>
        <w:t>[</w:t>
      </w:r>
      <w:r w:rsidR="00C83160" w:rsidRPr="002B6AC9">
        <w:rPr>
          <w:szCs w:val="24"/>
        </w:rPr>
        <w:t>2</w:t>
      </w:r>
      <w:r w:rsidRPr="002B6AC9">
        <w:rPr>
          <w:szCs w:val="24"/>
        </w:rPr>
        <w:t xml:space="preserve">]. </w:t>
      </w:r>
      <w:r w:rsidR="002B6AC9">
        <w:rPr>
          <w:szCs w:val="24"/>
        </w:rPr>
        <w:t>GSR Part 3 [2] defines a</w:t>
      </w:r>
      <w:r w:rsidR="002B6AC9" w:rsidRPr="002B6AC9">
        <w:rPr>
          <w:szCs w:val="24"/>
        </w:rPr>
        <w:t xml:space="preserve"> member of the public</w:t>
      </w:r>
      <w:r w:rsidR="002B6AC9">
        <w:rPr>
          <w:szCs w:val="24"/>
        </w:rPr>
        <w:t xml:space="preserve"> </w:t>
      </w:r>
      <w:r w:rsidR="002B6AC9" w:rsidRPr="002B6AC9">
        <w:rPr>
          <w:szCs w:val="24"/>
          <w:lang w:eastAsia="en-GB"/>
        </w:rPr>
        <w:t xml:space="preserve">as </w:t>
      </w:r>
      <w:r w:rsidR="002B6AC9">
        <w:rPr>
          <w:szCs w:val="24"/>
          <w:lang w:eastAsia="en-GB"/>
        </w:rPr>
        <w:t>“</w:t>
      </w:r>
      <w:r w:rsidR="002B6AC9" w:rsidRPr="002B6AC9">
        <w:rPr>
          <w:szCs w:val="24"/>
          <w:lang w:eastAsia="en-GB"/>
        </w:rPr>
        <w:t>any individual in the population except when subject to occupational exposure or medical exposure. For the purpose of verifying compliance with the annual dose limit for public exposure, this is the representative person</w:t>
      </w:r>
      <w:r w:rsidR="002B6AC9">
        <w:rPr>
          <w:szCs w:val="24"/>
          <w:lang w:eastAsia="en-GB"/>
        </w:rPr>
        <w:t>”</w:t>
      </w:r>
      <w:r w:rsidR="002B6AC9" w:rsidRPr="002B6AC9">
        <w:rPr>
          <w:szCs w:val="24"/>
          <w:lang w:eastAsia="en-GB"/>
        </w:rPr>
        <w:t xml:space="preserve">. </w:t>
      </w:r>
      <w:r w:rsidR="002B6AC9">
        <w:t>GSR Part 3</w:t>
      </w:r>
      <w:r w:rsidR="002B6AC9" w:rsidRPr="006C448D">
        <w:t xml:space="preserve"> </w:t>
      </w:r>
      <w:r w:rsidR="002B6AC9">
        <w:t>[2]</w:t>
      </w:r>
      <w:r w:rsidR="002B6AC9" w:rsidRPr="006C448D">
        <w:t xml:space="preserve"> defines a representative person as “an individual receiving a dose that is representative of the doses to the more highly exposed individuals in the population”. </w:t>
      </w:r>
    </w:p>
    <w:p w:rsidR="00B9433C" w:rsidRDefault="00C83160" w:rsidP="002B6AC9">
      <w:pPr>
        <w:numPr>
          <w:ilvl w:val="0"/>
          <w:numId w:val="4"/>
        </w:numPr>
        <w:tabs>
          <w:tab w:val="clear" w:pos="851"/>
          <w:tab w:val="num" w:pos="709"/>
        </w:tabs>
        <w:overflowPunct/>
        <w:autoSpaceDE/>
        <w:autoSpaceDN/>
        <w:adjustRightInd/>
        <w:spacing w:after="120" w:line="360" w:lineRule="auto"/>
        <w:ind w:left="0" w:firstLine="0"/>
        <w:textAlignment w:val="auto"/>
      </w:pPr>
      <w:r w:rsidRPr="00E55A35">
        <w:t xml:space="preserve">In recent years, consideration has also been given to the protection of the environment. </w:t>
      </w:r>
      <w:r w:rsidR="002C5222" w:rsidRPr="0045207A">
        <w:t>A</w:t>
      </w:r>
      <w:r w:rsidR="00AD3343" w:rsidRPr="0045207A">
        <w:t>s noted by the International Commission on Radiological Protection (ICRP) [</w:t>
      </w:r>
      <w:bookmarkStart w:id="2" w:name="_Ref268692651"/>
      <w:r w:rsidR="00735789" w:rsidRPr="0045207A">
        <w:t>5</w:t>
      </w:r>
      <w:bookmarkEnd w:id="2"/>
      <w:r w:rsidR="00BB1302">
        <w:t>, 6, 7</w:t>
      </w:r>
      <w:r w:rsidR="00AD3343" w:rsidRPr="0045207A">
        <w:t xml:space="preserve">], some </w:t>
      </w:r>
      <w:r w:rsidR="00AD3343" w:rsidRPr="0045207A">
        <w:lastRenderedPageBreak/>
        <w:t xml:space="preserve">national regulatory frameworks have already </w:t>
      </w:r>
      <w:r w:rsidR="00215914">
        <w:t>addressed</w:t>
      </w:r>
      <w:r w:rsidR="00215914" w:rsidRPr="0045207A">
        <w:t xml:space="preserve"> </w:t>
      </w:r>
      <w:r w:rsidR="00AD3343" w:rsidRPr="0045207A">
        <w:t xml:space="preserve">the need to be able to </w:t>
      </w:r>
      <w:r w:rsidR="00AD3343" w:rsidRPr="009A5FBA">
        <w:t xml:space="preserve">demonstrate that the environment is protected against </w:t>
      </w:r>
      <w:r w:rsidR="009972FF">
        <w:t>harmful</w:t>
      </w:r>
      <w:r w:rsidR="009972FF" w:rsidRPr="009A5FBA">
        <w:t xml:space="preserve"> </w:t>
      </w:r>
      <w:r w:rsidR="00AD3343" w:rsidRPr="009A5FBA">
        <w:t xml:space="preserve">effects of </w:t>
      </w:r>
      <w:r w:rsidR="009972FF">
        <w:t>ionizing radiation</w:t>
      </w:r>
      <w:r w:rsidR="00AD3343" w:rsidRPr="009A5FBA">
        <w:t xml:space="preserve">, irrespective of </w:t>
      </w:r>
      <w:r w:rsidR="00AD3343" w:rsidRPr="00E55A35">
        <w:t xml:space="preserve">any human connection with </w:t>
      </w:r>
      <w:r w:rsidR="00215914">
        <w:t>the environment</w:t>
      </w:r>
      <w:r w:rsidR="00AD3343" w:rsidRPr="00E55A35">
        <w:t xml:space="preserve">. The methods and criteria for radiological assessments are being developed and will continue to evolve. </w:t>
      </w:r>
    </w:p>
    <w:p w:rsidR="00AD3343" w:rsidRPr="0045207A" w:rsidRDefault="00B9433C" w:rsidP="00BF11EB">
      <w:pPr>
        <w:numPr>
          <w:ilvl w:val="0"/>
          <w:numId w:val="4"/>
        </w:numPr>
        <w:tabs>
          <w:tab w:val="clear" w:pos="851"/>
          <w:tab w:val="num" w:pos="709"/>
        </w:tabs>
        <w:overflowPunct/>
        <w:autoSpaceDE/>
        <w:autoSpaceDN/>
        <w:adjustRightInd/>
        <w:spacing w:after="120" w:line="360" w:lineRule="auto"/>
        <w:ind w:left="0" w:firstLine="0"/>
        <w:textAlignment w:val="auto"/>
      </w:pPr>
      <w:r>
        <w:t>This</w:t>
      </w:r>
      <w:r w:rsidR="00AD3343" w:rsidRPr="00E55A35">
        <w:t xml:space="preserve"> General Safety Guide provides generic guidance on the application of the requirements of</w:t>
      </w:r>
      <w:r w:rsidR="00776E9A">
        <w:t xml:space="preserve"> </w:t>
      </w:r>
      <w:r w:rsidR="008B2799">
        <w:t>GSR Part 3</w:t>
      </w:r>
      <w:r w:rsidR="00AD3343" w:rsidRPr="00E55A35">
        <w:t xml:space="preserve"> </w:t>
      </w:r>
      <w:r w:rsidR="00C05FFE">
        <w:t>[2]</w:t>
      </w:r>
      <w:r w:rsidR="002B5804" w:rsidRPr="00E55A35">
        <w:t xml:space="preserve"> </w:t>
      </w:r>
      <w:r w:rsidR="00BB1302">
        <w:t>and GSR Part 7 [4</w:t>
      </w:r>
      <w:r w:rsidR="005F2CCC">
        <w:t xml:space="preserve">] </w:t>
      </w:r>
      <w:r w:rsidR="00AD3343" w:rsidRPr="00E55A35">
        <w:t xml:space="preserve">in relation to </w:t>
      </w:r>
      <w:r w:rsidR="002C5222" w:rsidRPr="00E55A35">
        <w:t xml:space="preserve">the </w:t>
      </w:r>
      <w:r w:rsidR="00AD3343" w:rsidRPr="00E55A35">
        <w:t>protection of members of the public in planned</w:t>
      </w:r>
      <w:r w:rsidR="00DF2973" w:rsidRPr="00E55A35">
        <w:t xml:space="preserve"> exposure situations</w:t>
      </w:r>
      <w:r w:rsidR="00AD3343" w:rsidRPr="00E55A35">
        <w:t>, existing</w:t>
      </w:r>
      <w:r w:rsidR="00DF2973" w:rsidRPr="00E55A35">
        <w:t xml:space="preserve"> exposure situations</w:t>
      </w:r>
      <w:r w:rsidR="00AD3343" w:rsidRPr="00E55A35">
        <w:t xml:space="preserve"> and emergency exposure situations</w:t>
      </w:r>
      <w:r w:rsidR="00DF2973" w:rsidRPr="00E55A35">
        <w:t xml:space="preserve"> and protection of the environment </w:t>
      </w:r>
      <w:r w:rsidR="00AD3343" w:rsidRPr="00E55A35">
        <w:t xml:space="preserve">that is applicable for all facilities and activities. </w:t>
      </w:r>
    </w:p>
    <w:p w:rsidR="00AD3343" w:rsidRPr="00E55A35" w:rsidRDefault="00AD3343" w:rsidP="00E273A0">
      <w:pPr>
        <w:pStyle w:val="Heading2"/>
        <w:numPr>
          <w:ilvl w:val="0"/>
          <w:numId w:val="0"/>
        </w:numPr>
        <w:tabs>
          <w:tab w:val="num" w:pos="709"/>
        </w:tabs>
        <w:spacing w:after="120" w:line="360" w:lineRule="auto"/>
        <w:ind w:left="567" w:hanging="567"/>
        <w:rPr>
          <w:lang w:val="en-GB"/>
        </w:rPr>
      </w:pPr>
      <w:bookmarkStart w:id="3" w:name="_Toc396137863"/>
      <w:r w:rsidRPr="00E55A35">
        <w:rPr>
          <w:lang w:val="en-GB"/>
        </w:rPr>
        <w:t>OBJECTIVE</w:t>
      </w:r>
      <w:bookmarkEnd w:id="3"/>
    </w:p>
    <w:p w:rsidR="009972FF" w:rsidRDefault="00AD3343" w:rsidP="009972FF">
      <w:pPr>
        <w:numPr>
          <w:ilvl w:val="0"/>
          <w:numId w:val="4"/>
        </w:numPr>
        <w:tabs>
          <w:tab w:val="clear" w:pos="851"/>
          <w:tab w:val="num" w:pos="709"/>
        </w:tabs>
        <w:overflowPunct/>
        <w:autoSpaceDE/>
        <w:autoSpaceDN/>
        <w:adjustRightInd/>
        <w:spacing w:after="120" w:line="360" w:lineRule="auto"/>
        <w:ind w:left="0" w:firstLine="0"/>
        <w:textAlignment w:val="auto"/>
      </w:pPr>
      <w:r w:rsidRPr="0045207A">
        <w:t xml:space="preserve">The objective of this Safety Guide is to </w:t>
      </w:r>
      <w:r w:rsidR="002B5804" w:rsidRPr="0045207A">
        <w:t xml:space="preserve">provide generic guidance on the application of </w:t>
      </w:r>
      <w:r w:rsidRPr="0045207A">
        <w:t xml:space="preserve">the </w:t>
      </w:r>
      <w:r w:rsidR="002B5804" w:rsidRPr="0045207A">
        <w:t xml:space="preserve">requirements </w:t>
      </w:r>
      <w:r w:rsidR="002B5804" w:rsidRPr="00E55A35">
        <w:t>for the</w:t>
      </w:r>
      <w:r w:rsidRPr="00E55A35">
        <w:t xml:space="preserve"> protection of members of the public against radiation exposure</w:t>
      </w:r>
      <w:r w:rsidR="00DF2973" w:rsidRPr="00E55A35">
        <w:t xml:space="preserve"> and protection of the environment </w:t>
      </w:r>
      <w:r w:rsidR="009972FF">
        <w:t>established</w:t>
      </w:r>
      <w:r w:rsidR="009972FF" w:rsidRPr="0045207A">
        <w:t xml:space="preserve"> </w:t>
      </w:r>
      <w:r w:rsidRPr="0045207A">
        <w:t xml:space="preserve">in </w:t>
      </w:r>
      <w:r w:rsidR="00735789" w:rsidRPr="0045207A">
        <w:t xml:space="preserve">GSR Part 3 </w:t>
      </w:r>
      <w:r w:rsidR="00C05FFE">
        <w:t>[2]</w:t>
      </w:r>
      <w:r w:rsidR="005F2CCC" w:rsidRPr="005F2CCC">
        <w:t xml:space="preserve"> </w:t>
      </w:r>
      <w:r w:rsidR="005F2CCC">
        <w:t>and GSR Part 7 [4]</w:t>
      </w:r>
      <w:r w:rsidR="00906F90" w:rsidRPr="0045207A">
        <w:t>.</w:t>
      </w:r>
      <w:r w:rsidR="009972FF">
        <w:t xml:space="preserve"> </w:t>
      </w:r>
      <w:r w:rsidR="009972FF" w:rsidRPr="009A5FBA">
        <w:t>It is intended for use by</w:t>
      </w:r>
      <w:r w:rsidR="009972FF">
        <w:t>:</w:t>
      </w:r>
    </w:p>
    <w:p w:rsidR="009972FF" w:rsidRDefault="009972FF" w:rsidP="009972FF">
      <w:pPr>
        <w:pStyle w:val="ListParagraph"/>
        <w:numPr>
          <w:ilvl w:val="0"/>
          <w:numId w:val="18"/>
        </w:numPr>
        <w:spacing w:after="120" w:line="360" w:lineRule="auto"/>
        <w:ind w:left="0" w:firstLine="0"/>
      </w:pPr>
      <w:r>
        <w:t>G</w:t>
      </w:r>
      <w:r w:rsidRPr="009A5FBA">
        <w:t>overnments</w:t>
      </w:r>
      <w:r>
        <w:t>;</w:t>
      </w:r>
      <w:r w:rsidRPr="009A5FBA">
        <w:t xml:space="preserve"> </w:t>
      </w:r>
    </w:p>
    <w:p w:rsidR="009972FF" w:rsidRDefault="009972FF" w:rsidP="009972FF">
      <w:pPr>
        <w:pStyle w:val="ListParagraph"/>
        <w:numPr>
          <w:ilvl w:val="0"/>
          <w:numId w:val="18"/>
        </w:numPr>
        <w:spacing w:after="120" w:line="360" w:lineRule="auto"/>
        <w:ind w:left="0" w:firstLine="0"/>
        <w:jc w:val="both"/>
      </w:pPr>
      <w:r>
        <w:t>R</w:t>
      </w:r>
      <w:r w:rsidRPr="009A5FBA">
        <w:t>egulatory bodies</w:t>
      </w:r>
      <w:r>
        <w:t>;</w:t>
      </w:r>
      <w:r w:rsidRPr="009A5FBA">
        <w:t xml:space="preserve"> </w:t>
      </w:r>
    </w:p>
    <w:p w:rsidR="009972FF" w:rsidRDefault="009972FF" w:rsidP="009972FF">
      <w:pPr>
        <w:pStyle w:val="ListParagraph"/>
        <w:numPr>
          <w:ilvl w:val="0"/>
          <w:numId w:val="18"/>
        </w:numPr>
        <w:spacing w:after="120" w:line="360" w:lineRule="auto"/>
        <w:ind w:left="567" w:hanging="567"/>
        <w:jc w:val="both"/>
      </w:pPr>
      <w:r>
        <w:t>R</w:t>
      </w:r>
      <w:r w:rsidRPr="009A5FBA">
        <w:t>egistrants and licensees</w:t>
      </w:r>
      <w:r w:rsidR="00B537BF">
        <w:t>,</w:t>
      </w:r>
      <w:r>
        <w:t xml:space="preserve"> or the person or organization responsible for facilities and activities for which notification only is required in planned exposure situations;</w:t>
      </w:r>
    </w:p>
    <w:p w:rsidR="009972FF" w:rsidRPr="009A5FBA" w:rsidRDefault="009972FF" w:rsidP="009972FF">
      <w:pPr>
        <w:pStyle w:val="ListParagraph"/>
        <w:numPr>
          <w:ilvl w:val="0"/>
          <w:numId w:val="18"/>
        </w:numPr>
        <w:spacing w:after="120" w:line="360" w:lineRule="auto"/>
        <w:ind w:left="567" w:hanging="567"/>
        <w:jc w:val="both"/>
      </w:pPr>
      <w:r>
        <w:t xml:space="preserve">Those </w:t>
      </w:r>
      <w:r w:rsidRPr="009A5FBA">
        <w:t xml:space="preserve">persons or organizations designated to deal with emergency exposure </w:t>
      </w:r>
      <w:r>
        <w:t>situations or</w:t>
      </w:r>
      <w:r w:rsidRPr="009A5FBA">
        <w:t xml:space="preserve"> existing exposure situations. </w:t>
      </w:r>
    </w:p>
    <w:p w:rsidR="00AD3343" w:rsidRPr="009A5FBA" w:rsidRDefault="00AD3343" w:rsidP="00E273A0">
      <w:pPr>
        <w:pStyle w:val="Heading2"/>
        <w:numPr>
          <w:ilvl w:val="0"/>
          <w:numId w:val="0"/>
        </w:numPr>
        <w:tabs>
          <w:tab w:val="num" w:pos="709"/>
        </w:tabs>
        <w:spacing w:after="120" w:line="360" w:lineRule="auto"/>
        <w:ind w:left="567" w:hanging="567"/>
        <w:rPr>
          <w:lang w:val="en-GB"/>
        </w:rPr>
      </w:pPr>
      <w:bookmarkStart w:id="4" w:name="_Toc396137864"/>
      <w:r w:rsidRPr="009A5FBA">
        <w:rPr>
          <w:lang w:val="en-GB"/>
        </w:rPr>
        <w:t>SCOPE</w:t>
      </w:r>
      <w:bookmarkEnd w:id="4"/>
    </w:p>
    <w:p w:rsidR="009972FF" w:rsidRPr="009A5FBA" w:rsidRDefault="00AD3343" w:rsidP="00BB4496">
      <w:pPr>
        <w:numPr>
          <w:ilvl w:val="0"/>
          <w:numId w:val="4"/>
        </w:numPr>
        <w:tabs>
          <w:tab w:val="clear" w:pos="851"/>
          <w:tab w:val="num" w:pos="709"/>
        </w:tabs>
        <w:overflowPunct/>
        <w:autoSpaceDE/>
        <w:autoSpaceDN/>
        <w:adjustRightInd/>
        <w:spacing w:after="120" w:line="360" w:lineRule="auto"/>
        <w:ind w:left="0" w:firstLine="0"/>
        <w:textAlignment w:val="auto"/>
      </w:pPr>
      <w:r w:rsidRPr="009A5FBA">
        <w:t xml:space="preserve">This Safety Guide covers the </w:t>
      </w:r>
      <w:r w:rsidR="007539E7" w:rsidRPr="009A5FBA">
        <w:t xml:space="preserve">generic </w:t>
      </w:r>
      <w:r w:rsidR="00906F90" w:rsidRPr="009A5FBA">
        <w:t>application of the requirements</w:t>
      </w:r>
      <w:r w:rsidR="007539E7" w:rsidRPr="009A5FBA">
        <w:t xml:space="preserve"> given in</w:t>
      </w:r>
      <w:r w:rsidR="00776E9A">
        <w:t xml:space="preserve"> </w:t>
      </w:r>
      <w:r w:rsidR="008B2799">
        <w:t>GSR Part 3</w:t>
      </w:r>
      <w:r w:rsidR="007539E7" w:rsidRPr="00AA5698">
        <w:t xml:space="preserve"> </w:t>
      </w:r>
      <w:r w:rsidR="00C05FFE">
        <w:t>[2]</w:t>
      </w:r>
      <w:r w:rsidRPr="00AA5698">
        <w:t xml:space="preserve"> that relate to the </w:t>
      </w:r>
      <w:r w:rsidR="009A5FBA" w:rsidRPr="009A5FBA">
        <w:t xml:space="preserve">protection of the environment and </w:t>
      </w:r>
      <w:r w:rsidRPr="009A5FBA">
        <w:t xml:space="preserve">protection of members of the public </w:t>
      </w:r>
      <w:r w:rsidR="00181851">
        <w:t xml:space="preserve">in </w:t>
      </w:r>
      <w:r w:rsidRPr="009A5FBA">
        <w:t>planned</w:t>
      </w:r>
      <w:r w:rsidR="005D4D09" w:rsidRPr="009A5FBA">
        <w:t xml:space="preserve"> </w:t>
      </w:r>
      <w:r w:rsidR="009A5FBA" w:rsidRPr="009A5FBA">
        <w:t xml:space="preserve">exposure situations </w:t>
      </w:r>
      <w:r w:rsidRPr="009A5FBA">
        <w:t>and existing</w:t>
      </w:r>
      <w:r w:rsidR="005D4D09" w:rsidRPr="009A5FBA">
        <w:t xml:space="preserve"> exposure situations and in</w:t>
      </w:r>
      <w:r w:rsidR="00776E9A">
        <w:t xml:space="preserve"> </w:t>
      </w:r>
      <w:r w:rsidR="008B2799">
        <w:t>GSR Part 3</w:t>
      </w:r>
      <w:r w:rsidR="00410505" w:rsidRPr="009A5FBA">
        <w:t xml:space="preserve"> </w:t>
      </w:r>
      <w:r w:rsidR="00C05FFE">
        <w:t>[2]</w:t>
      </w:r>
      <w:r w:rsidR="005D4D09" w:rsidRPr="009A5FBA">
        <w:t xml:space="preserve"> and GSR Part 7</w:t>
      </w:r>
      <w:r w:rsidR="00410505" w:rsidRPr="009A5FBA">
        <w:t xml:space="preserve"> [</w:t>
      </w:r>
      <w:r w:rsidR="00BB1302">
        <w:t>4</w:t>
      </w:r>
      <w:r w:rsidR="00410505" w:rsidRPr="009A5FBA">
        <w:t>]</w:t>
      </w:r>
      <w:r w:rsidR="005D4D09" w:rsidRPr="009A5FBA">
        <w:t xml:space="preserve"> </w:t>
      </w:r>
      <w:r w:rsidR="00181851">
        <w:t>in</w:t>
      </w:r>
      <w:r w:rsidR="00181851" w:rsidRPr="009A5FBA">
        <w:t xml:space="preserve"> </w:t>
      </w:r>
      <w:r w:rsidR="005D4D09" w:rsidRPr="009A5FBA">
        <w:t>emergency exposure situation</w:t>
      </w:r>
      <w:r w:rsidR="009A5FBA" w:rsidRPr="009A5FBA">
        <w:t>s</w:t>
      </w:r>
      <w:r w:rsidRPr="009A5FBA">
        <w:t xml:space="preserve">. </w:t>
      </w:r>
    </w:p>
    <w:p w:rsidR="00AE1EDB" w:rsidRPr="006B293A" w:rsidRDefault="00AD3343" w:rsidP="00BF11EB">
      <w:pPr>
        <w:numPr>
          <w:ilvl w:val="0"/>
          <w:numId w:val="4"/>
        </w:numPr>
        <w:tabs>
          <w:tab w:val="clear" w:pos="851"/>
          <w:tab w:val="num" w:pos="709"/>
        </w:tabs>
        <w:overflowPunct/>
        <w:autoSpaceDE/>
        <w:autoSpaceDN/>
        <w:adjustRightInd/>
        <w:spacing w:after="120" w:line="360" w:lineRule="auto"/>
        <w:ind w:left="0" w:firstLine="0"/>
        <w:textAlignment w:val="auto"/>
      </w:pPr>
      <w:r w:rsidRPr="006B293A">
        <w:t xml:space="preserve">This Safety Guide </w:t>
      </w:r>
      <w:r w:rsidR="007539E7" w:rsidRPr="006B293A">
        <w:t xml:space="preserve">does not </w:t>
      </w:r>
      <w:r w:rsidRPr="006B293A">
        <w:t>deal with the</w:t>
      </w:r>
      <w:r w:rsidR="007539E7" w:rsidRPr="006B293A">
        <w:t xml:space="preserve"> application of the requirements in</w:t>
      </w:r>
      <w:r w:rsidR="00776E9A">
        <w:t xml:space="preserve"> </w:t>
      </w:r>
      <w:r w:rsidR="008B2799">
        <w:t>GSR Part 3</w:t>
      </w:r>
      <w:r w:rsidR="007539E7" w:rsidRPr="006B293A">
        <w:t xml:space="preserve"> </w:t>
      </w:r>
      <w:r w:rsidR="00C05FFE" w:rsidRPr="006B293A">
        <w:t>[2]</w:t>
      </w:r>
      <w:r w:rsidR="007539E7" w:rsidRPr="006B293A">
        <w:t xml:space="preserve"> to specific types of facilit</w:t>
      </w:r>
      <w:r w:rsidR="00CF6F62">
        <w:t>y</w:t>
      </w:r>
      <w:r w:rsidR="007539E7" w:rsidRPr="006B293A">
        <w:t xml:space="preserve"> or activit</w:t>
      </w:r>
      <w:r w:rsidR="00CF6F62">
        <w:t>y</w:t>
      </w:r>
      <w:r w:rsidR="005D4D09" w:rsidRPr="006B293A">
        <w:t xml:space="preserve"> </w:t>
      </w:r>
      <w:r w:rsidR="00CF6F62">
        <w:t>or in</w:t>
      </w:r>
      <w:r w:rsidR="005D4D09" w:rsidRPr="006B293A">
        <w:t xml:space="preserve"> specific exposure situations. In this context,</w:t>
      </w:r>
      <w:r w:rsidR="007539E7" w:rsidRPr="006B293A">
        <w:t xml:space="preserve"> </w:t>
      </w:r>
      <w:r w:rsidRPr="006B293A">
        <w:t xml:space="preserve">separate Safety </w:t>
      </w:r>
      <w:r w:rsidR="00B537BF">
        <w:t>Guides</w:t>
      </w:r>
      <w:r w:rsidR="00B537BF" w:rsidRPr="006B293A">
        <w:t xml:space="preserve"> </w:t>
      </w:r>
      <w:r w:rsidR="005D4D09" w:rsidRPr="006B293A">
        <w:t>exist or are under development such as</w:t>
      </w:r>
      <w:r w:rsidR="0014589C">
        <w:t>: for planned exposure situations:</w:t>
      </w:r>
      <w:r w:rsidR="005D4D09" w:rsidRPr="006B293A">
        <w:t xml:space="preserve"> </w:t>
      </w:r>
      <w:r w:rsidR="0014589C">
        <w:t>Justification of Practices, including Non-Medical Human Imaging (</w:t>
      </w:r>
      <w:r w:rsidR="00581FB9" w:rsidRPr="006B293A">
        <w:t>GSG-5</w:t>
      </w:r>
      <w:r w:rsidR="0014589C">
        <w:t>)</w:t>
      </w:r>
      <w:r w:rsidR="00581FB9" w:rsidRPr="006B293A">
        <w:t xml:space="preserve"> </w:t>
      </w:r>
      <w:r w:rsidR="00581FB9" w:rsidRPr="00167E2C">
        <w:rPr>
          <w:szCs w:val="24"/>
        </w:rPr>
        <w:t>[</w:t>
      </w:r>
      <w:r w:rsidR="00BB1302">
        <w:rPr>
          <w:szCs w:val="24"/>
        </w:rPr>
        <w:t>8</w:t>
      </w:r>
      <w:r w:rsidR="005E651D" w:rsidRPr="00167E2C">
        <w:rPr>
          <w:szCs w:val="24"/>
        </w:rPr>
        <w:t>]</w:t>
      </w:r>
      <w:r w:rsidR="00000C66" w:rsidRPr="00167E2C">
        <w:rPr>
          <w:szCs w:val="24"/>
        </w:rPr>
        <w:t xml:space="preserve">, </w:t>
      </w:r>
      <w:r w:rsidR="00167E2C">
        <w:rPr>
          <w:bCs/>
          <w:szCs w:val="24"/>
          <w:lang w:eastAsia="en-GB"/>
        </w:rPr>
        <w:t xml:space="preserve">Prospective Radiological Environmental Impact </w:t>
      </w:r>
      <w:r w:rsidR="001909AA">
        <w:rPr>
          <w:bCs/>
          <w:szCs w:val="24"/>
          <w:lang w:eastAsia="en-GB"/>
        </w:rPr>
        <w:t>for Facilities and Activities</w:t>
      </w:r>
      <w:r w:rsidR="00167E2C" w:rsidRPr="00167E2C">
        <w:rPr>
          <w:rStyle w:val="st1"/>
          <w:color w:val="545454"/>
          <w:szCs w:val="24"/>
        </w:rPr>
        <w:t xml:space="preserve"> </w:t>
      </w:r>
      <w:r w:rsidR="0014589C" w:rsidRPr="00167E2C">
        <w:rPr>
          <w:rStyle w:val="st1"/>
          <w:color w:val="545454"/>
          <w:szCs w:val="24"/>
        </w:rPr>
        <w:t>(</w:t>
      </w:r>
      <w:r w:rsidR="00581FB9" w:rsidRPr="00167E2C">
        <w:rPr>
          <w:szCs w:val="24"/>
        </w:rPr>
        <w:t>DS427</w:t>
      </w:r>
      <w:r w:rsidR="0014589C">
        <w:t>)</w:t>
      </w:r>
      <w:r w:rsidR="00581FB9" w:rsidRPr="006B293A">
        <w:t xml:space="preserve"> [</w:t>
      </w:r>
      <w:r w:rsidR="00BB1302">
        <w:t>9</w:t>
      </w:r>
      <w:r w:rsidR="00AE1EDB" w:rsidRPr="006B293A">
        <w:t xml:space="preserve">], </w:t>
      </w:r>
      <w:r w:rsidR="00FA6865" w:rsidRPr="00FA6865">
        <w:rPr>
          <w:szCs w:val="24"/>
        </w:rPr>
        <w:t xml:space="preserve">Regulatory Control of </w:t>
      </w:r>
      <w:r w:rsidR="00FA6865" w:rsidRPr="003F604C">
        <w:rPr>
          <w:szCs w:val="24"/>
        </w:rPr>
        <w:t xml:space="preserve">Radioactive Discharges to the Environment </w:t>
      </w:r>
      <w:r w:rsidR="00FA6865" w:rsidRPr="00167E2C">
        <w:rPr>
          <w:szCs w:val="24"/>
        </w:rPr>
        <w:t>(</w:t>
      </w:r>
      <w:r w:rsidR="0014589C" w:rsidRPr="00167E2C">
        <w:rPr>
          <w:szCs w:val="24"/>
        </w:rPr>
        <w:t>DS442</w:t>
      </w:r>
      <w:r w:rsidR="00FA6865" w:rsidRPr="00167E2C">
        <w:rPr>
          <w:szCs w:val="24"/>
        </w:rPr>
        <w:t>)</w:t>
      </w:r>
      <w:r w:rsidR="0014589C" w:rsidRPr="00167E2C">
        <w:rPr>
          <w:szCs w:val="24"/>
        </w:rPr>
        <w:t xml:space="preserve"> [</w:t>
      </w:r>
      <w:r w:rsidR="00BB1302">
        <w:rPr>
          <w:szCs w:val="24"/>
        </w:rPr>
        <w:t>10</w:t>
      </w:r>
      <w:r w:rsidR="0014589C" w:rsidRPr="00167E2C">
        <w:rPr>
          <w:szCs w:val="24"/>
        </w:rPr>
        <w:t xml:space="preserve">], </w:t>
      </w:r>
      <w:r w:rsidR="00FA6865" w:rsidRPr="00771FD6">
        <w:rPr>
          <w:bCs/>
          <w:lang w:eastAsia="en-GB"/>
        </w:rPr>
        <w:t>Radiation Safety for Consumer Products (</w:t>
      </w:r>
      <w:r w:rsidR="001E3541" w:rsidRPr="00771FD6">
        <w:rPr>
          <w:bCs/>
          <w:szCs w:val="24"/>
          <w:lang w:eastAsia="en-GB"/>
        </w:rPr>
        <w:t>DS458</w:t>
      </w:r>
      <w:r w:rsidR="00FA6865" w:rsidRPr="00167E2C">
        <w:rPr>
          <w:szCs w:val="24"/>
        </w:rPr>
        <w:t>)</w:t>
      </w:r>
      <w:r w:rsidR="001E3541" w:rsidRPr="00167E2C">
        <w:rPr>
          <w:szCs w:val="24"/>
        </w:rPr>
        <w:t xml:space="preserve"> [</w:t>
      </w:r>
      <w:r w:rsidR="00FA6865" w:rsidRPr="00167E2C">
        <w:rPr>
          <w:szCs w:val="24"/>
        </w:rPr>
        <w:t>1</w:t>
      </w:r>
      <w:r w:rsidR="00BB1302">
        <w:rPr>
          <w:szCs w:val="24"/>
        </w:rPr>
        <w:t>1</w:t>
      </w:r>
      <w:r w:rsidR="001E3541" w:rsidRPr="00167E2C">
        <w:rPr>
          <w:szCs w:val="24"/>
        </w:rPr>
        <w:t>]</w:t>
      </w:r>
      <w:r w:rsidR="0014589C" w:rsidRPr="00167E2C">
        <w:rPr>
          <w:szCs w:val="24"/>
        </w:rPr>
        <w:t>; for emergency exposures situations:</w:t>
      </w:r>
      <w:r w:rsidR="001E3541" w:rsidRPr="00167E2C">
        <w:rPr>
          <w:szCs w:val="24"/>
        </w:rPr>
        <w:t xml:space="preserve"> </w:t>
      </w:r>
      <w:r w:rsidR="00167E2C" w:rsidRPr="00167E2C">
        <w:rPr>
          <w:szCs w:val="24"/>
        </w:rPr>
        <w:t xml:space="preserve">Criteria for </w:t>
      </w:r>
      <w:r w:rsidR="00167E2C" w:rsidRPr="00167E2C">
        <w:rPr>
          <w:szCs w:val="24"/>
        </w:rPr>
        <w:lastRenderedPageBreak/>
        <w:t>Use in Preparedness and Response for a Nuclear or Radiological Emergency (</w:t>
      </w:r>
      <w:r w:rsidR="00000C66" w:rsidRPr="00167E2C">
        <w:rPr>
          <w:szCs w:val="24"/>
        </w:rPr>
        <w:t>GSG-2</w:t>
      </w:r>
      <w:r w:rsidR="00167E2C" w:rsidRPr="00167E2C">
        <w:rPr>
          <w:szCs w:val="24"/>
        </w:rPr>
        <w:t>)</w:t>
      </w:r>
      <w:r w:rsidR="00581FB9" w:rsidRPr="00167E2C">
        <w:rPr>
          <w:szCs w:val="24"/>
        </w:rPr>
        <w:t xml:space="preserve"> [</w:t>
      </w:r>
      <w:r w:rsidR="001E3541" w:rsidRPr="00167E2C">
        <w:rPr>
          <w:szCs w:val="24"/>
        </w:rPr>
        <w:t>1</w:t>
      </w:r>
      <w:r w:rsidR="00BB1302">
        <w:rPr>
          <w:szCs w:val="24"/>
        </w:rPr>
        <w:t>2</w:t>
      </w:r>
      <w:r w:rsidR="005E651D" w:rsidRPr="00167E2C">
        <w:rPr>
          <w:szCs w:val="24"/>
        </w:rPr>
        <w:t>]</w:t>
      </w:r>
      <w:r w:rsidR="00000C66" w:rsidRPr="00167E2C">
        <w:rPr>
          <w:szCs w:val="24"/>
        </w:rPr>
        <w:t xml:space="preserve">, </w:t>
      </w:r>
      <w:r w:rsidR="00167E2C" w:rsidRPr="00167E2C">
        <w:rPr>
          <w:rStyle w:val="Strong"/>
          <w:b w:val="0"/>
          <w:szCs w:val="24"/>
        </w:rPr>
        <w:t>Arrangements for Preparedness for a Nuclear or Radiological Emergency</w:t>
      </w:r>
      <w:r w:rsidR="00167E2C" w:rsidRPr="00167E2C">
        <w:rPr>
          <w:szCs w:val="24"/>
        </w:rPr>
        <w:t xml:space="preserve"> </w:t>
      </w:r>
      <w:r w:rsidR="00C91023">
        <w:rPr>
          <w:szCs w:val="24"/>
        </w:rPr>
        <w:t>(</w:t>
      </w:r>
      <w:r w:rsidR="005D4D09" w:rsidRPr="00167E2C">
        <w:rPr>
          <w:szCs w:val="24"/>
        </w:rPr>
        <w:t>GS-G-2.1</w:t>
      </w:r>
      <w:r w:rsidR="00C91023">
        <w:rPr>
          <w:szCs w:val="24"/>
        </w:rPr>
        <w:t>)</w:t>
      </w:r>
      <w:r w:rsidR="00581FB9" w:rsidRPr="00167E2C">
        <w:rPr>
          <w:szCs w:val="24"/>
        </w:rPr>
        <w:t xml:space="preserve"> [1</w:t>
      </w:r>
      <w:r w:rsidR="00BB1302">
        <w:rPr>
          <w:szCs w:val="24"/>
        </w:rPr>
        <w:t>3</w:t>
      </w:r>
      <w:r w:rsidR="005E651D" w:rsidRPr="00167E2C">
        <w:rPr>
          <w:szCs w:val="24"/>
        </w:rPr>
        <w:t>]</w:t>
      </w:r>
      <w:r w:rsidR="0014589C" w:rsidRPr="00167E2C">
        <w:rPr>
          <w:szCs w:val="24"/>
        </w:rPr>
        <w:t>; and for existing exposure situations:</w:t>
      </w:r>
      <w:r w:rsidR="00581FB9" w:rsidRPr="00167E2C">
        <w:rPr>
          <w:szCs w:val="24"/>
        </w:rPr>
        <w:t xml:space="preserve"> </w:t>
      </w:r>
      <w:r w:rsidR="00167E2C" w:rsidRPr="00167E2C">
        <w:rPr>
          <w:szCs w:val="24"/>
        </w:rPr>
        <w:t>Remediation Process for Areas Affected by Past Activities and Accidents (</w:t>
      </w:r>
      <w:r w:rsidR="001E3541" w:rsidRPr="006B293A">
        <w:t>WS-G-3.1</w:t>
      </w:r>
      <w:r w:rsidR="00167E2C">
        <w:t>)</w:t>
      </w:r>
      <w:r w:rsidR="001E3541" w:rsidRPr="006B293A">
        <w:t xml:space="preserve"> [1</w:t>
      </w:r>
      <w:r w:rsidR="00BB1302">
        <w:t>4</w:t>
      </w:r>
      <w:r w:rsidR="001E3541" w:rsidRPr="006B293A">
        <w:t xml:space="preserve">] </w:t>
      </w:r>
      <w:r w:rsidR="00581FB9" w:rsidRPr="00167E2C">
        <w:rPr>
          <w:szCs w:val="24"/>
        </w:rPr>
        <w:t xml:space="preserve">and </w:t>
      </w:r>
      <w:r w:rsidR="00167E2C" w:rsidRPr="00167E2C">
        <w:rPr>
          <w:szCs w:val="24"/>
        </w:rPr>
        <w:t>Protection of the Public against Exposure Indoors due to Radon and Other Natural Sources of Radiation (</w:t>
      </w:r>
      <w:r w:rsidR="00581FB9" w:rsidRPr="00167E2C">
        <w:rPr>
          <w:szCs w:val="24"/>
        </w:rPr>
        <w:t>SSG</w:t>
      </w:r>
      <w:r w:rsidR="00581FB9" w:rsidRPr="006B293A">
        <w:t>-32</w:t>
      </w:r>
      <w:r w:rsidR="00167E2C">
        <w:t>)</w:t>
      </w:r>
      <w:r w:rsidR="00581FB9" w:rsidRPr="006B293A">
        <w:t xml:space="preserve"> [1</w:t>
      </w:r>
      <w:r w:rsidR="00BB1302">
        <w:t>5</w:t>
      </w:r>
      <w:r w:rsidR="00AE1EDB" w:rsidRPr="006B293A">
        <w:t>].</w:t>
      </w:r>
      <w:r w:rsidR="001425FD" w:rsidRPr="006B293A">
        <w:t xml:space="preserve">  </w:t>
      </w:r>
    </w:p>
    <w:p w:rsidR="00AD3343" w:rsidRPr="0045207A" w:rsidRDefault="00AD3343" w:rsidP="00BF11EB">
      <w:pPr>
        <w:numPr>
          <w:ilvl w:val="0"/>
          <w:numId w:val="4"/>
        </w:numPr>
        <w:tabs>
          <w:tab w:val="clear" w:pos="851"/>
          <w:tab w:val="num" w:pos="709"/>
        </w:tabs>
        <w:overflowPunct/>
        <w:autoSpaceDE/>
        <w:autoSpaceDN/>
        <w:adjustRightInd/>
        <w:spacing w:after="120" w:line="360" w:lineRule="auto"/>
        <w:ind w:left="0" w:firstLine="0"/>
        <w:textAlignment w:val="auto"/>
      </w:pPr>
      <w:r w:rsidRPr="0045207A">
        <w:t>Occupational exposure and medical exposure are not considered in this Safety Guide</w:t>
      </w:r>
      <w:r w:rsidR="002334A9">
        <w:t xml:space="preserve">; the relevant recommendations are provided in Occupational Radiation Protection (DS453) [16] and </w:t>
      </w:r>
      <w:r w:rsidR="00CF6F62">
        <w:t xml:space="preserve">in </w:t>
      </w:r>
      <w:r w:rsidR="002334A9">
        <w:t>Radiation Protection and Safety in Medical Uses of Ionizing Radiation (DS399) [17]</w:t>
      </w:r>
      <w:r w:rsidRPr="0045207A">
        <w:t>.</w:t>
      </w:r>
    </w:p>
    <w:p w:rsidR="00AD3343" w:rsidRPr="009A5FBA" w:rsidRDefault="00AD3343" w:rsidP="00E273A0">
      <w:pPr>
        <w:pStyle w:val="Heading2"/>
        <w:numPr>
          <w:ilvl w:val="0"/>
          <w:numId w:val="0"/>
        </w:numPr>
        <w:tabs>
          <w:tab w:val="num" w:pos="709"/>
        </w:tabs>
        <w:spacing w:after="120" w:line="360" w:lineRule="auto"/>
        <w:ind w:left="567" w:hanging="567"/>
        <w:rPr>
          <w:lang w:val="en-GB"/>
        </w:rPr>
      </w:pPr>
      <w:bookmarkStart w:id="5" w:name="_Toc396137865"/>
      <w:r w:rsidRPr="009A5FBA">
        <w:rPr>
          <w:lang w:val="en-GB"/>
        </w:rPr>
        <w:t>STRUCTURE</w:t>
      </w:r>
      <w:bookmarkEnd w:id="5"/>
    </w:p>
    <w:p w:rsidR="008B2F15" w:rsidRPr="001371B3" w:rsidRDefault="00AD3343" w:rsidP="00BF11EB">
      <w:pPr>
        <w:numPr>
          <w:ilvl w:val="0"/>
          <w:numId w:val="4"/>
        </w:numPr>
        <w:tabs>
          <w:tab w:val="clear" w:pos="851"/>
          <w:tab w:val="num" w:pos="709"/>
        </w:tabs>
        <w:overflowPunct/>
        <w:autoSpaceDE/>
        <w:autoSpaceDN/>
        <w:adjustRightInd/>
        <w:spacing w:after="120" w:line="360" w:lineRule="auto"/>
        <w:ind w:left="0" w:firstLine="0"/>
        <w:textAlignment w:val="auto"/>
        <w:rPr>
          <w:szCs w:val="24"/>
        </w:rPr>
      </w:pPr>
      <w:r w:rsidRPr="009A5FBA">
        <w:t xml:space="preserve">Section 2 </w:t>
      </w:r>
      <w:r w:rsidR="00A9003F" w:rsidRPr="009A5FBA">
        <w:t xml:space="preserve">provides an overview of the basic framework for </w:t>
      </w:r>
      <w:r w:rsidRPr="0026315D">
        <w:t xml:space="preserve">radiation protection of members of the public and </w:t>
      </w:r>
      <w:r w:rsidR="0026315D">
        <w:t xml:space="preserve">protection of </w:t>
      </w:r>
      <w:r w:rsidRPr="0026315D">
        <w:t>the environment</w:t>
      </w:r>
      <w:r w:rsidRPr="009A5FBA">
        <w:t xml:space="preserve"> in </w:t>
      </w:r>
      <w:r w:rsidR="009A5FBA" w:rsidRPr="009A5FBA">
        <w:t xml:space="preserve">planned </w:t>
      </w:r>
      <w:r w:rsidRPr="009A5FBA">
        <w:t>exposure situations</w:t>
      </w:r>
      <w:r w:rsidR="009A5FBA" w:rsidRPr="009A5FBA">
        <w:t>, emergency exposure situations and existing exposure situations</w:t>
      </w:r>
      <w:r w:rsidRPr="009A5FBA">
        <w:t>. It covers</w:t>
      </w:r>
      <w:r w:rsidRPr="0045207A">
        <w:t xml:space="preserve"> the principles of justification, optimization of protection, </w:t>
      </w:r>
      <w:r w:rsidR="00A9003F" w:rsidRPr="0045207A">
        <w:t>and dose limits</w:t>
      </w:r>
      <w:r w:rsidR="005343F4">
        <w:t>, where appropriate</w:t>
      </w:r>
      <w:r w:rsidRPr="0045207A">
        <w:t xml:space="preserve">. Section 3 deals with </w:t>
      </w:r>
      <w:r w:rsidR="00474216" w:rsidRPr="0045207A">
        <w:t xml:space="preserve">practical application of the radiation protection framework </w:t>
      </w:r>
      <w:r w:rsidR="0026315D">
        <w:t xml:space="preserve">for protection of the public </w:t>
      </w:r>
      <w:r w:rsidR="00474216" w:rsidRPr="0045207A">
        <w:t xml:space="preserve">in </w:t>
      </w:r>
      <w:r w:rsidR="00CF6F62" w:rsidRPr="009A5FBA">
        <w:t xml:space="preserve">planned </w:t>
      </w:r>
      <w:r w:rsidR="00474216" w:rsidRPr="0045207A">
        <w:t>exposure situation</w:t>
      </w:r>
      <w:r w:rsidR="00CF6F62">
        <w:t>s</w:t>
      </w:r>
      <w:r w:rsidR="00CF6F62" w:rsidRPr="009A5FBA">
        <w:t>, emergency exposure situations and existing exposure situations</w:t>
      </w:r>
      <w:r w:rsidR="00474216" w:rsidRPr="0045207A">
        <w:t xml:space="preserve">. Section 4 </w:t>
      </w:r>
      <w:r w:rsidR="00A9003F" w:rsidRPr="0045207A">
        <w:t>provides guidance on meeting the requirement</w:t>
      </w:r>
      <w:r w:rsidR="006C2770">
        <w:t>s</w:t>
      </w:r>
      <w:r w:rsidR="00A9003F" w:rsidRPr="0045207A">
        <w:t xml:space="preserve"> of GSR Part 3 </w:t>
      </w:r>
      <w:r w:rsidR="00824FD8">
        <w:t xml:space="preserve">[2] </w:t>
      </w:r>
      <w:r w:rsidR="00CF6F62">
        <w:t>for</w:t>
      </w:r>
      <w:r w:rsidR="00CF6F62" w:rsidRPr="0045207A">
        <w:t xml:space="preserve"> </w:t>
      </w:r>
      <w:r w:rsidR="00A9003F" w:rsidRPr="0045207A">
        <w:t>protection of the environment</w:t>
      </w:r>
      <w:r w:rsidR="00474216" w:rsidRPr="0095256E">
        <w:rPr>
          <w:szCs w:val="24"/>
        </w:rPr>
        <w:t>.</w:t>
      </w:r>
      <w:r w:rsidR="008B2F15" w:rsidRPr="0095256E">
        <w:rPr>
          <w:szCs w:val="24"/>
        </w:rPr>
        <w:t xml:space="preserve"> </w:t>
      </w:r>
      <w:r w:rsidR="001909AA">
        <w:rPr>
          <w:szCs w:val="24"/>
        </w:rPr>
        <w:t xml:space="preserve">The </w:t>
      </w:r>
      <w:r w:rsidR="008B2F15" w:rsidRPr="0095256E">
        <w:rPr>
          <w:szCs w:val="24"/>
        </w:rPr>
        <w:t xml:space="preserve">Appendix summarizes the </w:t>
      </w:r>
      <w:r w:rsidR="007155D1">
        <w:rPr>
          <w:szCs w:val="24"/>
        </w:rPr>
        <w:t>framework</w:t>
      </w:r>
      <w:r w:rsidR="008B2F15" w:rsidRPr="0095256E">
        <w:rPr>
          <w:szCs w:val="24"/>
        </w:rPr>
        <w:t xml:space="preserve"> for dose constraints and reference levels as applicable for each exposure situation, in accordance with GSR Part 3</w:t>
      </w:r>
      <w:r w:rsidR="00824FD8" w:rsidRPr="0095256E">
        <w:rPr>
          <w:szCs w:val="24"/>
        </w:rPr>
        <w:t xml:space="preserve"> [2].</w:t>
      </w:r>
    </w:p>
    <w:p w:rsidR="00AD3343" w:rsidRPr="00DB40DD" w:rsidRDefault="00AD3343" w:rsidP="00BF11EB">
      <w:pPr>
        <w:numPr>
          <w:ilvl w:val="0"/>
          <w:numId w:val="4"/>
        </w:numPr>
        <w:tabs>
          <w:tab w:val="clear" w:pos="851"/>
          <w:tab w:val="num" w:pos="709"/>
        </w:tabs>
        <w:overflowPunct/>
        <w:autoSpaceDE/>
        <w:autoSpaceDN/>
        <w:adjustRightInd/>
        <w:spacing w:after="120" w:line="360" w:lineRule="auto"/>
        <w:ind w:left="0" w:firstLine="0"/>
        <w:textAlignment w:val="auto"/>
      </w:pPr>
      <w:r w:rsidRPr="0045207A">
        <w:br w:type="page"/>
      </w:r>
    </w:p>
    <w:p w:rsidR="00AD3343" w:rsidRPr="00DB40DD" w:rsidRDefault="00AD3343" w:rsidP="00DB40DD">
      <w:pPr>
        <w:pStyle w:val="Heading1"/>
        <w:spacing w:after="120" w:line="360" w:lineRule="auto"/>
        <w:rPr>
          <w:lang w:val="en-GB"/>
        </w:rPr>
      </w:pPr>
      <w:bookmarkStart w:id="6" w:name="_Toc396137866"/>
      <w:r w:rsidRPr="00DB40DD">
        <w:rPr>
          <w:lang w:val="en-GB"/>
        </w:rPr>
        <w:lastRenderedPageBreak/>
        <w:t>framework</w:t>
      </w:r>
      <w:r w:rsidR="00967AF9" w:rsidRPr="00DB40DD">
        <w:rPr>
          <w:lang w:val="en-GB"/>
        </w:rPr>
        <w:t xml:space="preserve"> for the protection of the public and </w:t>
      </w:r>
      <w:r w:rsidR="001909AA">
        <w:rPr>
          <w:lang w:val="en-GB"/>
        </w:rPr>
        <w:t xml:space="preserve">PROTECTION OF </w:t>
      </w:r>
      <w:r w:rsidR="00967AF9" w:rsidRPr="00DB40DD">
        <w:rPr>
          <w:lang w:val="en-GB"/>
        </w:rPr>
        <w:t>the environment</w:t>
      </w:r>
      <w:bookmarkEnd w:id="6"/>
    </w:p>
    <w:p w:rsidR="007A0243" w:rsidRPr="00DB40DD" w:rsidRDefault="007A0243" w:rsidP="00DB40DD">
      <w:pPr>
        <w:pStyle w:val="Heading2"/>
        <w:numPr>
          <w:ilvl w:val="0"/>
          <w:numId w:val="0"/>
        </w:numPr>
        <w:spacing w:after="120" w:line="360" w:lineRule="auto"/>
        <w:ind w:left="567" w:hanging="567"/>
        <w:rPr>
          <w:lang w:val="en-GB"/>
        </w:rPr>
      </w:pPr>
      <w:bookmarkStart w:id="7" w:name="_Toc396137867"/>
      <w:r w:rsidRPr="00DB40DD">
        <w:rPr>
          <w:lang w:val="en-GB"/>
        </w:rPr>
        <w:t>INTRODUCTION</w:t>
      </w:r>
      <w:bookmarkEnd w:id="7"/>
    </w:p>
    <w:p w:rsidR="003544D3" w:rsidRPr="00DB40DD" w:rsidRDefault="007A0243" w:rsidP="00BF11EB">
      <w:pPr>
        <w:pStyle w:val="BodyText"/>
        <w:numPr>
          <w:ilvl w:val="0"/>
          <w:numId w:val="6"/>
        </w:numPr>
        <w:tabs>
          <w:tab w:val="left" w:pos="709"/>
        </w:tabs>
        <w:spacing w:after="120" w:line="360" w:lineRule="auto"/>
        <w:ind w:left="0" w:firstLine="0"/>
        <w:rPr>
          <w:b/>
          <w:lang w:val="en-GB"/>
        </w:rPr>
      </w:pPr>
      <w:r w:rsidRPr="00DB40DD">
        <w:rPr>
          <w:lang w:val="en-GB"/>
        </w:rPr>
        <w:t xml:space="preserve">Paragraph 2.15 of GSR Part 3 </w:t>
      </w:r>
      <w:r w:rsidR="00C05FFE">
        <w:rPr>
          <w:lang w:val="en-GB"/>
        </w:rPr>
        <w:t>[2]</w:t>
      </w:r>
      <w:r w:rsidRPr="00DB40DD">
        <w:rPr>
          <w:lang w:val="en-GB"/>
        </w:rPr>
        <w:t xml:space="preserve"> requires the scope of applicab</w:t>
      </w:r>
      <w:r w:rsidR="00307E77">
        <w:rPr>
          <w:lang w:val="en-GB"/>
        </w:rPr>
        <w:t>i</w:t>
      </w:r>
      <w:r w:rsidRPr="00DB40DD">
        <w:rPr>
          <w:lang w:val="en-GB"/>
        </w:rPr>
        <w:t>l</w:t>
      </w:r>
      <w:r w:rsidR="00307E77">
        <w:rPr>
          <w:lang w:val="en-GB"/>
        </w:rPr>
        <w:t>ity of the</w:t>
      </w:r>
      <w:r w:rsidRPr="00DB40DD">
        <w:rPr>
          <w:lang w:val="en-GB"/>
        </w:rPr>
        <w:t xml:space="preserve"> </w:t>
      </w:r>
      <w:r w:rsidR="00307E77">
        <w:rPr>
          <w:lang w:val="en-GB"/>
        </w:rPr>
        <w:t>legal</w:t>
      </w:r>
      <w:r w:rsidR="00307E77" w:rsidRPr="00DB40DD">
        <w:rPr>
          <w:lang w:val="en-GB"/>
        </w:rPr>
        <w:t xml:space="preserve"> </w:t>
      </w:r>
      <w:r w:rsidRPr="00DB40DD">
        <w:rPr>
          <w:lang w:val="en-GB"/>
        </w:rPr>
        <w:t xml:space="preserve">and regulatory framework </w:t>
      </w:r>
      <w:r w:rsidR="00307E77">
        <w:rPr>
          <w:lang w:val="en-GB"/>
        </w:rPr>
        <w:t xml:space="preserve">to </w:t>
      </w:r>
      <w:r w:rsidRPr="00DB40DD">
        <w:rPr>
          <w:lang w:val="en-GB"/>
        </w:rPr>
        <w:t>be specified. The regulatory framework</w:t>
      </w:r>
      <w:r w:rsidR="00307E77">
        <w:rPr>
          <w:lang w:val="en-GB"/>
        </w:rPr>
        <w:t xml:space="preserve"> established in GSR Part 3 [2]</w:t>
      </w:r>
      <w:r w:rsidRPr="00DB40DD">
        <w:rPr>
          <w:lang w:val="en-GB"/>
        </w:rPr>
        <w:t xml:space="preserve"> appl</w:t>
      </w:r>
      <w:r w:rsidR="00307E77">
        <w:rPr>
          <w:lang w:val="en-GB"/>
        </w:rPr>
        <w:t>ies</w:t>
      </w:r>
      <w:r w:rsidRPr="00DB40DD">
        <w:rPr>
          <w:lang w:val="en-GB"/>
        </w:rPr>
        <w:t xml:space="preserve"> to all situations involving radiation exposure that is amenable to control. Exposures that are deemed to be unamenable to control are excluded from the regulatory framework. Examples of exposures that are unamenable to control are </w:t>
      </w:r>
      <w:r w:rsidRPr="00DB40DD">
        <w:rPr>
          <w:vertAlign w:val="superscript"/>
          <w:lang w:val="en-GB"/>
        </w:rPr>
        <w:t>40</w:t>
      </w:r>
      <w:r w:rsidRPr="00DB40DD">
        <w:rPr>
          <w:lang w:val="en-GB"/>
        </w:rPr>
        <w:t xml:space="preserve">K in the body and cosmic radiation at the surface of the </w:t>
      </w:r>
      <w:r w:rsidR="007748B2">
        <w:rPr>
          <w:lang w:val="en-GB"/>
        </w:rPr>
        <w:t>E</w:t>
      </w:r>
      <w:r w:rsidRPr="00DB40DD">
        <w:rPr>
          <w:lang w:val="en-GB"/>
        </w:rPr>
        <w:t xml:space="preserve">arth. </w:t>
      </w:r>
    </w:p>
    <w:p w:rsidR="00DB7651" w:rsidRPr="0045207A" w:rsidRDefault="00DB7651" w:rsidP="00BF11EB">
      <w:pPr>
        <w:numPr>
          <w:ilvl w:val="0"/>
          <w:numId w:val="6"/>
        </w:numPr>
        <w:tabs>
          <w:tab w:val="left" w:pos="709"/>
        </w:tabs>
        <w:overflowPunct/>
        <w:spacing w:after="120" w:line="360" w:lineRule="auto"/>
        <w:ind w:left="0" w:firstLine="0"/>
        <w:textAlignment w:val="auto"/>
        <w:rPr>
          <w:iCs/>
        </w:rPr>
      </w:pPr>
      <w:r w:rsidRPr="0045207A">
        <w:rPr>
          <w:iCs/>
        </w:rPr>
        <w:t xml:space="preserve">GSR Part 3 </w:t>
      </w:r>
      <w:r w:rsidR="00871F51">
        <w:rPr>
          <w:iCs/>
        </w:rPr>
        <w:t xml:space="preserve">[2] </w:t>
      </w:r>
      <w:r w:rsidRPr="0045207A">
        <w:rPr>
          <w:iCs/>
        </w:rPr>
        <w:t>establishes requirements for each of the three exposure situations</w:t>
      </w:r>
      <w:r w:rsidR="00307E77">
        <w:rPr>
          <w:iCs/>
        </w:rPr>
        <w:t>:</w:t>
      </w:r>
      <w:r w:rsidRPr="0045207A">
        <w:rPr>
          <w:iCs/>
        </w:rPr>
        <w:t xml:space="preserve"> planned</w:t>
      </w:r>
      <w:r w:rsidR="008C39E0">
        <w:rPr>
          <w:iCs/>
        </w:rPr>
        <w:t xml:space="preserve"> exposure situation</w:t>
      </w:r>
      <w:r w:rsidR="00307E77">
        <w:rPr>
          <w:iCs/>
        </w:rPr>
        <w:t>s</w:t>
      </w:r>
      <w:r w:rsidRPr="0045207A">
        <w:rPr>
          <w:iCs/>
        </w:rPr>
        <w:t xml:space="preserve">, emergency </w:t>
      </w:r>
      <w:r w:rsidR="008C39E0">
        <w:rPr>
          <w:iCs/>
        </w:rPr>
        <w:t>exposure situation</w:t>
      </w:r>
      <w:r w:rsidR="00307E77">
        <w:rPr>
          <w:iCs/>
        </w:rPr>
        <w:t>s</w:t>
      </w:r>
      <w:r w:rsidR="008C39E0">
        <w:rPr>
          <w:iCs/>
        </w:rPr>
        <w:t xml:space="preserve"> </w:t>
      </w:r>
      <w:r w:rsidRPr="0045207A">
        <w:rPr>
          <w:iCs/>
        </w:rPr>
        <w:t>and existing</w:t>
      </w:r>
      <w:r w:rsidR="008C39E0">
        <w:rPr>
          <w:iCs/>
        </w:rPr>
        <w:t xml:space="preserve"> exposure situation</w:t>
      </w:r>
      <w:r w:rsidR="00307E77">
        <w:rPr>
          <w:iCs/>
        </w:rPr>
        <w:t>s</w:t>
      </w:r>
      <w:r w:rsidRPr="0045207A">
        <w:rPr>
          <w:iCs/>
        </w:rPr>
        <w:t xml:space="preserve">. </w:t>
      </w:r>
      <w:r w:rsidR="00533EE0" w:rsidRPr="0045207A">
        <w:rPr>
          <w:iCs/>
        </w:rPr>
        <w:t xml:space="preserve">In addition, </w:t>
      </w:r>
      <w:r w:rsidR="00C8581C" w:rsidRPr="0045207A">
        <w:rPr>
          <w:iCs/>
        </w:rPr>
        <w:t>in the context of emergency exposure situation</w:t>
      </w:r>
      <w:r w:rsidR="00307E77">
        <w:rPr>
          <w:iCs/>
        </w:rPr>
        <w:t>s</w:t>
      </w:r>
      <w:r w:rsidR="00C8581C" w:rsidRPr="0045207A">
        <w:rPr>
          <w:iCs/>
        </w:rPr>
        <w:t xml:space="preserve">, </w:t>
      </w:r>
      <w:r w:rsidR="00533EE0" w:rsidRPr="0045207A">
        <w:rPr>
          <w:iCs/>
        </w:rPr>
        <w:t xml:space="preserve">GSR Part 7 </w:t>
      </w:r>
      <w:r w:rsidR="006A18FB" w:rsidRPr="0045207A">
        <w:rPr>
          <w:iCs/>
        </w:rPr>
        <w:t>[</w:t>
      </w:r>
      <w:r w:rsidR="00BB1302">
        <w:rPr>
          <w:iCs/>
        </w:rPr>
        <w:t>4</w:t>
      </w:r>
      <w:r w:rsidR="00533EE0" w:rsidRPr="0045207A">
        <w:rPr>
          <w:iCs/>
        </w:rPr>
        <w:t>] establishes requirements for an adequate level of preparedness and response for a nuclear or radiological emergency.</w:t>
      </w:r>
      <w:r w:rsidR="00702F33">
        <w:rPr>
          <w:iCs/>
        </w:rPr>
        <w:t xml:space="preserve"> </w:t>
      </w:r>
    </w:p>
    <w:p w:rsidR="007D68E6" w:rsidRPr="006C448D" w:rsidRDefault="007D68E6" w:rsidP="00E273A0">
      <w:pPr>
        <w:pStyle w:val="Heading2"/>
        <w:numPr>
          <w:ilvl w:val="0"/>
          <w:numId w:val="0"/>
        </w:numPr>
        <w:tabs>
          <w:tab w:val="left" w:pos="709"/>
        </w:tabs>
        <w:spacing w:after="120" w:line="360" w:lineRule="auto"/>
        <w:ind w:left="567" w:hanging="567"/>
        <w:rPr>
          <w:lang w:val="en-GB"/>
        </w:rPr>
      </w:pPr>
      <w:bookmarkStart w:id="8" w:name="_Toc396137868"/>
      <w:r w:rsidRPr="00E55A35">
        <w:rPr>
          <w:lang w:val="en-GB"/>
        </w:rPr>
        <w:t>EXPOSURE SITUATIONS</w:t>
      </w:r>
      <w:bookmarkEnd w:id="8"/>
    </w:p>
    <w:p w:rsidR="00DE486A" w:rsidRPr="006C448D" w:rsidRDefault="007D68E6" w:rsidP="00E273A0">
      <w:pPr>
        <w:tabs>
          <w:tab w:val="left" w:pos="709"/>
        </w:tabs>
        <w:overflowPunct/>
        <w:spacing w:after="120" w:line="360" w:lineRule="auto"/>
        <w:textAlignment w:val="auto"/>
        <w:rPr>
          <w:b/>
          <w:iCs/>
        </w:rPr>
      </w:pPr>
      <w:r w:rsidRPr="006C448D">
        <w:rPr>
          <w:b/>
        </w:rPr>
        <w:t>Planned exposure situations</w:t>
      </w:r>
    </w:p>
    <w:p w:rsidR="00C5036D" w:rsidRPr="006C448D" w:rsidRDefault="007D68E6" w:rsidP="00974B83">
      <w:pPr>
        <w:numPr>
          <w:ilvl w:val="0"/>
          <w:numId w:val="6"/>
        </w:numPr>
        <w:tabs>
          <w:tab w:val="left" w:pos="709"/>
        </w:tabs>
        <w:overflowPunct/>
        <w:spacing w:after="120" w:line="360" w:lineRule="auto"/>
        <w:ind w:left="0" w:firstLine="0"/>
        <w:textAlignment w:val="auto"/>
        <w:rPr>
          <w:iCs/>
        </w:rPr>
      </w:pPr>
      <w:r w:rsidRPr="006C448D">
        <w:rPr>
          <w:iCs/>
        </w:rPr>
        <w:t xml:space="preserve">A planned exposure situation is </w:t>
      </w:r>
      <w:r w:rsidR="008439EA">
        <w:rPr>
          <w:iCs/>
        </w:rPr>
        <w:t xml:space="preserve">a </w:t>
      </w:r>
      <w:r w:rsidR="00C5036D" w:rsidRPr="006C448D">
        <w:t xml:space="preserve">situation of exposure that arises from the planned operation of a source or from a planned activity that results in an exposure due to a source. Since provision for protection and safety can be made before embarking on the activity concerned, the associated exposures and their likelihood of occurrence can be restricted from the outset. The primary means of controlling exposure in planned exposure situations is by good design of facilities, equipment and operating procedures, by training </w:t>
      </w:r>
      <w:r w:rsidR="0066383A">
        <w:t xml:space="preserve">and by </w:t>
      </w:r>
      <w:r w:rsidR="00307E77">
        <w:t xml:space="preserve">fostering </w:t>
      </w:r>
      <w:r w:rsidR="0066383A">
        <w:t xml:space="preserve">safety culture </w:t>
      </w:r>
      <w:r w:rsidR="00C05FFE">
        <w:t>[2</w:t>
      </w:r>
      <w:r w:rsidR="003579DE">
        <w:t>, 18</w:t>
      </w:r>
      <w:r w:rsidR="00C05FFE">
        <w:t>]</w:t>
      </w:r>
      <w:r w:rsidR="00771FD6">
        <w:t>.</w:t>
      </w:r>
    </w:p>
    <w:p w:rsidR="007D68E6" w:rsidRPr="006C448D" w:rsidRDefault="00C5036D" w:rsidP="00974B83">
      <w:pPr>
        <w:numPr>
          <w:ilvl w:val="0"/>
          <w:numId w:val="6"/>
        </w:numPr>
        <w:tabs>
          <w:tab w:val="left" w:pos="709"/>
        </w:tabs>
        <w:overflowPunct/>
        <w:spacing w:after="120" w:line="360" w:lineRule="auto"/>
        <w:ind w:left="0" w:firstLine="0"/>
        <w:textAlignment w:val="auto"/>
        <w:rPr>
          <w:iCs/>
        </w:rPr>
      </w:pPr>
      <w:r w:rsidRPr="006C448D">
        <w:t xml:space="preserve">In planned exposure situations, exposure at some level can be expected to occur. If exposure is not expected to occur with certainty, but could result from </w:t>
      </w:r>
      <w:r w:rsidRPr="0095256E">
        <w:t xml:space="preserve">an </w:t>
      </w:r>
      <w:r w:rsidR="00A76DAD" w:rsidRPr="0095256E">
        <w:rPr>
          <w:szCs w:val="24"/>
        </w:rPr>
        <w:t xml:space="preserve">anticipated operational occurrence or </w:t>
      </w:r>
      <w:r w:rsidRPr="0095256E">
        <w:rPr>
          <w:szCs w:val="24"/>
        </w:rPr>
        <w:t>accident</w:t>
      </w:r>
      <w:r w:rsidRPr="0095256E">
        <w:t xml:space="preserve"> or </w:t>
      </w:r>
      <w:r w:rsidR="00307E77">
        <w:t>owing to</w:t>
      </w:r>
      <w:r w:rsidR="00307E77" w:rsidRPr="0095256E">
        <w:t xml:space="preserve"> </w:t>
      </w:r>
      <w:r w:rsidRPr="0095256E">
        <w:t>an event or a sequence of events</w:t>
      </w:r>
      <w:r w:rsidRPr="006C448D">
        <w:t xml:space="preserve"> that may </w:t>
      </w:r>
      <w:r w:rsidR="00E3083B" w:rsidRPr="006C448D">
        <w:t xml:space="preserve">potentially </w:t>
      </w:r>
      <w:r w:rsidRPr="006C448D">
        <w:t xml:space="preserve">occur but is not certain to occur, this is referred to as </w:t>
      </w:r>
      <w:r w:rsidR="00E3083B" w:rsidRPr="006C448D">
        <w:t>‘</w:t>
      </w:r>
      <w:r w:rsidRPr="006C448D">
        <w:t>potential exposure</w:t>
      </w:r>
      <w:r w:rsidR="00E3083B" w:rsidRPr="006C448D">
        <w:t>’</w:t>
      </w:r>
      <w:r w:rsidRPr="006C448D">
        <w:t xml:space="preserve">. </w:t>
      </w:r>
      <w:r w:rsidR="007D68E6" w:rsidRPr="006C448D">
        <w:rPr>
          <w:iCs/>
        </w:rPr>
        <w:t xml:space="preserve">The magnitude and extent of </w:t>
      </w:r>
      <w:r w:rsidR="00307E77">
        <w:rPr>
          <w:iCs/>
        </w:rPr>
        <w:t>potential</w:t>
      </w:r>
      <w:r w:rsidR="00307E77" w:rsidRPr="006C448D">
        <w:rPr>
          <w:iCs/>
        </w:rPr>
        <w:t xml:space="preserve"> </w:t>
      </w:r>
      <w:r w:rsidR="007D68E6" w:rsidRPr="006C448D">
        <w:rPr>
          <w:iCs/>
        </w:rPr>
        <w:t xml:space="preserve">exposure can usually be predicted. Both </w:t>
      </w:r>
      <w:r w:rsidR="00C65110" w:rsidRPr="006C448D">
        <w:rPr>
          <w:iCs/>
        </w:rPr>
        <w:t>exposure</w:t>
      </w:r>
      <w:r w:rsidR="000300D1" w:rsidRPr="006C448D">
        <w:rPr>
          <w:iCs/>
        </w:rPr>
        <w:t>s</w:t>
      </w:r>
      <w:r w:rsidR="007D68E6" w:rsidRPr="006C448D">
        <w:rPr>
          <w:iCs/>
        </w:rPr>
        <w:t xml:space="preserve"> </w:t>
      </w:r>
      <w:r w:rsidR="00EF37D2">
        <w:rPr>
          <w:iCs/>
        </w:rPr>
        <w:t xml:space="preserve">expected to occur </w:t>
      </w:r>
      <w:r w:rsidR="007D68E6" w:rsidRPr="006C448D">
        <w:rPr>
          <w:iCs/>
        </w:rPr>
        <w:t xml:space="preserve">and potential exposures can and </w:t>
      </w:r>
      <w:r w:rsidR="00CA2DB2" w:rsidRPr="006C448D">
        <w:rPr>
          <w:iCs/>
        </w:rPr>
        <w:t>should</w:t>
      </w:r>
      <w:r w:rsidR="007D68E6" w:rsidRPr="006C448D">
        <w:rPr>
          <w:iCs/>
        </w:rPr>
        <w:t xml:space="preserve"> be taken into account at the planning or design stage.</w:t>
      </w:r>
    </w:p>
    <w:p w:rsidR="007D68E6" w:rsidRPr="00734BEC" w:rsidRDefault="007D68E6" w:rsidP="00974B83">
      <w:pPr>
        <w:numPr>
          <w:ilvl w:val="0"/>
          <w:numId w:val="6"/>
        </w:numPr>
        <w:tabs>
          <w:tab w:val="left" w:pos="709"/>
        </w:tabs>
        <w:overflowPunct/>
        <w:autoSpaceDE/>
        <w:autoSpaceDN/>
        <w:adjustRightInd/>
        <w:spacing w:after="120" w:line="360" w:lineRule="auto"/>
        <w:ind w:left="0" w:firstLine="0"/>
        <w:textAlignment w:val="auto"/>
        <w:rPr>
          <w:u w:val="single"/>
        </w:rPr>
      </w:pPr>
      <w:r w:rsidRPr="006C448D">
        <w:t xml:space="preserve">A </w:t>
      </w:r>
      <w:r w:rsidR="00307E77" w:rsidRPr="006C448D">
        <w:t xml:space="preserve">term </w:t>
      </w:r>
      <w:r w:rsidRPr="006C448D">
        <w:t xml:space="preserve">closely related to planned exposure situation is </w:t>
      </w:r>
      <w:r w:rsidR="00307E77">
        <w:t xml:space="preserve">the term </w:t>
      </w:r>
      <w:r w:rsidRPr="00E55A35">
        <w:t xml:space="preserve">practice, which is </w:t>
      </w:r>
      <w:r w:rsidRPr="006C448D">
        <w:t xml:space="preserve">defined as </w:t>
      </w:r>
      <w:r w:rsidRPr="00E55A35">
        <w:t xml:space="preserve">any human activity that introduces additional sources of exposure or additional </w:t>
      </w:r>
      <w:r w:rsidRPr="00E55A35">
        <w:lastRenderedPageBreak/>
        <w:t>exposure pathways or extends exposure to additional people</w:t>
      </w:r>
      <w:r w:rsidR="00B35543">
        <w:t>,</w:t>
      </w:r>
      <w:r w:rsidRPr="00E55A35">
        <w:t xml:space="preserve"> or modifies the network of exposure pathways from existing sources, so as to increase the exposure or the</w:t>
      </w:r>
      <w:r w:rsidRPr="006C448D">
        <w:t xml:space="preserve"> likelihood of exposure of people or the number of people exposed</w:t>
      </w:r>
      <w:r w:rsidRPr="00E55A35">
        <w:t xml:space="preserve"> [</w:t>
      </w:r>
      <w:r w:rsidR="00581FB9" w:rsidRPr="006C448D">
        <w:t>1</w:t>
      </w:r>
      <w:r w:rsidR="003579DE">
        <w:t>9</w:t>
      </w:r>
      <w:r w:rsidRPr="006C448D">
        <w:t>]. Both terms are used in</w:t>
      </w:r>
      <w:r w:rsidR="00776E9A">
        <w:t xml:space="preserve"> </w:t>
      </w:r>
      <w:r w:rsidR="008B2799">
        <w:t>GSR Part 3</w:t>
      </w:r>
      <w:r w:rsidRPr="006C448D">
        <w:t xml:space="preserve"> </w:t>
      </w:r>
      <w:r w:rsidR="00C05FFE">
        <w:t>[2]</w:t>
      </w:r>
      <w:r w:rsidRPr="006C448D">
        <w:t>, although the term planned exposure situation emphasizes the planned or intentional nature of the facility or activity that may give rise to radiation exposure.</w:t>
      </w:r>
    </w:p>
    <w:p w:rsidR="007D68E6" w:rsidRPr="006C448D" w:rsidRDefault="007D68E6" w:rsidP="00E273A0">
      <w:pPr>
        <w:tabs>
          <w:tab w:val="left" w:pos="709"/>
        </w:tabs>
        <w:spacing w:after="120" w:line="360" w:lineRule="auto"/>
        <w:rPr>
          <w:b/>
        </w:rPr>
      </w:pPr>
      <w:r w:rsidRPr="006C448D">
        <w:rPr>
          <w:b/>
        </w:rPr>
        <w:t>Emergency exposure situations</w:t>
      </w:r>
    </w:p>
    <w:p w:rsidR="00C5036D" w:rsidRPr="006C448D" w:rsidRDefault="007D68E6" w:rsidP="00974B83">
      <w:pPr>
        <w:numPr>
          <w:ilvl w:val="0"/>
          <w:numId w:val="6"/>
        </w:numPr>
        <w:tabs>
          <w:tab w:val="left" w:pos="709"/>
        </w:tabs>
        <w:overflowPunct/>
        <w:autoSpaceDE/>
        <w:autoSpaceDN/>
        <w:adjustRightInd/>
        <w:spacing w:after="120" w:line="360" w:lineRule="auto"/>
        <w:ind w:left="0" w:firstLine="0"/>
        <w:textAlignment w:val="auto"/>
      </w:pPr>
      <w:bookmarkStart w:id="9" w:name="_Ref269313585"/>
      <w:r w:rsidRPr="006C448D">
        <w:t xml:space="preserve">An emergency exposure situation is a situation of exposure that arises as a result of an accident, a malicious act or any other unexpected event, and requires prompt action in order to avoid or reduce adverse consequences </w:t>
      </w:r>
      <w:r w:rsidR="00C05FFE">
        <w:t>[2]</w:t>
      </w:r>
      <w:r w:rsidRPr="006C448D">
        <w:t xml:space="preserve">. </w:t>
      </w:r>
      <w:bookmarkEnd w:id="9"/>
      <w:r w:rsidR="00C5036D" w:rsidRPr="006C448D">
        <w:t xml:space="preserve">Preventive measures and </w:t>
      </w:r>
      <w:proofErr w:type="spellStart"/>
      <w:r w:rsidR="00C5036D" w:rsidRPr="006C448D">
        <w:t>mitigatory</w:t>
      </w:r>
      <w:proofErr w:type="spellEnd"/>
      <w:r w:rsidR="00C5036D" w:rsidRPr="006C448D">
        <w:t xml:space="preserve"> actions have to be considered before an emergency exposure situation arises. However, once an emergency exposure situation actually arises, exposures can be reduced only by implementing protective</w:t>
      </w:r>
      <w:r w:rsidR="00C740D8" w:rsidRPr="006C448D">
        <w:t xml:space="preserve"> </w:t>
      </w:r>
      <w:r w:rsidR="00C5036D" w:rsidRPr="006C448D">
        <w:t>actions.</w:t>
      </w:r>
    </w:p>
    <w:p w:rsidR="007D68E6" w:rsidRPr="006C448D" w:rsidRDefault="007D68E6" w:rsidP="00E273A0">
      <w:pPr>
        <w:tabs>
          <w:tab w:val="left" w:pos="709"/>
        </w:tabs>
        <w:spacing w:after="120" w:line="360" w:lineRule="auto"/>
        <w:rPr>
          <w:b/>
        </w:rPr>
      </w:pPr>
      <w:bookmarkStart w:id="10" w:name="_Ref269385410"/>
      <w:r w:rsidRPr="006C448D">
        <w:rPr>
          <w:b/>
        </w:rPr>
        <w:t>Existing exposure situations</w:t>
      </w:r>
    </w:p>
    <w:p w:rsidR="009D2D39" w:rsidRDefault="007D68E6" w:rsidP="00BF11EB">
      <w:pPr>
        <w:numPr>
          <w:ilvl w:val="0"/>
          <w:numId w:val="6"/>
        </w:numPr>
        <w:tabs>
          <w:tab w:val="left" w:pos="709"/>
        </w:tabs>
        <w:overflowPunct/>
        <w:autoSpaceDE/>
        <w:autoSpaceDN/>
        <w:adjustRightInd/>
        <w:spacing w:after="120" w:line="360" w:lineRule="auto"/>
        <w:ind w:left="0" w:firstLine="0"/>
        <w:textAlignment w:val="auto"/>
      </w:pPr>
      <w:r w:rsidRPr="006C448D">
        <w:t xml:space="preserve">An existing exposure situation is a situation of exposure that already exists when a decision on the need for control </w:t>
      </w:r>
      <w:r w:rsidR="00CF625E">
        <w:t>needs</w:t>
      </w:r>
      <w:r w:rsidR="00CF625E" w:rsidRPr="006C448D">
        <w:t xml:space="preserve"> </w:t>
      </w:r>
      <w:r w:rsidRPr="006C448D">
        <w:t xml:space="preserve">to be taken </w:t>
      </w:r>
      <w:r w:rsidR="00C05FFE">
        <w:t>[2]</w:t>
      </w:r>
      <w:r w:rsidRPr="006C448D">
        <w:t xml:space="preserve">. </w:t>
      </w:r>
      <w:bookmarkEnd w:id="10"/>
      <w:r w:rsidR="00C5036D" w:rsidRPr="006C448D">
        <w:t xml:space="preserve">Existing exposure situations include situations of exposure to natural background radiation. They also include </w:t>
      </w:r>
      <w:r w:rsidR="00195102">
        <w:t xml:space="preserve">situations of </w:t>
      </w:r>
      <w:r w:rsidR="00C5036D" w:rsidRPr="006C448D">
        <w:t xml:space="preserve">exposure due to residual </w:t>
      </w:r>
      <w:r w:rsidR="00C5036D" w:rsidRPr="00DE0748">
        <w:rPr>
          <w:szCs w:val="24"/>
        </w:rPr>
        <w:t xml:space="preserve">radioactive material that derives from past practices that were </w:t>
      </w:r>
      <w:r w:rsidR="00DE0748" w:rsidRPr="009D2D39">
        <w:rPr>
          <w:szCs w:val="24"/>
        </w:rPr>
        <w:t xml:space="preserve">never </w:t>
      </w:r>
      <w:r w:rsidR="00C5036D" w:rsidRPr="009D2D39">
        <w:rPr>
          <w:szCs w:val="24"/>
        </w:rPr>
        <w:t>subject to regulatory control</w:t>
      </w:r>
      <w:r w:rsidR="009D2D39" w:rsidRPr="009D2D39">
        <w:t xml:space="preserve"> </w:t>
      </w:r>
      <w:r w:rsidR="009D2D39" w:rsidRPr="00B15DBA">
        <w:t xml:space="preserve">or that were subject to regulatory control but not in accordance with the requirements of </w:t>
      </w:r>
      <w:r w:rsidR="009D2D39">
        <w:t>current s</w:t>
      </w:r>
      <w:r w:rsidR="009D2D39" w:rsidRPr="00B15DBA">
        <w:t>tandards</w:t>
      </w:r>
      <w:r w:rsidR="00195102">
        <w:t>,</w:t>
      </w:r>
      <w:r w:rsidR="00C5036D" w:rsidRPr="009D2D39">
        <w:rPr>
          <w:szCs w:val="24"/>
        </w:rPr>
        <w:t xml:space="preserve"> </w:t>
      </w:r>
      <w:r w:rsidR="00195102">
        <w:rPr>
          <w:szCs w:val="24"/>
        </w:rPr>
        <w:t xml:space="preserve">situations of </w:t>
      </w:r>
      <w:r w:rsidR="00DE0748" w:rsidRPr="00DE0748">
        <w:rPr>
          <w:szCs w:val="24"/>
        </w:rPr>
        <w:t xml:space="preserve">exposure due to residual radioactive material deriving from a nuclear or radiological emergency </w:t>
      </w:r>
      <w:r w:rsidR="00C5036D" w:rsidRPr="00DE0748">
        <w:rPr>
          <w:szCs w:val="24"/>
        </w:rPr>
        <w:t>after an emergency</w:t>
      </w:r>
      <w:r w:rsidR="00C5036D" w:rsidRPr="006C448D">
        <w:t xml:space="preserve"> </w:t>
      </w:r>
      <w:r w:rsidR="008F34C7" w:rsidRPr="006C448D">
        <w:t xml:space="preserve">has been declared </w:t>
      </w:r>
      <w:r w:rsidR="0082433F">
        <w:t xml:space="preserve">to be </w:t>
      </w:r>
      <w:r w:rsidR="008F34C7" w:rsidRPr="006C448D">
        <w:t>ended</w:t>
      </w:r>
      <w:r w:rsidR="00E500F9">
        <w:t xml:space="preserve">, and </w:t>
      </w:r>
      <w:r w:rsidR="00195102">
        <w:t xml:space="preserve">situations of </w:t>
      </w:r>
      <w:r w:rsidR="00E500F9">
        <w:t>exposure due to commodities</w:t>
      </w:r>
      <w:r w:rsidR="00DE0748">
        <w:t xml:space="preserve"> </w:t>
      </w:r>
      <w:r w:rsidR="009D2D39">
        <w:t>incorporating radionuclides from</w:t>
      </w:r>
      <w:r w:rsidR="00DE0748">
        <w:t xml:space="preserve"> such material</w:t>
      </w:r>
      <w:r w:rsidR="004E56C6">
        <w:t>.</w:t>
      </w:r>
    </w:p>
    <w:p w:rsidR="007D68E6" w:rsidRPr="006C448D" w:rsidRDefault="008518DE" w:rsidP="00E273A0">
      <w:pPr>
        <w:pStyle w:val="Heading2"/>
        <w:numPr>
          <w:ilvl w:val="0"/>
          <w:numId w:val="0"/>
        </w:numPr>
        <w:tabs>
          <w:tab w:val="left" w:pos="709"/>
        </w:tabs>
        <w:spacing w:after="120" w:line="360" w:lineRule="auto"/>
        <w:rPr>
          <w:lang w:val="en-GB"/>
        </w:rPr>
      </w:pPr>
      <w:bookmarkStart w:id="11" w:name="_Toc396137869"/>
      <w:r w:rsidRPr="006C448D">
        <w:rPr>
          <w:lang w:val="en-GB"/>
        </w:rPr>
        <w:t>RADIATION PROTECTION</w:t>
      </w:r>
      <w:r w:rsidR="007D68E6" w:rsidRPr="006C448D">
        <w:rPr>
          <w:lang w:val="en-GB"/>
        </w:rPr>
        <w:t xml:space="preserve"> PRINCIPLES</w:t>
      </w:r>
      <w:bookmarkEnd w:id="11"/>
    </w:p>
    <w:p w:rsidR="00560EAD" w:rsidRDefault="0063500F" w:rsidP="00E273A0">
      <w:pPr>
        <w:pStyle w:val="ListParagraph"/>
        <w:numPr>
          <w:ilvl w:val="0"/>
          <w:numId w:val="6"/>
        </w:numPr>
        <w:tabs>
          <w:tab w:val="left" w:pos="709"/>
        </w:tabs>
        <w:spacing w:after="120" w:line="360" w:lineRule="auto"/>
        <w:ind w:left="0" w:firstLine="0"/>
        <w:contextualSpacing w:val="0"/>
        <w:jc w:val="both"/>
      </w:pPr>
      <w:r w:rsidRPr="006C448D">
        <w:t>T</w:t>
      </w:r>
      <w:r w:rsidR="007D68E6" w:rsidRPr="006C448D">
        <w:t xml:space="preserve">he three basic principles </w:t>
      </w:r>
      <w:r w:rsidR="00195102">
        <w:t>that</w:t>
      </w:r>
      <w:r w:rsidR="00195102" w:rsidRPr="006C448D">
        <w:t xml:space="preserve"> </w:t>
      </w:r>
      <w:r w:rsidR="007D68E6" w:rsidRPr="006C448D">
        <w:t>underpin radiation protection</w:t>
      </w:r>
      <w:r w:rsidR="00195102">
        <w:t>, which concern</w:t>
      </w:r>
      <w:r w:rsidR="007D68E6" w:rsidRPr="006C448D">
        <w:t xml:space="preserve"> justification</w:t>
      </w:r>
      <w:r w:rsidR="00195102">
        <w:t>,</w:t>
      </w:r>
      <w:r w:rsidR="007D68E6" w:rsidRPr="006C448D">
        <w:t xml:space="preserve"> optimization of protection</w:t>
      </w:r>
      <w:r w:rsidR="00F436F4" w:rsidRPr="006C448D">
        <w:t xml:space="preserve"> and safety</w:t>
      </w:r>
      <w:r w:rsidR="00195102">
        <w:t>,</w:t>
      </w:r>
      <w:r w:rsidR="007D68E6" w:rsidRPr="006C448D">
        <w:t xml:space="preserve"> and </w:t>
      </w:r>
      <w:r w:rsidRPr="006C448D">
        <w:t>application of dose limits</w:t>
      </w:r>
      <w:r w:rsidR="00C062CF">
        <w:t>,</w:t>
      </w:r>
      <w:r w:rsidRPr="006C448D">
        <w:t xml:space="preserve"> are expressed in Safety Principles 4, 5, 6 and 10 of </w:t>
      </w:r>
      <w:r w:rsidR="00195102">
        <w:t>SF-1</w:t>
      </w:r>
      <w:r w:rsidR="00965648">
        <w:t xml:space="preserve"> [1</w:t>
      </w:r>
      <w:r w:rsidR="00EB0FDF" w:rsidRPr="006C448D">
        <w:t>]</w:t>
      </w:r>
      <w:r w:rsidR="007D68E6" w:rsidRPr="006C448D">
        <w:t xml:space="preserve">. The </w:t>
      </w:r>
      <w:r w:rsidR="00195102">
        <w:t>principles</w:t>
      </w:r>
      <w:r w:rsidR="005A3C40">
        <w:t xml:space="preserve"> of justification and optimization of protection and safety</w:t>
      </w:r>
      <w:r w:rsidR="00195102">
        <w:t xml:space="preserve"> </w:t>
      </w:r>
      <w:r w:rsidR="005A3C40">
        <w:t>relate to</w:t>
      </w:r>
      <w:r w:rsidR="005A3C40" w:rsidRPr="006C448D">
        <w:t xml:space="preserve"> </w:t>
      </w:r>
      <w:r w:rsidR="007D68E6" w:rsidRPr="006C448D">
        <w:t>source</w:t>
      </w:r>
      <w:r w:rsidR="005A3C40">
        <w:t>s of ionizing radiation</w:t>
      </w:r>
      <w:r w:rsidR="007D68E6" w:rsidRPr="006C448D">
        <w:t xml:space="preserve"> and apply to all exposure situations. The </w:t>
      </w:r>
      <w:r w:rsidR="005A3C40">
        <w:t xml:space="preserve">principle of </w:t>
      </w:r>
      <w:r w:rsidR="002C13D4">
        <w:t xml:space="preserve">application of </w:t>
      </w:r>
      <w:r w:rsidR="005A3C40">
        <w:t>dose</w:t>
      </w:r>
      <w:r w:rsidR="002C13D4">
        <w:t xml:space="preserve"> limit</w:t>
      </w:r>
      <w:r w:rsidR="005A3C40">
        <w:t>s</w:t>
      </w:r>
      <w:r w:rsidR="005A3C40" w:rsidRPr="006C448D">
        <w:t xml:space="preserve"> </w:t>
      </w:r>
      <w:r w:rsidR="005A3C40">
        <w:t>relates to</w:t>
      </w:r>
      <w:r w:rsidR="005A3C40" w:rsidRPr="006C448D">
        <w:t xml:space="preserve"> </w:t>
      </w:r>
      <w:r w:rsidR="007D68E6" w:rsidRPr="006C448D">
        <w:t>individual</w:t>
      </w:r>
      <w:r w:rsidR="005A3C40">
        <w:t>s</w:t>
      </w:r>
      <w:r w:rsidR="007D68E6" w:rsidRPr="006C448D">
        <w:t xml:space="preserve"> and applies</w:t>
      </w:r>
      <w:r w:rsidR="002E5D79">
        <w:t xml:space="preserve"> to public exposure</w:t>
      </w:r>
      <w:r w:rsidR="007D68E6" w:rsidRPr="006C448D">
        <w:t xml:space="preserve"> in planned exposure situations</w:t>
      </w:r>
      <w:r w:rsidRPr="006C448D">
        <w:t xml:space="preserve"> only.</w:t>
      </w:r>
      <w:r w:rsidR="00A102F3" w:rsidRPr="006C448D">
        <w:t xml:space="preserve"> Requirement 1 of GSR Part 3 </w:t>
      </w:r>
      <w:r w:rsidR="00871F51">
        <w:t xml:space="preserve">[2] </w:t>
      </w:r>
      <w:r w:rsidR="00A102F3" w:rsidRPr="006C448D">
        <w:t xml:space="preserve">requires that those responsible for protection and safety ensure that these principles </w:t>
      </w:r>
      <w:r w:rsidR="002F5BFB">
        <w:t xml:space="preserve">of radiation protection </w:t>
      </w:r>
      <w:r w:rsidR="00A102F3" w:rsidRPr="006C448D">
        <w:t xml:space="preserve">are applied for all exposure situations. </w:t>
      </w:r>
      <w:r w:rsidRPr="006C448D">
        <w:t xml:space="preserve"> </w:t>
      </w:r>
    </w:p>
    <w:p w:rsidR="00560EAD" w:rsidRDefault="007D68E6" w:rsidP="00560EAD">
      <w:pPr>
        <w:pStyle w:val="ListParagraph"/>
        <w:tabs>
          <w:tab w:val="left" w:pos="709"/>
        </w:tabs>
        <w:spacing w:after="120" w:line="360" w:lineRule="auto"/>
        <w:ind w:left="0"/>
        <w:contextualSpacing w:val="0"/>
        <w:jc w:val="both"/>
      </w:pPr>
      <w:r w:rsidRPr="00560EAD">
        <w:rPr>
          <w:b/>
        </w:rPr>
        <w:t>Justification</w:t>
      </w:r>
    </w:p>
    <w:p w:rsidR="00560EAD" w:rsidRDefault="00560EAD" w:rsidP="00560EAD">
      <w:pPr>
        <w:pStyle w:val="ListParagraph"/>
        <w:numPr>
          <w:ilvl w:val="0"/>
          <w:numId w:val="6"/>
        </w:numPr>
        <w:tabs>
          <w:tab w:val="left" w:pos="709"/>
        </w:tabs>
        <w:spacing w:after="120" w:line="360" w:lineRule="auto"/>
        <w:ind w:left="0" w:firstLine="0"/>
        <w:contextualSpacing w:val="0"/>
        <w:jc w:val="both"/>
      </w:pPr>
      <w:r w:rsidRPr="006C448D">
        <w:lastRenderedPageBreak/>
        <w:t xml:space="preserve">Paragraph 2.8 of GSR Part 3 </w:t>
      </w:r>
      <w:r>
        <w:t xml:space="preserve">[2] </w:t>
      </w:r>
      <w:r w:rsidRPr="006C448D">
        <w:t>state</w:t>
      </w:r>
      <w:r>
        <w:t>s that</w:t>
      </w:r>
    </w:p>
    <w:p w:rsidR="00560EAD" w:rsidRDefault="007F19DB" w:rsidP="00560EAD">
      <w:pPr>
        <w:pStyle w:val="ListParagraph"/>
        <w:tabs>
          <w:tab w:val="left" w:pos="709"/>
        </w:tabs>
        <w:spacing w:after="120" w:line="360" w:lineRule="auto"/>
        <w:ind w:left="567"/>
        <w:contextualSpacing w:val="0"/>
        <w:jc w:val="both"/>
      </w:pPr>
      <w:r w:rsidRPr="006C448D">
        <w:t>“</w:t>
      </w:r>
      <w:r w:rsidR="00852753" w:rsidRPr="00E55A35">
        <w:t>For planned exposure situations, each party with responsibilities for pr</w:t>
      </w:r>
      <w:r w:rsidR="00852753" w:rsidRPr="006C448D">
        <w:t>otection and safety shall ensure, when relevant requirements apply to that party, that no practice is undertaken unless it is justified</w:t>
      </w:r>
      <w:r w:rsidR="00B35543">
        <w:t>.</w:t>
      </w:r>
      <w:r w:rsidRPr="006C448D">
        <w:t>”</w:t>
      </w:r>
    </w:p>
    <w:p w:rsidR="00560EAD" w:rsidRDefault="00560EAD" w:rsidP="00560EAD">
      <w:pPr>
        <w:pStyle w:val="ListParagraph"/>
        <w:numPr>
          <w:ilvl w:val="0"/>
          <w:numId w:val="6"/>
        </w:numPr>
        <w:tabs>
          <w:tab w:val="left" w:pos="709"/>
        </w:tabs>
        <w:spacing w:after="120" w:line="360" w:lineRule="auto"/>
        <w:ind w:left="0" w:firstLine="0"/>
        <w:contextualSpacing w:val="0"/>
        <w:jc w:val="both"/>
      </w:pPr>
      <w:r>
        <w:t xml:space="preserve">Paragraph </w:t>
      </w:r>
      <w:r w:rsidRPr="006C448D">
        <w:t>2.</w:t>
      </w:r>
      <w:r>
        <w:t>9</w:t>
      </w:r>
      <w:r w:rsidRPr="006C448D">
        <w:t xml:space="preserve"> of GSR Part 3 </w:t>
      </w:r>
      <w:r>
        <w:t xml:space="preserve">[2] </w:t>
      </w:r>
      <w:r w:rsidRPr="006C448D">
        <w:t>state</w:t>
      </w:r>
      <w:r>
        <w:t>s that</w:t>
      </w:r>
    </w:p>
    <w:p w:rsidR="006532F5" w:rsidRPr="006C448D" w:rsidRDefault="007F19DB" w:rsidP="00560EAD">
      <w:pPr>
        <w:pStyle w:val="ListParagraph"/>
        <w:tabs>
          <w:tab w:val="left" w:pos="709"/>
        </w:tabs>
        <w:spacing w:after="120" w:line="360" w:lineRule="auto"/>
        <w:ind w:left="567"/>
        <w:contextualSpacing w:val="0"/>
        <w:jc w:val="both"/>
      </w:pPr>
      <w:r w:rsidRPr="006C448D">
        <w:t>“</w:t>
      </w:r>
      <w:r w:rsidR="00852753" w:rsidRPr="00E55A35">
        <w:t>For emergency exposures situations and existing exposures situations, each party with responsibilities for protection and safety shall ensure, when relevant requirements apply to that party</w:t>
      </w:r>
      <w:r w:rsidR="00B35543">
        <w:t>,</w:t>
      </w:r>
      <w:r w:rsidR="00852753" w:rsidRPr="00E55A35">
        <w:t xml:space="preserve"> protective actions and remedial actions are justified and are</w:t>
      </w:r>
      <w:r w:rsidR="00852753" w:rsidRPr="006C448D">
        <w:t xml:space="preserve"> undertaken in such a way as to achieve the objectives set out in </w:t>
      </w:r>
      <w:r w:rsidR="00C740D8" w:rsidRPr="006C448D">
        <w:t>a</w:t>
      </w:r>
      <w:r w:rsidR="00852753" w:rsidRPr="006C448D">
        <w:t xml:space="preserve"> protection strategy</w:t>
      </w:r>
      <w:r w:rsidR="00B35543">
        <w:t>.</w:t>
      </w:r>
      <w:r w:rsidRPr="006C448D">
        <w:t>”</w:t>
      </w:r>
      <w:r w:rsidR="00852753" w:rsidRPr="00E55A35">
        <w:t xml:space="preserve"> </w:t>
      </w:r>
    </w:p>
    <w:p w:rsidR="006532F5" w:rsidRPr="00832DDF" w:rsidRDefault="006532F5" w:rsidP="00BF11EB">
      <w:pPr>
        <w:pStyle w:val="Default"/>
        <w:numPr>
          <w:ilvl w:val="0"/>
          <w:numId w:val="6"/>
        </w:numPr>
        <w:spacing w:after="200" w:line="360" w:lineRule="auto"/>
        <w:ind w:left="0" w:firstLine="0"/>
        <w:jc w:val="both"/>
        <w:rPr>
          <w:rFonts w:eastAsia="Times New Roman"/>
          <w:lang w:val="en-GB" w:eastAsia="en-GB"/>
        </w:rPr>
      </w:pPr>
      <w:r w:rsidRPr="00832DDF">
        <w:t xml:space="preserve">For planned exposure situations, </w:t>
      </w:r>
      <w:r w:rsidR="0082433F">
        <w:t>justification</w:t>
      </w:r>
      <w:r w:rsidR="00E27556" w:rsidRPr="00832DDF">
        <w:t xml:space="preserve"> is the process </w:t>
      </w:r>
      <w:r w:rsidR="005A3C40">
        <w:t>of</w:t>
      </w:r>
      <w:r w:rsidR="005A3C40" w:rsidRPr="00832DDF">
        <w:t xml:space="preserve"> </w:t>
      </w:r>
      <w:r w:rsidR="00E27556" w:rsidRPr="00832DDF">
        <w:t xml:space="preserve">determining if the </w:t>
      </w:r>
      <w:r w:rsidR="005A3C40">
        <w:t xml:space="preserve">expected </w:t>
      </w:r>
      <w:r w:rsidR="00E27556" w:rsidRPr="00832DDF">
        <w:t xml:space="preserve">benefits to humans and to society from introducing or continuing </w:t>
      </w:r>
      <w:r w:rsidR="00A06408">
        <w:t>a planned</w:t>
      </w:r>
      <w:r w:rsidR="00E27556" w:rsidRPr="00832DDF">
        <w:t xml:space="preserve"> activity </w:t>
      </w:r>
      <w:r w:rsidR="00A06408">
        <w:t xml:space="preserve">involving </w:t>
      </w:r>
      <w:r w:rsidR="005A3C40">
        <w:t xml:space="preserve">ionizing radiation </w:t>
      </w:r>
      <w:r w:rsidR="00E27556" w:rsidRPr="00832DDF">
        <w:t xml:space="preserve">outweigh the harm, including radiation detriment, resulting from </w:t>
      </w:r>
      <w:r w:rsidR="005A3C40">
        <w:t>the</w:t>
      </w:r>
      <w:r w:rsidR="005A3C40" w:rsidRPr="00832DDF">
        <w:t xml:space="preserve"> </w:t>
      </w:r>
      <w:r w:rsidR="00E27556" w:rsidRPr="00832DDF">
        <w:t xml:space="preserve">activity. The benefits apply to </w:t>
      </w:r>
      <w:r w:rsidR="00AB4981" w:rsidRPr="00832DDF">
        <w:t>individuals</w:t>
      </w:r>
      <w:r w:rsidR="00E27556" w:rsidRPr="00832DDF">
        <w:t xml:space="preserve"> and society as a whole, </w:t>
      </w:r>
      <w:r w:rsidR="00B15E8F" w:rsidRPr="00832DDF">
        <w:t xml:space="preserve">and </w:t>
      </w:r>
      <w:r w:rsidR="00832DDF" w:rsidRPr="00832DDF">
        <w:t>include</w:t>
      </w:r>
      <w:r w:rsidR="00832DDF">
        <w:t xml:space="preserve"> benefits to</w:t>
      </w:r>
      <w:r w:rsidR="00E27556" w:rsidRPr="00832DDF">
        <w:t xml:space="preserve"> </w:t>
      </w:r>
      <w:r w:rsidR="00B029B3" w:rsidRPr="00832DDF">
        <w:t>the environment</w:t>
      </w:r>
      <w:r w:rsidR="00E27556" w:rsidRPr="00832DDF">
        <w:t xml:space="preserve">. </w:t>
      </w:r>
      <w:r w:rsidR="00832DDF" w:rsidRPr="00832DDF">
        <w:t xml:space="preserve">Radiation detriment may only be a small part of the total </w:t>
      </w:r>
      <w:r w:rsidR="00832DDF" w:rsidRPr="0060267C">
        <w:t xml:space="preserve">harm. </w:t>
      </w:r>
      <w:r w:rsidR="00832DDF" w:rsidRPr="00832DDF">
        <w:rPr>
          <w:lang w:eastAsia="en-GB"/>
        </w:rPr>
        <w:t xml:space="preserve">Justification thus goes far beyond the scope of </w:t>
      </w:r>
      <w:r w:rsidR="005A3C40">
        <w:rPr>
          <w:lang w:eastAsia="en-GB"/>
        </w:rPr>
        <w:t>radiation</w:t>
      </w:r>
      <w:r w:rsidR="005A3C40" w:rsidRPr="00832DDF">
        <w:rPr>
          <w:lang w:eastAsia="en-GB"/>
        </w:rPr>
        <w:t xml:space="preserve"> </w:t>
      </w:r>
      <w:r w:rsidR="00832DDF" w:rsidRPr="00832DDF">
        <w:rPr>
          <w:lang w:eastAsia="en-GB"/>
        </w:rPr>
        <w:t>protection, and also involves the consideration of economic, societal and environmental factors</w:t>
      </w:r>
      <w:r w:rsidR="005A3C40">
        <w:rPr>
          <w:lang w:eastAsia="en-GB"/>
        </w:rPr>
        <w:t xml:space="preserve"> [5]</w:t>
      </w:r>
      <w:r w:rsidR="00832DDF" w:rsidRPr="00832DDF">
        <w:rPr>
          <w:lang w:eastAsia="en-GB"/>
        </w:rPr>
        <w:t xml:space="preserve">. </w:t>
      </w:r>
    </w:p>
    <w:p w:rsidR="005A3C40" w:rsidRDefault="00F44DE3" w:rsidP="00BF11EB">
      <w:pPr>
        <w:pStyle w:val="ListParagraph"/>
        <w:numPr>
          <w:ilvl w:val="0"/>
          <w:numId w:val="6"/>
        </w:numPr>
        <w:tabs>
          <w:tab w:val="left" w:pos="709"/>
        </w:tabs>
        <w:spacing w:after="120" w:line="360" w:lineRule="auto"/>
        <w:ind w:left="0" w:firstLine="0"/>
        <w:contextualSpacing w:val="0"/>
        <w:jc w:val="both"/>
      </w:pPr>
      <w:r>
        <w:t>F</w:t>
      </w:r>
      <w:r w:rsidR="005E651D" w:rsidRPr="006C448D">
        <w:t xml:space="preserve">or emergency exposure situations, when considering the justification of </w:t>
      </w:r>
      <w:r w:rsidR="005A3C40">
        <w:t xml:space="preserve">proposed </w:t>
      </w:r>
      <w:r w:rsidR="005E651D" w:rsidRPr="006C448D">
        <w:t>protection actions and the overall protection strategy, par</w:t>
      </w:r>
      <w:r w:rsidR="003937E5">
        <w:t>a</w:t>
      </w:r>
      <w:r w:rsidR="005A3C40">
        <w:t>.</w:t>
      </w:r>
      <w:r w:rsidR="005E651D" w:rsidRPr="006C448D">
        <w:t xml:space="preserve"> 4.29 of GSR Part 7 [</w:t>
      </w:r>
      <w:r w:rsidR="00BB1302">
        <w:t>4</w:t>
      </w:r>
      <w:r w:rsidR="005E651D" w:rsidRPr="006C448D">
        <w:t xml:space="preserve">] </w:t>
      </w:r>
      <w:r w:rsidR="005A3C40">
        <w:t xml:space="preserve">states </w:t>
      </w:r>
      <w:r w:rsidR="0082433F">
        <w:t>that</w:t>
      </w:r>
      <w:r w:rsidR="005E651D" w:rsidRPr="006C448D">
        <w:t xml:space="preserve"> </w:t>
      </w:r>
    </w:p>
    <w:p w:rsidR="005E651D" w:rsidRPr="00E55A35" w:rsidRDefault="007F19DB" w:rsidP="00BB4496">
      <w:pPr>
        <w:tabs>
          <w:tab w:val="left" w:pos="709"/>
        </w:tabs>
        <w:spacing w:after="120" w:line="360" w:lineRule="auto"/>
        <w:ind w:left="567"/>
      </w:pPr>
      <w:r w:rsidRPr="006C448D">
        <w:t>“</w:t>
      </w:r>
      <w:r w:rsidR="005E651D" w:rsidRPr="00E55A35">
        <w:t xml:space="preserve">Each protective action, in the context of the protection strategy, and the protection strategy itself shall be demonstrated </w:t>
      </w:r>
      <w:r w:rsidR="005A3C40">
        <w:t xml:space="preserve">to be justified (i.e. </w:t>
      </w:r>
      <w:r w:rsidR="005E651D" w:rsidRPr="00E55A35">
        <w:t>to do more good than harm</w:t>
      </w:r>
      <w:r w:rsidR="005A3C40">
        <w:t>)</w:t>
      </w:r>
      <w:r w:rsidR="005E651D" w:rsidRPr="00E55A35">
        <w:t>, with account taken not only of those detriments that are as</w:t>
      </w:r>
      <w:r w:rsidR="005E651D" w:rsidRPr="006C448D">
        <w:t xml:space="preserve">sociated with radiation exposure but also of those </w:t>
      </w:r>
      <w:r w:rsidR="005A3C40">
        <w:t xml:space="preserve">detriments </w:t>
      </w:r>
      <w:r w:rsidR="005E651D" w:rsidRPr="006C448D">
        <w:t xml:space="preserve">associated with impacts of the actions taken on public health, </w:t>
      </w:r>
      <w:r w:rsidR="005A3C40">
        <w:t xml:space="preserve">the </w:t>
      </w:r>
      <w:r w:rsidR="005E651D" w:rsidRPr="006C448D">
        <w:t>economy, society and the environment.</w:t>
      </w:r>
      <w:r w:rsidRPr="006C448D">
        <w:t>”</w:t>
      </w:r>
    </w:p>
    <w:p w:rsidR="00560EAD" w:rsidRDefault="00015DFA" w:rsidP="00560EAD">
      <w:pPr>
        <w:numPr>
          <w:ilvl w:val="0"/>
          <w:numId w:val="6"/>
        </w:numPr>
        <w:tabs>
          <w:tab w:val="left" w:pos="709"/>
        </w:tabs>
        <w:overflowPunct/>
        <w:autoSpaceDE/>
        <w:autoSpaceDN/>
        <w:adjustRightInd/>
        <w:spacing w:after="120" w:line="360" w:lineRule="auto"/>
        <w:ind w:left="0" w:firstLine="0"/>
        <w:textAlignment w:val="auto"/>
      </w:pPr>
      <w:r w:rsidRPr="006C448D">
        <w:t>D</w:t>
      </w:r>
      <w:r w:rsidR="00A239B7" w:rsidRPr="006C448D">
        <w:t xml:space="preserve">ecisions </w:t>
      </w:r>
      <w:r w:rsidR="008B15FF">
        <w:t>regarding justification</w:t>
      </w:r>
      <w:r w:rsidR="008B15FF" w:rsidRPr="006C448D">
        <w:t xml:space="preserve"> </w:t>
      </w:r>
      <w:r w:rsidR="00CA2DB2" w:rsidRPr="006C448D">
        <w:t>should</w:t>
      </w:r>
      <w:r w:rsidR="00A239B7" w:rsidRPr="006C448D">
        <w:t xml:space="preserve"> be taken at a sufficiently high governmental level to </w:t>
      </w:r>
      <w:r w:rsidR="005A3C40">
        <w:t>enable</w:t>
      </w:r>
      <w:r w:rsidR="005A3C40" w:rsidRPr="006C448D">
        <w:t xml:space="preserve"> </w:t>
      </w:r>
      <w:r w:rsidR="00A239B7" w:rsidRPr="006C448D">
        <w:t xml:space="preserve">all of the considerations that may be related to the benefits and </w:t>
      </w:r>
      <w:r w:rsidR="00105E82" w:rsidRPr="006C448D">
        <w:t>detriment</w:t>
      </w:r>
      <w:r w:rsidR="00A239B7" w:rsidRPr="006C448D">
        <w:t>s</w:t>
      </w:r>
      <w:r w:rsidR="005A3C40">
        <w:t xml:space="preserve"> to be integrated</w:t>
      </w:r>
      <w:r w:rsidR="00A239B7" w:rsidRPr="006C448D">
        <w:t xml:space="preserve">. Thus, while the regulatory body or other national authority </w:t>
      </w:r>
      <w:r w:rsidR="00703035">
        <w:t xml:space="preserve">concerned with radiation protection </w:t>
      </w:r>
      <w:r w:rsidR="00CA2DB2" w:rsidRPr="006C448D">
        <w:t>should</w:t>
      </w:r>
      <w:r w:rsidR="00A239B7" w:rsidRPr="006C448D">
        <w:t xml:space="preserve"> be responsible for </w:t>
      </w:r>
      <w:r w:rsidR="00EC5CB1">
        <w:t>evaluating the assessment of</w:t>
      </w:r>
      <w:r w:rsidR="00EC5CB1" w:rsidRPr="006C448D">
        <w:t xml:space="preserve"> </w:t>
      </w:r>
      <w:r w:rsidR="00A239B7" w:rsidRPr="006C448D">
        <w:t xml:space="preserve">the radiation detriment, it may not be in </w:t>
      </w:r>
      <w:r w:rsidR="00703035">
        <w:t>a</w:t>
      </w:r>
      <w:r w:rsidR="00703035" w:rsidRPr="006C448D">
        <w:t xml:space="preserve"> </w:t>
      </w:r>
      <w:r w:rsidR="00A239B7" w:rsidRPr="006C448D">
        <w:t xml:space="preserve">position to make the justification decision. Any justification decision </w:t>
      </w:r>
      <w:r w:rsidR="00CA2DB2" w:rsidRPr="006C448D">
        <w:t>should</w:t>
      </w:r>
      <w:r w:rsidR="00A239B7" w:rsidRPr="006C448D">
        <w:t xml:space="preserve"> therefore always involve a consideration of the radiation doses either to be incurred or to be averted or reduced according to the circumstances. </w:t>
      </w:r>
      <w:r w:rsidR="00C740D8" w:rsidRPr="006C448D">
        <w:t xml:space="preserve">In planned exposure situations, </w:t>
      </w:r>
      <w:r w:rsidR="00A06408">
        <w:t xml:space="preserve">radiation risks from </w:t>
      </w:r>
      <w:r w:rsidR="00C740D8" w:rsidRPr="006C448D">
        <w:t xml:space="preserve">potential exposures </w:t>
      </w:r>
      <w:r w:rsidR="008439EA">
        <w:t>are</w:t>
      </w:r>
      <w:r w:rsidR="008439EA" w:rsidRPr="006C448D">
        <w:t xml:space="preserve"> </w:t>
      </w:r>
      <w:r w:rsidR="00473312" w:rsidRPr="006C448D">
        <w:t xml:space="preserve">required </w:t>
      </w:r>
      <w:r w:rsidR="00B17945" w:rsidRPr="006C448D">
        <w:t xml:space="preserve">also </w:t>
      </w:r>
      <w:r w:rsidR="008439EA">
        <w:t xml:space="preserve">to </w:t>
      </w:r>
      <w:r w:rsidR="00C740D8" w:rsidRPr="006C448D">
        <w:t>be considered</w:t>
      </w:r>
      <w:r w:rsidR="00DB40DD" w:rsidRPr="006C448D">
        <w:t xml:space="preserve"> in the justification decision</w:t>
      </w:r>
      <w:r w:rsidR="00C740D8" w:rsidRPr="006C448D">
        <w:t xml:space="preserve">. </w:t>
      </w:r>
    </w:p>
    <w:p w:rsidR="00560EAD" w:rsidRDefault="007D68E6" w:rsidP="00560EAD">
      <w:pPr>
        <w:tabs>
          <w:tab w:val="left" w:pos="709"/>
        </w:tabs>
        <w:overflowPunct/>
        <w:autoSpaceDE/>
        <w:autoSpaceDN/>
        <w:adjustRightInd/>
        <w:spacing w:after="120" w:line="360" w:lineRule="auto"/>
        <w:textAlignment w:val="auto"/>
      </w:pPr>
      <w:r w:rsidRPr="00560EAD">
        <w:rPr>
          <w:b/>
        </w:rPr>
        <w:lastRenderedPageBreak/>
        <w:t xml:space="preserve">Optimization </w:t>
      </w:r>
      <w:r w:rsidR="00C71A74" w:rsidRPr="00560EAD">
        <w:rPr>
          <w:b/>
        </w:rPr>
        <w:t>of protection and safety</w:t>
      </w:r>
    </w:p>
    <w:p w:rsidR="00703035" w:rsidRDefault="00560EAD" w:rsidP="00560EAD">
      <w:pPr>
        <w:numPr>
          <w:ilvl w:val="0"/>
          <w:numId w:val="6"/>
        </w:numPr>
        <w:tabs>
          <w:tab w:val="left" w:pos="709"/>
        </w:tabs>
        <w:overflowPunct/>
        <w:autoSpaceDE/>
        <w:autoSpaceDN/>
        <w:adjustRightInd/>
        <w:spacing w:after="120" w:line="360" w:lineRule="auto"/>
        <w:ind w:left="0" w:firstLine="0"/>
        <w:textAlignment w:val="auto"/>
      </w:pPr>
      <w:r>
        <w:t>Para</w:t>
      </w:r>
      <w:r w:rsidR="00703035">
        <w:t>graph</w:t>
      </w:r>
      <w:r>
        <w:t xml:space="preserve"> </w:t>
      </w:r>
      <w:r w:rsidRPr="006C448D">
        <w:t>2.10 of</w:t>
      </w:r>
      <w:r>
        <w:t xml:space="preserve"> GSR Part 3</w:t>
      </w:r>
      <w:r w:rsidRPr="006C448D">
        <w:t xml:space="preserve"> </w:t>
      </w:r>
      <w:r>
        <w:t xml:space="preserve">[2] </w:t>
      </w:r>
      <w:r w:rsidRPr="006C448D">
        <w:t>states</w:t>
      </w:r>
      <w:r w:rsidR="00703035">
        <w:t xml:space="preserve"> that</w:t>
      </w:r>
      <w:r w:rsidRPr="006C448D">
        <w:t xml:space="preserve"> </w:t>
      </w:r>
    </w:p>
    <w:p w:rsidR="00560EAD" w:rsidRDefault="00560EAD" w:rsidP="00BB4496">
      <w:pPr>
        <w:tabs>
          <w:tab w:val="left" w:pos="709"/>
        </w:tabs>
        <w:overflowPunct/>
        <w:autoSpaceDE/>
        <w:autoSpaceDN/>
        <w:adjustRightInd/>
        <w:spacing w:after="120" w:line="360" w:lineRule="auto"/>
        <w:ind w:left="567"/>
        <w:textAlignment w:val="auto"/>
      </w:pPr>
      <w:r w:rsidRPr="006C448D">
        <w:t>“</w:t>
      </w:r>
      <w:r w:rsidRPr="00E55A35">
        <w:t>For all exposure situations</w:t>
      </w:r>
      <w:r w:rsidRPr="006C448D">
        <w:t>, each party with responsibilities for protection and safety shall ensure, when relevant requirements apply to that party, that protection and safety is optimized.”</w:t>
      </w:r>
    </w:p>
    <w:p w:rsidR="00775BAF" w:rsidRPr="0088275F" w:rsidRDefault="00E3083B" w:rsidP="00560EAD">
      <w:pPr>
        <w:numPr>
          <w:ilvl w:val="0"/>
          <w:numId w:val="6"/>
        </w:numPr>
        <w:tabs>
          <w:tab w:val="left" w:pos="709"/>
        </w:tabs>
        <w:overflowPunct/>
        <w:autoSpaceDE/>
        <w:autoSpaceDN/>
        <w:adjustRightInd/>
        <w:spacing w:after="120" w:line="360" w:lineRule="auto"/>
        <w:ind w:left="0" w:firstLine="0"/>
        <w:textAlignment w:val="auto"/>
        <w:rPr>
          <w:b/>
        </w:rPr>
      </w:pPr>
      <w:r w:rsidRPr="006C448D">
        <w:t>‘</w:t>
      </w:r>
      <w:r w:rsidR="00703035">
        <w:t>Protection and safety is o</w:t>
      </w:r>
      <w:r w:rsidR="00D97BB8" w:rsidRPr="00E55A35">
        <w:t>ptimized</w:t>
      </w:r>
      <w:r w:rsidRPr="006C448D">
        <w:t>’</w:t>
      </w:r>
      <w:r w:rsidR="00D97BB8" w:rsidRPr="00E55A35">
        <w:t xml:space="preserve"> in this context means that optimization of protection and safety has been applied and the result of that process has been implemented.</w:t>
      </w:r>
      <w:r w:rsidR="00EB2AF7" w:rsidRPr="006C448D">
        <w:t xml:space="preserve"> </w:t>
      </w:r>
    </w:p>
    <w:p w:rsidR="00F41EFF" w:rsidRPr="006C448D" w:rsidRDefault="00F41EFF" w:rsidP="00BF11EB">
      <w:pPr>
        <w:numPr>
          <w:ilvl w:val="0"/>
          <w:numId w:val="6"/>
        </w:numPr>
        <w:tabs>
          <w:tab w:val="left" w:pos="709"/>
        </w:tabs>
        <w:overflowPunct/>
        <w:spacing w:after="120" w:line="360" w:lineRule="auto"/>
        <w:ind w:left="0" w:firstLine="0"/>
        <w:textAlignment w:val="auto"/>
      </w:pPr>
      <w:r w:rsidRPr="006C448D">
        <w:t>Optimization of protection and safety is define</w:t>
      </w:r>
      <w:r w:rsidR="00404C88" w:rsidRPr="006C448D">
        <w:t>d</w:t>
      </w:r>
      <w:r w:rsidRPr="006C448D">
        <w:t xml:space="preserve"> as t</w:t>
      </w:r>
      <w:r w:rsidR="005D4FEF" w:rsidRPr="006C448D">
        <w:t xml:space="preserve">he process </w:t>
      </w:r>
      <w:r w:rsidR="0088275F">
        <w:t>for</w:t>
      </w:r>
      <w:r w:rsidR="0088275F" w:rsidRPr="006C448D">
        <w:t xml:space="preserve"> </w:t>
      </w:r>
      <w:r w:rsidR="005D4FEF" w:rsidRPr="006C448D">
        <w:t xml:space="preserve">determining what level of protection and safety would result in the magnitude of individual doses, the number of individuals (workers and members of the public) subject to exposure and the likelihood of exposure being </w:t>
      </w:r>
      <w:r w:rsidR="007F19DB" w:rsidRPr="006C448D">
        <w:t>“</w:t>
      </w:r>
      <w:r w:rsidR="005D4FEF" w:rsidRPr="006C448D">
        <w:t>as low as reasonably achievable, economic and social factors being taken into account</w:t>
      </w:r>
      <w:r w:rsidR="007F19DB" w:rsidRPr="006C448D">
        <w:t>”</w:t>
      </w:r>
      <w:r w:rsidR="005D4FEF" w:rsidRPr="006C448D">
        <w:t xml:space="preserve"> (ALARA).</w:t>
      </w:r>
      <w:r w:rsidR="00577D7A" w:rsidRPr="006C448D">
        <w:t xml:space="preserve"> </w:t>
      </w:r>
      <w:r w:rsidR="00285073" w:rsidRPr="006C448D">
        <w:rPr>
          <w:iCs/>
        </w:rPr>
        <w:t xml:space="preserve">This means that the level of protection would be the best possible under the prevailing circumstances, </w:t>
      </w:r>
      <w:r w:rsidR="00285073" w:rsidRPr="006C448D">
        <w:t>and will thus not necessarily be the option with the lowest risk or dose</w:t>
      </w:r>
      <w:r w:rsidR="00285073" w:rsidRPr="006C448D">
        <w:rPr>
          <w:iCs/>
        </w:rPr>
        <w:t>.</w:t>
      </w:r>
      <w:r w:rsidR="00A6047D">
        <w:rPr>
          <w:iCs/>
        </w:rPr>
        <w:t xml:space="preserve"> Protection of the environment should also be considered in the process of optimization of protection and safety.</w:t>
      </w:r>
    </w:p>
    <w:p w:rsidR="006942C7" w:rsidRPr="006C448D" w:rsidRDefault="00703035" w:rsidP="00BF11EB">
      <w:pPr>
        <w:numPr>
          <w:ilvl w:val="0"/>
          <w:numId w:val="6"/>
        </w:numPr>
        <w:tabs>
          <w:tab w:val="left" w:pos="709"/>
        </w:tabs>
        <w:overflowPunct/>
        <w:spacing w:after="120" w:line="360" w:lineRule="auto"/>
        <w:ind w:left="0" w:firstLine="0"/>
        <w:textAlignment w:val="auto"/>
      </w:pPr>
      <w:r>
        <w:rPr>
          <w:iCs/>
        </w:rPr>
        <w:t>Protection and safety should be optimized</w:t>
      </w:r>
      <w:r w:rsidR="006942C7" w:rsidRPr="006C448D">
        <w:rPr>
          <w:iCs/>
        </w:rPr>
        <w:t xml:space="preserve"> through an on-going cyclical approach that </w:t>
      </w:r>
      <w:r>
        <w:rPr>
          <w:iCs/>
        </w:rPr>
        <w:t>involves</w:t>
      </w:r>
      <w:r w:rsidR="006942C7" w:rsidRPr="006C448D">
        <w:rPr>
          <w:iCs/>
        </w:rPr>
        <w:t>:</w:t>
      </w:r>
    </w:p>
    <w:p w:rsidR="006942C7" w:rsidRPr="006C448D" w:rsidRDefault="00732E90" w:rsidP="00BF11EB">
      <w:pPr>
        <w:numPr>
          <w:ilvl w:val="1"/>
          <w:numId w:val="10"/>
        </w:numPr>
        <w:tabs>
          <w:tab w:val="left" w:pos="709"/>
        </w:tabs>
        <w:overflowPunct/>
        <w:spacing w:after="120" w:line="360" w:lineRule="auto"/>
        <w:ind w:left="0" w:firstLine="0"/>
        <w:textAlignment w:val="auto"/>
      </w:pPr>
      <w:r>
        <w:rPr>
          <w:iCs/>
        </w:rPr>
        <w:t>E</w:t>
      </w:r>
      <w:r w:rsidR="006942C7" w:rsidRPr="006C448D">
        <w:rPr>
          <w:iCs/>
        </w:rPr>
        <w:t xml:space="preserve">valuation of the exposure situation to identify the need for action; </w:t>
      </w:r>
    </w:p>
    <w:p w:rsidR="006942C7" w:rsidRPr="006C448D" w:rsidRDefault="00732E90" w:rsidP="00BF11EB">
      <w:pPr>
        <w:numPr>
          <w:ilvl w:val="1"/>
          <w:numId w:val="10"/>
        </w:numPr>
        <w:tabs>
          <w:tab w:val="clear" w:pos="1440"/>
          <w:tab w:val="num" w:pos="709"/>
        </w:tabs>
        <w:overflowPunct/>
        <w:spacing w:after="120" w:line="360" w:lineRule="auto"/>
        <w:ind w:left="709" w:hanging="709"/>
        <w:textAlignment w:val="auto"/>
      </w:pPr>
      <w:r>
        <w:rPr>
          <w:iCs/>
        </w:rPr>
        <w:t>I</w:t>
      </w:r>
      <w:r w:rsidR="006942C7" w:rsidRPr="006C448D">
        <w:rPr>
          <w:iCs/>
        </w:rPr>
        <w:t xml:space="preserve">dentification of possible protective </w:t>
      </w:r>
      <w:r w:rsidR="00FD7E6B">
        <w:rPr>
          <w:iCs/>
        </w:rPr>
        <w:t>action</w:t>
      </w:r>
      <w:r w:rsidR="006942C7" w:rsidRPr="006C448D">
        <w:rPr>
          <w:iCs/>
        </w:rPr>
        <w:t xml:space="preserve">s to keep the exposure as low as reasonably achievable; </w:t>
      </w:r>
    </w:p>
    <w:p w:rsidR="006942C7" w:rsidRPr="00E273A0" w:rsidRDefault="00732E90" w:rsidP="00BF11EB">
      <w:pPr>
        <w:numPr>
          <w:ilvl w:val="1"/>
          <w:numId w:val="10"/>
        </w:numPr>
        <w:tabs>
          <w:tab w:val="left" w:pos="709"/>
        </w:tabs>
        <w:overflowPunct/>
        <w:spacing w:after="120" w:line="360" w:lineRule="auto"/>
        <w:ind w:left="0" w:firstLine="0"/>
        <w:textAlignment w:val="auto"/>
        <w:rPr>
          <w:iCs/>
        </w:rPr>
      </w:pPr>
      <w:r>
        <w:rPr>
          <w:iCs/>
        </w:rPr>
        <w:t>S</w:t>
      </w:r>
      <w:r w:rsidR="006942C7" w:rsidRPr="006C448D">
        <w:rPr>
          <w:iCs/>
        </w:rPr>
        <w:t xml:space="preserve">election of the best </w:t>
      </w:r>
      <w:r w:rsidR="00FD7E6B" w:rsidRPr="006C448D">
        <w:rPr>
          <w:iCs/>
        </w:rPr>
        <w:t xml:space="preserve">protective </w:t>
      </w:r>
      <w:r w:rsidR="00FD7E6B">
        <w:rPr>
          <w:iCs/>
        </w:rPr>
        <w:t>action</w:t>
      </w:r>
      <w:r>
        <w:rPr>
          <w:iCs/>
        </w:rPr>
        <w:t xml:space="preserve">s </w:t>
      </w:r>
      <w:r w:rsidR="006942C7" w:rsidRPr="006C448D">
        <w:rPr>
          <w:iCs/>
        </w:rPr>
        <w:t>under the prevailing circumstances</w:t>
      </w:r>
      <w:r w:rsidR="00B35543">
        <w:rPr>
          <w:iCs/>
        </w:rPr>
        <w:t>;</w:t>
      </w:r>
      <w:r w:rsidR="006942C7" w:rsidRPr="006C448D">
        <w:rPr>
          <w:iCs/>
        </w:rPr>
        <w:t xml:space="preserve"> </w:t>
      </w:r>
    </w:p>
    <w:p w:rsidR="006942C7" w:rsidRPr="00E273A0" w:rsidRDefault="00732E90" w:rsidP="00BF11EB">
      <w:pPr>
        <w:numPr>
          <w:ilvl w:val="1"/>
          <w:numId w:val="10"/>
        </w:numPr>
        <w:tabs>
          <w:tab w:val="left" w:pos="709"/>
        </w:tabs>
        <w:overflowPunct/>
        <w:spacing w:after="120" w:line="360" w:lineRule="auto"/>
        <w:ind w:left="0" w:firstLine="0"/>
        <w:textAlignment w:val="auto"/>
        <w:rPr>
          <w:iCs/>
        </w:rPr>
      </w:pPr>
      <w:r>
        <w:rPr>
          <w:iCs/>
        </w:rPr>
        <w:t>I</w:t>
      </w:r>
      <w:r w:rsidR="006942C7" w:rsidRPr="006C448D">
        <w:rPr>
          <w:iCs/>
        </w:rPr>
        <w:t xml:space="preserve">mplementation of the selected </w:t>
      </w:r>
      <w:r w:rsidR="00FD7E6B" w:rsidRPr="006C448D">
        <w:rPr>
          <w:iCs/>
        </w:rPr>
        <w:t xml:space="preserve">protective </w:t>
      </w:r>
      <w:r w:rsidR="00FD7E6B">
        <w:rPr>
          <w:iCs/>
        </w:rPr>
        <w:t>action</w:t>
      </w:r>
      <w:r>
        <w:rPr>
          <w:iCs/>
        </w:rPr>
        <w:t>s</w:t>
      </w:r>
      <w:r w:rsidR="006942C7" w:rsidRPr="006C448D">
        <w:rPr>
          <w:iCs/>
        </w:rPr>
        <w:t xml:space="preserve">; </w:t>
      </w:r>
    </w:p>
    <w:p w:rsidR="006942C7" w:rsidRPr="00E273A0" w:rsidRDefault="00732E90" w:rsidP="00BF11EB">
      <w:pPr>
        <w:numPr>
          <w:ilvl w:val="1"/>
          <w:numId w:val="10"/>
        </w:numPr>
        <w:tabs>
          <w:tab w:val="clear" w:pos="1440"/>
          <w:tab w:val="num" w:pos="709"/>
        </w:tabs>
        <w:overflowPunct/>
        <w:spacing w:after="120" w:line="360" w:lineRule="auto"/>
        <w:ind w:left="709" w:hanging="709"/>
        <w:textAlignment w:val="auto"/>
        <w:rPr>
          <w:iCs/>
        </w:rPr>
      </w:pPr>
      <w:r>
        <w:rPr>
          <w:iCs/>
        </w:rPr>
        <w:t>R</w:t>
      </w:r>
      <w:r w:rsidR="006942C7" w:rsidRPr="006C448D">
        <w:rPr>
          <w:iCs/>
        </w:rPr>
        <w:t xml:space="preserve">egular review of the exposure situation to evaluate </w:t>
      </w:r>
      <w:r>
        <w:rPr>
          <w:iCs/>
        </w:rPr>
        <w:t>whether</w:t>
      </w:r>
      <w:r w:rsidRPr="006C448D">
        <w:rPr>
          <w:iCs/>
        </w:rPr>
        <w:t xml:space="preserve"> </w:t>
      </w:r>
      <w:r w:rsidR="006942C7" w:rsidRPr="006C448D">
        <w:rPr>
          <w:iCs/>
        </w:rPr>
        <w:t xml:space="preserve">the prevailing circumstances </w:t>
      </w:r>
      <w:r>
        <w:rPr>
          <w:iCs/>
        </w:rPr>
        <w:t>necessitate</w:t>
      </w:r>
      <w:r w:rsidRPr="006C448D">
        <w:rPr>
          <w:iCs/>
        </w:rPr>
        <w:t xml:space="preserve"> </w:t>
      </w:r>
      <w:r w:rsidR="006942C7" w:rsidRPr="006C448D">
        <w:rPr>
          <w:iCs/>
        </w:rPr>
        <w:t xml:space="preserve">any changes to the </w:t>
      </w:r>
      <w:r w:rsidR="0076528D">
        <w:rPr>
          <w:iCs/>
        </w:rPr>
        <w:t xml:space="preserve">selected </w:t>
      </w:r>
      <w:r w:rsidR="006942C7" w:rsidRPr="006C448D">
        <w:rPr>
          <w:iCs/>
        </w:rPr>
        <w:t xml:space="preserve">protective </w:t>
      </w:r>
      <w:r w:rsidR="00FD7E6B">
        <w:rPr>
          <w:iCs/>
        </w:rPr>
        <w:t>actions</w:t>
      </w:r>
      <w:r w:rsidR="006942C7" w:rsidRPr="006C448D">
        <w:rPr>
          <w:iCs/>
        </w:rPr>
        <w:t>.</w:t>
      </w:r>
    </w:p>
    <w:p w:rsidR="00732E90" w:rsidRDefault="001701F0" w:rsidP="00BF11EB">
      <w:pPr>
        <w:numPr>
          <w:ilvl w:val="0"/>
          <w:numId w:val="6"/>
        </w:numPr>
        <w:tabs>
          <w:tab w:val="left" w:pos="709"/>
        </w:tabs>
        <w:overflowPunct/>
        <w:autoSpaceDE/>
        <w:autoSpaceDN/>
        <w:adjustRightInd/>
        <w:spacing w:after="120" w:line="360" w:lineRule="auto"/>
        <w:ind w:left="0" w:firstLine="0"/>
        <w:textAlignment w:val="auto"/>
      </w:pPr>
      <w:r w:rsidRPr="006C448D">
        <w:t>For</w:t>
      </w:r>
      <w:r w:rsidR="007D68E6" w:rsidRPr="006C448D">
        <w:t xml:space="preserve"> planned exposure situations, Requirement 11 </w:t>
      </w:r>
      <w:r w:rsidR="00452AA4">
        <w:t xml:space="preserve">of GSR Part 3 [2] </w:t>
      </w:r>
      <w:r w:rsidR="007D68E6" w:rsidRPr="006C448D">
        <w:t xml:space="preserve">states </w:t>
      </w:r>
      <w:r w:rsidR="00732E90">
        <w:t xml:space="preserve">that </w:t>
      </w:r>
    </w:p>
    <w:p w:rsidR="00732E90" w:rsidRDefault="0078042F" w:rsidP="00BB4496">
      <w:pPr>
        <w:tabs>
          <w:tab w:val="left" w:pos="709"/>
        </w:tabs>
        <w:overflowPunct/>
        <w:autoSpaceDE/>
        <w:autoSpaceDN/>
        <w:adjustRightInd/>
        <w:spacing w:after="120" w:line="360" w:lineRule="auto"/>
        <w:ind w:left="567"/>
        <w:textAlignment w:val="auto"/>
      </w:pPr>
      <w:r>
        <w:t>“</w:t>
      </w:r>
      <w:r w:rsidR="00732E90">
        <w:t>T</w:t>
      </w:r>
      <w:r w:rsidR="007D68E6" w:rsidRPr="00E55A35">
        <w:t xml:space="preserve">he </w:t>
      </w:r>
      <w:r w:rsidR="000300D1" w:rsidRPr="00E55A35">
        <w:t xml:space="preserve">government or the </w:t>
      </w:r>
      <w:r w:rsidR="007D68E6" w:rsidRPr="006C448D">
        <w:t xml:space="preserve">regulatory body shall establish </w:t>
      </w:r>
      <w:r w:rsidR="000300D1" w:rsidRPr="006C448D">
        <w:t xml:space="preserve">and enforce </w:t>
      </w:r>
      <w:r w:rsidR="007D68E6" w:rsidRPr="006C448D">
        <w:t xml:space="preserve">requirements for </w:t>
      </w:r>
      <w:r w:rsidR="000300D1" w:rsidRPr="006C448D">
        <w:t xml:space="preserve">the </w:t>
      </w:r>
      <w:r w:rsidR="007D68E6" w:rsidRPr="006C448D">
        <w:t>optimization of protection and safety</w:t>
      </w:r>
      <w:r w:rsidR="00732E90">
        <w:t>,</w:t>
      </w:r>
      <w:r w:rsidR="007D68E6" w:rsidRPr="006C448D">
        <w:t xml:space="preserve"> and </w:t>
      </w:r>
      <w:r w:rsidR="000300D1" w:rsidRPr="006C448D">
        <w:t>registrants and licensees shall ensu</w:t>
      </w:r>
      <w:r w:rsidR="00473312" w:rsidRPr="00C83160">
        <w:t>r</w:t>
      </w:r>
      <w:r w:rsidR="000300D1" w:rsidRPr="00E55A35">
        <w:t>e</w:t>
      </w:r>
      <w:r w:rsidR="007D68E6" w:rsidRPr="00E55A35">
        <w:t xml:space="preserve"> that protection and safety is optimized</w:t>
      </w:r>
      <w:r>
        <w:t>”</w:t>
      </w:r>
      <w:r w:rsidR="007D68E6" w:rsidRPr="00E55A35">
        <w:t xml:space="preserve">. </w:t>
      </w:r>
    </w:p>
    <w:p w:rsidR="008F34C7" w:rsidRPr="006C448D" w:rsidRDefault="007D68E6" w:rsidP="00BB4496">
      <w:pPr>
        <w:tabs>
          <w:tab w:val="left" w:pos="709"/>
        </w:tabs>
        <w:overflowPunct/>
        <w:autoSpaceDE/>
        <w:autoSpaceDN/>
        <w:adjustRightInd/>
        <w:spacing w:after="120" w:line="360" w:lineRule="auto"/>
        <w:textAlignment w:val="auto"/>
      </w:pPr>
      <w:r w:rsidRPr="00E55A35">
        <w:t>Paragraph 3.23</w:t>
      </w:r>
      <w:r w:rsidR="009A1978" w:rsidRPr="00E55A35">
        <w:t xml:space="preserve"> of GSR Part 3 </w:t>
      </w:r>
      <w:r w:rsidR="00C05FFE">
        <w:t>[2]</w:t>
      </w:r>
      <w:r w:rsidR="009A1978" w:rsidRPr="00E55A35">
        <w:t xml:space="preserve"> requires</w:t>
      </w:r>
      <w:r w:rsidRPr="006C448D">
        <w:t xml:space="preserve"> registrants and licensees </w:t>
      </w:r>
      <w:r w:rsidR="00732E90">
        <w:t xml:space="preserve">to </w:t>
      </w:r>
      <w:r w:rsidRPr="006C448D">
        <w:t xml:space="preserve">ensure that protection and safety is optimized. </w:t>
      </w:r>
    </w:p>
    <w:p w:rsidR="008F34C7" w:rsidRPr="0045207A" w:rsidRDefault="008F34C7" w:rsidP="00BF11EB">
      <w:pPr>
        <w:numPr>
          <w:ilvl w:val="0"/>
          <w:numId w:val="6"/>
        </w:numPr>
        <w:tabs>
          <w:tab w:val="left" w:pos="709"/>
        </w:tabs>
        <w:overflowPunct/>
        <w:autoSpaceDE/>
        <w:autoSpaceDN/>
        <w:adjustRightInd/>
        <w:spacing w:after="120" w:line="360" w:lineRule="auto"/>
        <w:ind w:left="0" w:firstLine="0"/>
        <w:textAlignment w:val="auto"/>
      </w:pPr>
      <w:r w:rsidRPr="006C448D">
        <w:lastRenderedPageBreak/>
        <w:t xml:space="preserve">For </w:t>
      </w:r>
      <w:r w:rsidR="007D68E6" w:rsidRPr="006C448D">
        <w:t xml:space="preserve">emergency exposure situations, Requirement 44 </w:t>
      </w:r>
      <w:r w:rsidR="009A1978" w:rsidRPr="006C448D">
        <w:t xml:space="preserve">of GSR Part 3 </w:t>
      </w:r>
      <w:r w:rsidR="00C05FFE">
        <w:t>[2]</w:t>
      </w:r>
      <w:r w:rsidR="009A1978" w:rsidRPr="006C448D">
        <w:t xml:space="preserve"> </w:t>
      </w:r>
      <w:r w:rsidRPr="006C448D">
        <w:t>and Requirement 5 of GSR Part 7 [</w:t>
      </w:r>
      <w:r w:rsidR="00BB1302">
        <w:t>4</w:t>
      </w:r>
      <w:r w:rsidRPr="006C448D">
        <w:t xml:space="preserve">] </w:t>
      </w:r>
      <w:r w:rsidR="007D68E6" w:rsidRPr="006C448D">
        <w:t xml:space="preserve">require </w:t>
      </w:r>
      <w:r w:rsidR="00884C64">
        <w:t xml:space="preserve">the </w:t>
      </w:r>
      <w:r w:rsidR="007D68E6" w:rsidRPr="006C448D">
        <w:t xml:space="preserve">government </w:t>
      </w:r>
      <w:r w:rsidR="00732E90">
        <w:t xml:space="preserve">to </w:t>
      </w:r>
      <w:r w:rsidR="007D68E6" w:rsidRPr="006C448D">
        <w:t>ensure that protection strategies are developed, justifie</w:t>
      </w:r>
      <w:r w:rsidR="006A18FB" w:rsidRPr="006C448D">
        <w:t>d</w:t>
      </w:r>
      <w:r w:rsidR="007D68E6" w:rsidRPr="006C448D">
        <w:t xml:space="preserve"> and optimized at the stage</w:t>
      </w:r>
      <w:r w:rsidR="006A18FB" w:rsidRPr="006C448D">
        <w:t xml:space="preserve"> for taking protective actions and other response actions effectively. </w:t>
      </w:r>
      <w:r w:rsidR="00732E90">
        <w:t>Paragraph 4.31 of GSR Part 7 [4] states further that t</w:t>
      </w:r>
      <w:r w:rsidR="006A18FB" w:rsidRPr="006C448D">
        <w:t xml:space="preserve">he </w:t>
      </w:r>
      <w:r w:rsidR="00732E90">
        <w:t xml:space="preserve">government is also required to ensure that the </w:t>
      </w:r>
      <w:r w:rsidR="006A18FB" w:rsidRPr="006C448D">
        <w:t>protection strategy is implemented safel</w:t>
      </w:r>
      <w:r w:rsidR="006A18FB" w:rsidRPr="00E55A35">
        <w:t>y and effectively in</w:t>
      </w:r>
      <w:r w:rsidR="00732E90">
        <w:t xml:space="preserve"> an emergency</w:t>
      </w:r>
      <w:r w:rsidR="006A18FB" w:rsidRPr="00E55A35">
        <w:t xml:space="preserve"> response through</w:t>
      </w:r>
      <w:r w:rsidR="006A18FB" w:rsidRPr="0045207A">
        <w:t xml:space="preserve"> the implementation of emergency arrangements</w:t>
      </w:r>
      <w:r w:rsidR="007D68E6" w:rsidRPr="0045207A">
        <w:t xml:space="preserve">. </w:t>
      </w:r>
    </w:p>
    <w:p w:rsidR="000321F2" w:rsidRPr="0045207A" w:rsidRDefault="001701F0" w:rsidP="00BF11EB">
      <w:pPr>
        <w:numPr>
          <w:ilvl w:val="0"/>
          <w:numId w:val="6"/>
        </w:numPr>
        <w:tabs>
          <w:tab w:val="left" w:pos="709"/>
        </w:tabs>
        <w:overflowPunct/>
        <w:autoSpaceDE/>
        <w:autoSpaceDN/>
        <w:adjustRightInd/>
        <w:spacing w:after="120" w:line="360" w:lineRule="auto"/>
        <w:ind w:left="0" w:firstLine="0"/>
        <w:textAlignment w:val="auto"/>
      </w:pPr>
      <w:r w:rsidRPr="0045207A">
        <w:t>For</w:t>
      </w:r>
      <w:r w:rsidR="007D68E6" w:rsidRPr="0045207A">
        <w:t xml:space="preserve"> existing exposure situations, Requirement 48 </w:t>
      </w:r>
      <w:r w:rsidR="009A1978" w:rsidRPr="0045207A">
        <w:t xml:space="preserve">of GSR Part 3 </w:t>
      </w:r>
      <w:r w:rsidR="00C05FFE">
        <w:t>[2]</w:t>
      </w:r>
      <w:r w:rsidR="009A1978" w:rsidRPr="0045207A">
        <w:t xml:space="preserve"> </w:t>
      </w:r>
      <w:r w:rsidR="007D68E6" w:rsidRPr="0045207A">
        <w:t xml:space="preserve">requires the government and the regulatory body or other relevant authority to ensure that protection and safety is optimized. </w:t>
      </w:r>
    </w:p>
    <w:p w:rsidR="007D68E6" w:rsidRPr="006C448D" w:rsidRDefault="006C0DA0" w:rsidP="00BF11EB">
      <w:pPr>
        <w:numPr>
          <w:ilvl w:val="0"/>
          <w:numId w:val="6"/>
        </w:numPr>
        <w:tabs>
          <w:tab w:val="left" w:pos="709"/>
        </w:tabs>
        <w:overflowPunct/>
        <w:autoSpaceDE/>
        <w:autoSpaceDN/>
        <w:adjustRightInd/>
        <w:spacing w:after="120" w:line="360" w:lineRule="auto"/>
        <w:ind w:left="0" w:firstLine="0"/>
        <w:textAlignment w:val="auto"/>
      </w:pPr>
      <w:r w:rsidRPr="0045207A">
        <w:t xml:space="preserve">In </w:t>
      </w:r>
      <w:r w:rsidR="00732E90">
        <w:t>all</w:t>
      </w:r>
      <w:r w:rsidR="00732E90" w:rsidRPr="0045207A">
        <w:t xml:space="preserve"> </w:t>
      </w:r>
      <w:r w:rsidR="00732E90">
        <w:t xml:space="preserve">three </w:t>
      </w:r>
      <w:r w:rsidRPr="0045207A">
        <w:t>exposure situation</w:t>
      </w:r>
      <w:r w:rsidR="00732E90">
        <w:t>s</w:t>
      </w:r>
      <w:r w:rsidRPr="0045207A">
        <w:t>, t</w:t>
      </w:r>
      <w:r w:rsidR="006C569A" w:rsidRPr="0045207A">
        <w:t xml:space="preserve">he </w:t>
      </w:r>
      <w:r w:rsidR="006C569A" w:rsidRPr="00E55A35">
        <w:t xml:space="preserve">process of </w:t>
      </w:r>
      <w:r w:rsidR="00A410E6" w:rsidRPr="00E55A35">
        <w:t xml:space="preserve">justification and </w:t>
      </w:r>
      <w:r w:rsidR="006C569A" w:rsidRPr="00E55A35">
        <w:t xml:space="preserve">optimization </w:t>
      </w:r>
      <w:r w:rsidR="00CA2DB2" w:rsidRPr="006C448D">
        <w:t>should</w:t>
      </w:r>
      <w:r w:rsidR="003D50E5">
        <w:t>, when possible,</w:t>
      </w:r>
      <w:r w:rsidR="006C569A" w:rsidRPr="00E55A35">
        <w:t xml:space="preserve"> include consultation with interested parties</w:t>
      </w:r>
      <w:r w:rsidR="008A5534">
        <w:t>, such as community groups</w:t>
      </w:r>
      <w:r w:rsidR="00C416E6">
        <w:t>, local residents</w:t>
      </w:r>
      <w:r w:rsidR="008A5534">
        <w:t xml:space="preserve"> and members of the public</w:t>
      </w:r>
      <w:r w:rsidR="006C569A" w:rsidRPr="00E55A35">
        <w:t>.</w:t>
      </w:r>
    </w:p>
    <w:p w:rsidR="007D68E6" w:rsidRPr="006C448D" w:rsidRDefault="007D68E6" w:rsidP="00E273A0">
      <w:pPr>
        <w:tabs>
          <w:tab w:val="left" w:pos="709"/>
        </w:tabs>
        <w:overflowPunct/>
        <w:autoSpaceDE/>
        <w:autoSpaceDN/>
        <w:adjustRightInd/>
        <w:spacing w:after="120" w:line="360" w:lineRule="auto"/>
        <w:textAlignment w:val="auto"/>
        <w:rPr>
          <w:i/>
        </w:rPr>
      </w:pPr>
      <w:r w:rsidRPr="006C448D">
        <w:rPr>
          <w:i/>
        </w:rPr>
        <w:t>Boundar</w:t>
      </w:r>
      <w:r w:rsidR="00732E90">
        <w:rPr>
          <w:i/>
        </w:rPr>
        <w:t>y conditions</w:t>
      </w:r>
      <w:r w:rsidRPr="006C448D">
        <w:rPr>
          <w:i/>
        </w:rPr>
        <w:t xml:space="preserve"> for optimization</w:t>
      </w:r>
    </w:p>
    <w:p w:rsidR="00C14986" w:rsidRPr="0045207A" w:rsidRDefault="007D68E6" w:rsidP="0060267C">
      <w:pPr>
        <w:numPr>
          <w:ilvl w:val="0"/>
          <w:numId w:val="6"/>
        </w:numPr>
        <w:tabs>
          <w:tab w:val="left" w:pos="709"/>
        </w:tabs>
        <w:overflowPunct/>
        <w:autoSpaceDE/>
        <w:autoSpaceDN/>
        <w:adjustRightInd/>
        <w:spacing w:after="120" w:line="360" w:lineRule="auto"/>
        <w:ind w:left="0" w:firstLine="0"/>
        <w:textAlignment w:val="auto"/>
      </w:pPr>
      <w:r w:rsidRPr="006C448D">
        <w:t xml:space="preserve">Optimization of </w:t>
      </w:r>
      <w:proofErr w:type="gramStart"/>
      <w:r w:rsidRPr="006C448D">
        <w:t xml:space="preserve">protection </w:t>
      </w:r>
      <w:r w:rsidRPr="00E55A35">
        <w:t xml:space="preserve"> </w:t>
      </w:r>
      <w:r w:rsidR="00732E90">
        <w:t>i</w:t>
      </w:r>
      <w:r w:rsidRPr="00E55A35">
        <w:t>s</w:t>
      </w:r>
      <w:proofErr w:type="gramEnd"/>
      <w:r w:rsidRPr="00E55A35">
        <w:t xml:space="preserve"> a </w:t>
      </w:r>
      <w:r w:rsidR="00732E90">
        <w:t>prospective</w:t>
      </w:r>
      <w:r w:rsidRPr="00E55A35">
        <w:t>, iterative process that examines the available options for protection. Depending upon the circumstances, the process can include the use of a variety of quantitative and qualitative techniques. Optimization</w:t>
      </w:r>
      <w:r w:rsidR="009D08D9" w:rsidRPr="00E55A35">
        <w:t xml:space="preserve"> </w:t>
      </w:r>
      <w:r w:rsidR="00CA2DB2" w:rsidRPr="006C448D">
        <w:t>should</w:t>
      </w:r>
      <w:r w:rsidR="009D08D9" w:rsidRPr="00E55A35">
        <w:t xml:space="preserve"> be </w:t>
      </w:r>
      <w:r w:rsidRPr="00E55A35">
        <w:t xml:space="preserve">conducted within </w:t>
      </w:r>
      <w:r w:rsidR="00732E90">
        <w:t>a</w:t>
      </w:r>
      <w:r w:rsidR="00732E90" w:rsidRPr="00E55A35">
        <w:t xml:space="preserve"> </w:t>
      </w:r>
      <w:r w:rsidRPr="00E55A35">
        <w:t>set of boundar</w:t>
      </w:r>
      <w:r w:rsidR="002648F9">
        <w:t>y conditions</w:t>
      </w:r>
      <w:r w:rsidRPr="00E55A35">
        <w:t xml:space="preserve"> on the range of available protection options. These boundar</w:t>
      </w:r>
      <w:r w:rsidR="002648F9">
        <w:t>y conditions</w:t>
      </w:r>
      <w:r w:rsidRPr="00E55A35">
        <w:t xml:space="preserve"> </w:t>
      </w:r>
      <w:r w:rsidR="00CA2DB2" w:rsidRPr="006C448D">
        <w:t>should</w:t>
      </w:r>
      <w:r w:rsidRPr="00E55A35">
        <w:t xml:space="preserve"> include individual source</w:t>
      </w:r>
      <w:r w:rsidR="00A825D8">
        <w:t xml:space="preserve"> </w:t>
      </w:r>
      <w:r w:rsidRPr="00E55A35">
        <w:t xml:space="preserve">related values of dose or risk that may be regarded as values that </w:t>
      </w:r>
      <w:r w:rsidR="00CA2DB2" w:rsidRPr="006C448D">
        <w:t>should</w:t>
      </w:r>
      <w:r w:rsidRPr="00E55A35">
        <w:t xml:space="preserve"> not</w:t>
      </w:r>
      <w:r w:rsidRPr="0045207A">
        <w:t xml:space="preserve"> be exceeded for planning purposes. They are referred to as </w:t>
      </w:r>
      <w:r w:rsidR="00A825D8">
        <w:t xml:space="preserve">dose </w:t>
      </w:r>
      <w:r w:rsidRPr="0045207A">
        <w:t>constraints</w:t>
      </w:r>
      <w:r w:rsidR="00A825D8">
        <w:t xml:space="preserve"> or risk constraints</w:t>
      </w:r>
      <w:r w:rsidRPr="0045207A">
        <w:t xml:space="preserve"> in the case of planned exposure situations and </w:t>
      </w:r>
      <w:r w:rsidR="00A825D8">
        <w:t xml:space="preserve">as </w:t>
      </w:r>
      <w:r w:rsidRPr="0045207A">
        <w:t>reference levels in the case of emergency</w:t>
      </w:r>
      <w:r w:rsidR="00A825D8" w:rsidRPr="00A825D8">
        <w:t xml:space="preserve"> </w:t>
      </w:r>
      <w:r w:rsidR="00A825D8" w:rsidRPr="0045207A">
        <w:t>exposure situations</w:t>
      </w:r>
      <w:r w:rsidRPr="0045207A">
        <w:t xml:space="preserve"> or existing exposure situations. </w:t>
      </w:r>
    </w:p>
    <w:p w:rsidR="00C14986" w:rsidRPr="0045207A" w:rsidRDefault="00BC5AE5" w:rsidP="0060267C">
      <w:pPr>
        <w:numPr>
          <w:ilvl w:val="0"/>
          <w:numId w:val="6"/>
        </w:numPr>
        <w:tabs>
          <w:tab w:val="left" w:pos="709"/>
        </w:tabs>
        <w:overflowPunct/>
        <w:autoSpaceDE/>
        <w:autoSpaceDN/>
        <w:adjustRightInd/>
        <w:spacing w:after="120" w:line="360" w:lineRule="auto"/>
        <w:ind w:left="0" w:firstLine="0"/>
        <w:textAlignment w:val="auto"/>
      </w:pPr>
      <w:r>
        <w:t>A c</w:t>
      </w:r>
      <w:r w:rsidR="00C14986" w:rsidRPr="0045207A">
        <w:t xml:space="preserve">onstraint </w:t>
      </w:r>
      <w:r w:rsidR="00404C88" w:rsidRPr="0045207A">
        <w:t>is</w:t>
      </w:r>
      <w:r w:rsidR="00C14986" w:rsidRPr="0045207A">
        <w:t xml:space="preserve"> </w:t>
      </w:r>
      <w:r w:rsidR="00404C88" w:rsidRPr="0045207A">
        <w:t>a prospective and source related value of individual dose (dose constraint) or risk (risk constraint) that is used in planned exposure situations as a parameter for the optimization of protection and safety for the source, and that serves as a boundary</w:t>
      </w:r>
      <w:r w:rsidR="00347ACB">
        <w:t xml:space="preserve"> condition</w:t>
      </w:r>
      <w:r w:rsidR="00404C88" w:rsidRPr="0045207A">
        <w:t xml:space="preserve"> in defining the range of options in optimization. </w:t>
      </w:r>
    </w:p>
    <w:p w:rsidR="00C740D8" w:rsidRPr="0045207A" w:rsidRDefault="00D663AE" w:rsidP="0060267C">
      <w:pPr>
        <w:numPr>
          <w:ilvl w:val="0"/>
          <w:numId w:val="6"/>
        </w:numPr>
        <w:tabs>
          <w:tab w:val="left" w:pos="709"/>
        </w:tabs>
        <w:overflowPunct/>
        <w:autoSpaceDE/>
        <w:autoSpaceDN/>
        <w:adjustRightInd/>
        <w:spacing w:after="120" w:line="360" w:lineRule="auto"/>
        <w:ind w:left="0" w:firstLine="0"/>
        <w:textAlignment w:val="auto"/>
      </w:pPr>
      <w:r w:rsidRPr="0045207A">
        <w:t>A d</w:t>
      </w:r>
      <w:r w:rsidR="00D20358" w:rsidRPr="0045207A">
        <w:t>ose constraint</w:t>
      </w:r>
      <w:r w:rsidRPr="0045207A">
        <w:t xml:space="preserve"> is a level of dose above which it is unlikely that protection is optimized. It </w:t>
      </w:r>
      <w:r w:rsidR="002A5297" w:rsidRPr="0045207A">
        <w:t>represent</w:t>
      </w:r>
      <w:r w:rsidRPr="0045207A">
        <w:t>s</w:t>
      </w:r>
      <w:r w:rsidR="002A5297" w:rsidRPr="0045207A">
        <w:t xml:space="preserve"> a basic level of protection and will always be lower than the pertinent dose limit. </w:t>
      </w:r>
      <w:r w:rsidRPr="0045207A">
        <w:t xml:space="preserve">However, treating a dose constraint as a target value is not sufficient, and </w:t>
      </w:r>
      <w:r w:rsidR="00B678DC">
        <w:t xml:space="preserve">it </w:t>
      </w:r>
      <w:r w:rsidRPr="0045207A">
        <w:t xml:space="preserve">is expected that </w:t>
      </w:r>
      <w:r w:rsidR="00F63729" w:rsidRPr="00836B64">
        <w:t>optimization</w:t>
      </w:r>
      <w:r w:rsidR="002A5297" w:rsidRPr="0045207A">
        <w:t xml:space="preserve"> of protection will establish an acceptable level of dose below the dose constraint.</w:t>
      </w:r>
    </w:p>
    <w:p w:rsidR="00E80EE8" w:rsidRPr="006C448D" w:rsidRDefault="00E80EE8" w:rsidP="0060267C">
      <w:pPr>
        <w:numPr>
          <w:ilvl w:val="0"/>
          <w:numId w:val="6"/>
        </w:numPr>
        <w:tabs>
          <w:tab w:val="left" w:pos="709"/>
        </w:tabs>
        <w:overflowPunct/>
        <w:autoSpaceDE/>
        <w:autoSpaceDN/>
        <w:adjustRightInd/>
        <w:spacing w:after="120" w:line="360" w:lineRule="auto"/>
        <w:ind w:left="0" w:firstLine="0"/>
        <w:textAlignment w:val="auto"/>
      </w:pPr>
      <w:r w:rsidRPr="0045207A">
        <w:lastRenderedPageBreak/>
        <w:t xml:space="preserve">Risk constraints correspond to dose constraints but apply to potential exposure. The risk constraint is a source related value that provides a basic level of protection for the individuals most at risk from a source. This risk is a function of the </w:t>
      </w:r>
      <w:r w:rsidRPr="00E55A35">
        <w:t xml:space="preserve">probability of an unintended event causing a dose and the probability of the detriment due to such a dose. </w:t>
      </w:r>
      <w:r w:rsidR="00BC5AE5">
        <w:t>The r</w:t>
      </w:r>
      <w:r w:rsidRPr="00E55A35">
        <w:t xml:space="preserve">isk constraint </w:t>
      </w:r>
      <w:r w:rsidR="00CA2DB2" w:rsidRPr="006C448D">
        <w:t>should</w:t>
      </w:r>
      <w:r w:rsidRPr="00E55A35">
        <w:t xml:space="preserve"> equate to a similar health risk to that im</w:t>
      </w:r>
      <w:r w:rsidRPr="006C448D">
        <w:t>plied by the corresponding dose constraints for the same source</w:t>
      </w:r>
      <w:r w:rsidR="00C83160">
        <w:t xml:space="preserve"> [</w:t>
      </w:r>
      <w:r w:rsidR="00824FD8">
        <w:t>5</w:t>
      </w:r>
      <w:r w:rsidR="00C83160">
        <w:t xml:space="preserve">, </w:t>
      </w:r>
      <w:r w:rsidR="003579DE">
        <w:t>20</w:t>
      </w:r>
      <w:r w:rsidR="00C83160">
        <w:t>]</w:t>
      </w:r>
      <w:r w:rsidRPr="006C448D">
        <w:t>. However, there can be large uncertainties in estimations of the probabilit</w:t>
      </w:r>
      <w:r w:rsidR="00BC5AE5">
        <w:t>ies</w:t>
      </w:r>
      <w:r w:rsidRPr="006C448D">
        <w:t xml:space="preserve"> and the resulting dose</w:t>
      </w:r>
      <w:r w:rsidR="00BC5AE5">
        <w:t>,</w:t>
      </w:r>
      <w:r w:rsidR="00C83160">
        <w:t xml:space="preserve"> which should be taken into account at the time of defining and using the risk constraints for decision making or decision aiding</w:t>
      </w:r>
      <w:r w:rsidRPr="006C448D">
        <w:t xml:space="preserve">. </w:t>
      </w:r>
    </w:p>
    <w:p w:rsidR="00C14986" w:rsidRPr="0045207A" w:rsidRDefault="00C14986" w:rsidP="0060267C">
      <w:pPr>
        <w:numPr>
          <w:ilvl w:val="0"/>
          <w:numId w:val="6"/>
        </w:numPr>
        <w:tabs>
          <w:tab w:val="left" w:pos="709"/>
        </w:tabs>
        <w:overflowPunct/>
        <w:autoSpaceDE/>
        <w:autoSpaceDN/>
        <w:adjustRightInd/>
        <w:spacing w:after="120" w:line="360" w:lineRule="auto"/>
        <w:ind w:left="0" w:firstLine="0"/>
        <w:textAlignment w:val="auto"/>
        <w:rPr>
          <w:szCs w:val="24"/>
        </w:rPr>
      </w:pPr>
      <w:r w:rsidRPr="0045207A">
        <w:t>Reference level is defined as</w:t>
      </w:r>
      <w:r w:rsidR="00404C88" w:rsidRPr="0045207A">
        <w:t xml:space="preserve">, </w:t>
      </w:r>
      <w:r w:rsidR="00404C88" w:rsidRPr="0045207A">
        <w:rPr>
          <w:bCs/>
        </w:rPr>
        <w:t xml:space="preserve">for an </w:t>
      </w:r>
      <w:r w:rsidR="00404C88" w:rsidRPr="0045207A">
        <w:rPr>
          <w:bCs/>
          <w:iCs/>
        </w:rPr>
        <w:t>emergency exposure situation</w:t>
      </w:r>
      <w:r w:rsidR="00404C88" w:rsidRPr="0045207A">
        <w:rPr>
          <w:bCs/>
        </w:rPr>
        <w:t xml:space="preserve"> or an </w:t>
      </w:r>
      <w:r w:rsidR="00404C88" w:rsidRPr="0045207A">
        <w:rPr>
          <w:bCs/>
          <w:iCs/>
        </w:rPr>
        <w:t>existing exposure situation</w:t>
      </w:r>
      <w:r w:rsidR="00404C88" w:rsidRPr="0045207A">
        <w:rPr>
          <w:bCs/>
        </w:rPr>
        <w:t xml:space="preserve">, the level of </w:t>
      </w:r>
      <w:r w:rsidR="00404C88" w:rsidRPr="0045207A">
        <w:rPr>
          <w:bCs/>
          <w:iCs/>
        </w:rPr>
        <w:t>dose,</w:t>
      </w:r>
      <w:r w:rsidR="00404C88" w:rsidRPr="0045207A">
        <w:rPr>
          <w:bCs/>
        </w:rPr>
        <w:t xml:space="preserve"> </w:t>
      </w:r>
      <w:r w:rsidR="00404C88" w:rsidRPr="0045207A">
        <w:rPr>
          <w:bCs/>
          <w:iCs/>
        </w:rPr>
        <w:t>risk</w:t>
      </w:r>
      <w:r w:rsidR="00404C88" w:rsidRPr="0045207A">
        <w:rPr>
          <w:bCs/>
        </w:rPr>
        <w:t xml:space="preserve"> or </w:t>
      </w:r>
      <w:r w:rsidR="00404C88" w:rsidRPr="0045207A">
        <w:rPr>
          <w:bCs/>
          <w:iCs/>
        </w:rPr>
        <w:t xml:space="preserve">activity </w:t>
      </w:r>
      <w:r w:rsidR="00404C88" w:rsidRPr="0045207A">
        <w:rPr>
          <w:bCs/>
        </w:rPr>
        <w:t xml:space="preserve">concentration above which it is not appropriate to plan to allow </w:t>
      </w:r>
      <w:r w:rsidR="00404C88" w:rsidRPr="0045207A">
        <w:rPr>
          <w:bCs/>
          <w:iCs/>
        </w:rPr>
        <w:t>exposures</w:t>
      </w:r>
      <w:r w:rsidR="00404C88" w:rsidRPr="0045207A">
        <w:rPr>
          <w:bCs/>
        </w:rPr>
        <w:t xml:space="preserve"> to occur </w:t>
      </w:r>
      <w:r w:rsidR="00404C88" w:rsidRPr="0045207A">
        <w:rPr>
          <w:lang w:eastAsia="ja-JP"/>
        </w:rPr>
        <w:t xml:space="preserve">and below which optimization of protection and safety would continue to be </w:t>
      </w:r>
      <w:r w:rsidR="00404C88" w:rsidRPr="0045207A">
        <w:rPr>
          <w:szCs w:val="24"/>
          <w:lang w:eastAsia="ja-JP"/>
        </w:rPr>
        <w:t xml:space="preserve">implemented. </w:t>
      </w:r>
      <w:r w:rsidR="00404C88" w:rsidRPr="0045207A">
        <w:rPr>
          <w:szCs w:val="24"/>
        </w:rPr>
        <w:t>The value chosen for a reference level will depend upon the prevailing circumstances for the exposure under consideration.</w:t>
      </w:r>
      <w:r w:rsidR="00687F2D">
        <w:rPr>
          <w:szCs w:val="24"/>
        </w:rPr>
        <w:t xml:space="preserve"> </w:t>
      </w:r>
      <w:r w:rsidR="00687F2D" w:rsidRPr="00B00FD8">
        <w:t xml:space="preserve">In practice, reference levels </w:t>
      </w:r>
      <w:r w:rsidR="00687F2D">
        <w:t>for some situations</w:t>
      </w:r>
      <w:r w:rsidR="00687F2D" w:rsidRPr="00B00FD8">
        <w:t xml:space="preserve"> are likely to be </w:t>
      </w:r>
      <w:r w:rsidR="001823DD">
        <w:t xml:space="preserve">established </w:t>
      </w:r>
      <w:r w:rsidR="00687F2D" w:rsidRPr="00B00FD8">
        <w:t>on the basis of one or more exposure scenarios. As such the chosen reference levels are dependent on the assumptions used in their determination, and may not be universally applicable.</w:t>
      </w:r>
    </w:p>
    <w:p w:rsidR="00992BD2" w:rsidRPr="006C448D" w:rsidRDefault="00D20358" w:rsidP="0060267C">
      <w:pPr>
        <w:numPr>
          <w:ilvl w:val="0"/>
          <w:numId w:val="6"/>
        </w:numPr>
        <w:tabs>
          <w:tab w:val="left" w:pos="709"/>
        </w:tabs>
        <w:overflowPunct/>
        <w:autoSpaceDE/>
        <w:autoSpaceDN/>
        <w:adjustRightInd/>
        <w:spacing w:after="120" w:line="360" w:lineRule="auto"/>
        <w:ind w:left="0" w:firstLine="0"/>
        <w:textAlignment w:val="auto"/>
      </w:pPr>
      <w:r w:rsidRPr="0045207A">
        <w:t>I</w:t>
      </w:r>
      <w:r w:rsidR="00992BD2" w:rsidRPr="0045207A">
        <w:t xml:space="preserve">n an </w:t>
      </w:r>
      <w:r w:rsidR="00992BD2" w:rsidRPr="00E55A35">
        <w:t xml:space="preserve">emergency exposure situation or </w:t>
      </w:r>
      <w:r w:rsidRPr="00E55A35">
        <w:t xml:space="preserve">in </w:t>
      </w:r>
      <w:r w:rsidR="00992BD2" w:rsidRPr="006C448D">
        <w:t xml:space="preserve">an existing exposure situation, actual exposures </w:t>
      </w:r>
      <w:r w:rsidR="001C0F99">
        <w:t>could</w:t>
      </w:r>
      <w:r w:rsidR="001C0F99" w:rsidRPr="006C448D">
        <w:t xml:space="preserve"> </w:t>
      </w:r>
      <w:r w:rsidR="00992BD2" w:rsidRPr="006C448D">
        <w:t xml:space="preserve">be above or below the reference level. The reference level </w:t>
      </w:r>
      <w:r w:rsidR="00CA2DB2" w:rsidRPr="006C448D">
        <w:t>should</w:t>
      </w:r>
      <w:r w:rsidR="00992BD2" w:rsidRPr="00E55A35">
        <w:t xml:space="preserve"> then be used as a benchmark </w:t>
      </w:r>
      <w:r w:rsidR="001C0F99">
        <w:t>for</w:t>
      </w:r>
      <w:r w:rsidR="001C0F99" w:rsidRPr="00E55A35">
        <w:t xml:space="preserve"> </w:t>
      </w:r>
      <w:r w:rsidR="00992BD2" w:rsidRPr="00E55A35">
        <w:t>judg</w:t>
      </w:r>
      <w:r w:rsidR="001C0F99">
        <w:t>ing</w:t>
      </w:r>
      <w:r w:rsidR="00992BD2" w:rsidRPr="00E55A35">
        <w:t xml:space="preserve"> the extent to which protective </w:t>
      </w:r>
      <w:r w:rsidR="002B2C18" w:rsidRPr="006C448D">
        <w:t xml:space="preserve">actions </w:t>
      </w:r>
      <w:r w:rsidR="00992BD2" w:rsidRPr="006C448D">
        <w:t>are necessary and to assist in prioritizing their application. Optimization of protection</w:t>
      </w:r>
      <w:r w:rsidR="001C0F99">
        <w:t xml:space="preserve"> and safety is to</w:t>
      </w:r>
      <w:r w:rsidR="00992BD2" w:rsidRPr="00E55A35">
        <w:t xml:space="preserve"> be applied even </w:t>
      </w:r>
      <w:r w:rsidR="00992BD2" w:rsidRPr="009A0F10">
        <w:t xml:space="preserve">if the </w:t>
      </w:r>
      <w:r w:rsidR="001C0F99" w:rsidRPr="009A0F10">
        <w:t>initial</w:t>
      </w:r>
      <w:r w:rsidR="002C13D4">
        <w:t xml:space="preserve"> estimate of the doses</w:t>
      </w:r>
      <w:r w:rsidR="001C0F99" w:rsidRPr="009A0F10">
        <w:t xml:space="preserve"> received </w:t>
      </w:r>
      <w:r w:rsidR="00992BD2" w:rsidRPr="009A0F10">
        <w:t>are</w:t>
      </w:r>
      <w:r w:rsidR="00992BD2" w:rsidRPr="00E55A35">
        <w:t xml:space="preserve"> below the defined reference levels, if </w:t>
      </w:r>
      <w:r w:rsidR="002B2C18" w:rsidRPr="006C448D">
        <w:t xml:space="preserve">justified and optimized </w:t>
      </w:r>
      <w:r w:rsidR="00992BD2" w:rsidRPr="006C448D">
        <w:t>actions are available to reduce exposures.</w:t>
      </w:r>
      <w:r w:rsidR="002B2C18" w:rsidRPr="006C448D">
        <w:t xml:space="preserve"> Further </w:t>
      </w:r>
      <w:r w:rsidR="001C0F99">
        <w:t>recommendations</w:t>
      </w:r>
      <w:r w:rsidR="001C0F99" w:rsidRPr="006C448D">
        <w:t xml:space="preserve"> </w:t>
      </w:r>
      <w:r w:rsidR="002B2C18" w:rsidRPr="006C448D">
        <w:t>on the application of the</w:t>
      </w:r>
      <w:r w:rsidR="001C0F99">
        <w:t xml:space="preserve"> concept of the</w:t>
      </w:r>
      <w:r w:rsidR="002B2C18" w:rsidRPr="006C448D">
        <w:t xml:space="preserve"> reference level in </w:t>
      </w:r>
      <w:r w:rsidR="00B35543">
        <w:t xml:space="preserve">an </w:t>
      </w:r>
      <w:r w:rsidR="002B2C18" w:rsidRPr="006C448D">
        <w:t xml:space="preserve">emergency exposure situation </w:t>
      </w:r>
      <w:r w:rsidR="001C0F99">
        <w:t>for</w:t>
      </w:r>
      <w:r w:rsidR="002B2C18" w:rsidRPr="006C448D">
        <w:t xml:space="preserve"> </w:t>
      </w:r>
      <w:proofErr w:type="spellStart"/>
      <w:r w:rsidR="002B2C18" w:rsidRPr="006C448D">
        <w:t>dosimetric</w:t>
      </w:r>
      <w:proofErr w:type="spellEnd"/>
      <w:r w:rsidR="002B2C18" w:rsidRPr="006C448D">
        <w:t xml:space="preserve"> </w:t>
      </w:r>
      <w:r w:rsidR="001C0F99">
        <w:t>purposes, in</w:t>
      </w:r>
      <w:r w:rsidR="001C0F99" w:rsidRPr="006C448D">
        <w:t xml:space="preserve"> </w:t>
      </w:r>
      <w:r w:rsidR="002B2C18" w:rsidRPr="006C448D">
        <w:t>addition to</w:t>
      </w:r>
      <w:r w:rsidR="001C0F99">
        <w:t xml:space="preserve"> the use of</w:t>
      </w:r>
      <w:r w:rsidR="002B2C18" w:rsidRPr="006C448D">
        <w:t xml:space="preserve"> generic criteria</w:t>
      </w:r>
      <w:r w:rsidR="001C0F99">
        <w:t>,</w:t>
      </w:r>
      <w:r w:rsidR="002B2C18" w:rsidRPr="006C448D">
        <w:t xml:space="preserve"> </w:t>
      </w:r>
      <w:r w:rsidR="001C0F99">
        <w:t>are</w:t>
      </w:r>
      <w:r w:rsidR="001C0F99" w:rsidRPr="006C448D">
        <w:t xml:space="preserve"> </w:t>
      </w:r>
      <w:r w:rsidR="002B2C18" w:rsidRPr="006C448D">
        <w:t>given in Section 3</w:t>
      </w:r>
      <w:r w:rsidR="00136939" w:rsidRPr="006C448D">
        <w:t>.</w:t>
      </w:r>
    </w:p>
    <w:p w:rsidR="00992BD2" w:rsidRPr="0045207A" w:rsidRDefault="001C0F99" w:rsidP="0060267C">
      <w:pPr>
        <w:numPr>
          <w:ilvl w:val="0"/>
          <w:numId w:val="6"/>
        </w:numPr>
        <w:tabs>
          <w:tab w:val="left" w:pos="709"/>
        </w:tabs>
        <w:overflowPunct/>
        <w:autoSpaceDE/>
        <w:autoSpaceDN/>
        <w:adjustRightInd/>
        <w:spacing w:after="120" w:line="360" w:lineRule="auto"/>
        <w:ind w:left="0" w:firstLine="0"/>
        <w:textAlignment w:val="auto"/>
      </w:pPr>
      <w:r w:rsidRPr="0045207A">
        <w:t xml:space="preserve">In an </w:t>
      </w:r>
      <w:r w:rsidRPr="00E55A35">
        <w:t xml:space="preserve">emergency exposure situation or in </w:t>
      </w:r>
      <w:r w:rsidRPr="006C448D">
        <w:t>an existing exposure situation</w:t>
      </w:r>
      <w:r>
        <w:t>, t</w:t>
      </w:r>
      <w:r w:rsidR="00A6443F">
        <w:t>he i</w:t>
      </w:r>
      <w:r w:rsidR="00992BD2" w:rsidRPr="006C448D">
        <w:t xml:space="preserve">mplementation of optimized protection strategies </w:t>
      </w:r>
      <w:r w:rsidR="00CA2DB2" w:rsidRPr="006C448D">
        <w:t>should</w:t>
      </w:r>
      <w:r w:rsidR="00992BD2" w:rsidRPr="00E55A35">
        <w:t xml:space="preserve"> result in levels </w:t>
      </w:r>
      <w:r>
        <w:t xml:space="preserve">of dose, risk or activity concentration </w:t>
      </w:r>
      <w:r w:rsidR="00992BD2" w:rsidRPr="00E55A35">
        <w:t>below the reference level and as low as reasonably achievable</w:t>
      </w:r>
      <w:r w:rsidR="002B2C18" w:rsidRPr="006C448D">
        <w:t xml:space="preserve">, as long as these </w:t>
      </w:r>
      <w:r>
        <w:t xml:space="preserve">protection strategies </w:t>
      </w:r>
      <w:r w:rsidR="002B2C18" w:rsidRPr="006C448D">
        <w:t>are justified</w:t>
      </w:r>
      <w:r>
        <w:t>, with</w:t>
      </w:r>
      <w:r w:rsidR="002B2C18" w:rsidRPr="006C448D">
        <w:t xml:space="preserve"> account </w:t>
      </w:r>
      <w:r>
        <w:t>taken of</w:t>
      </w:r>
      <w:r w:rsidR="002B2C18" w:rsidRPr="0045207A">
        <w:t xml:space="preserve"> national factors</w:t>
      </w:r>
      <w:r w:rsidR="00992BD2" w:rsidRPr="0045207A">
        <w:t>.</w:t>
      </w:r>
    </w:p>
    <w:p w:rsidR="00BC5781" w:rsidRPr="006C448D" w:rsidRDefault="00BC5781" w:rsidP="0060267C">
      <w:pPr>
        <w:numPr>
          <w:ilvl w:val="0"/>
          <w:numId w:val="6"/>
        </w:numPr>
        <w:tabs>
          <w:tab w:val="left" w:pos="709"/>
        </w:tabs>
        <w:overflowPunct/>
        <w:autoSpaceDE/>
        <w:autoSpaceDN/>
        <w:adjustRightInd/>
        <w:spacing w:after="120" w:line="360" w:lineRule="auto"/>
        <w:ind w:left="0" w:firstLine="0"/>
        <w:textAlignment w:val="auto"/>
      </w:pPr>
      <w:r w:rsidRPr="0045207A">
        <w:t xml:space="preserve">The requirements of </w:t>
      </w:r>
      <w:r w:rsidR="00965648">
        <w:t>GSR Part 3</w:t>
      </w:r>
      <w:r w:rsidRPr="0045207A">
        <w:t xml:space="preserve"> </w:t>
      </w:r>
      <w:r w:rsidR="00C05FFE">
        <w:t>[2]</w:t>
      </w:r>
      <w:r w:rsidRPr="0045207A">
        <w:t xml:space="preserve"> for optimization of protection and safety, including the use of dose constraints and reference levels, for each of the three exposure situations</w:t>
      </w:r>
      <w:r w:rsidR="001C0F99">
        <w:t>,</w:t>
      </w:r>
      <w:r w:rsidRPr="0045207A">
        <w:t xml:space="preserve"> are presented in Section 3. A table summarizing the values</w:t>
      </w:r>
      <w:r w:rsidR="00A63C45" w:rsidRPr="0045207A">
        <w:t xml:space="preserve"> for the dose constraints and for reference levels</w:t>
      </w:r>
      <w:r w:rsidRPr="0045207A">
        <w:t xml:space="preserve"> </w:t>
      </w:r>
      <w:r w:rsidR="00000C66" w:rsidRPr="0045207A">
        <w:t>as applicable for each exposur</w:t>
      </w:r>
      <w:r w:rsidR="00A63C45" w:rsidRPr="0045207A">
        <w:t>e situation as required in GSR P</w:t>
      </w:r>
      <w:r w:rsidR="00000C66" w:rsidRPr="0045207A">
        <w:t xml:space="preserve">art 3 </w:t>
      </w:r>
      <w:r w:rsidR="00871F51">
        <w:t xml:space="preserve">[2] </w:t>
      </w:r>
      <w:r w:rsidRPr="0045207A">
        <w:t xml:space="preserve">is </w:t>
      </w:r>
      <w:r w:rsidR="00000C66" w:rsidRPr="0045207A">
        <w:t xml:space="preserve">presented </w:t>
      </w:r>
      <w:r w:rsidRPr="00E55A35">
        <w:t xml:space="preserve">in </w:t>
      </w:r>
      <w:r w:rsidR="001D7C8E">
        <w:t xml:space="preserve">the </w:t>
      </w:r>
      <w:r w:rsidRPr="00E55A35">
        <w:t>Appendix.</w:t>
      </w:r>
    </w:p>
    <w:p w:rsidR="007D68E6" w:rsidRPr="006C448D" w:rsidRDefault="007D68E6" w:rsidP="00E273A0">
      <w:pPr>
        <w:tabs>
          <w:tab w:val="left" w:pos="709"/>
        </w:tabs>
        <w:spacing w:after="120" w:line="360" w:lineRule="auto"/>
        <w:rPr>
          <w:b/>
          <w:bCs/>
        </w:rPr>
      </w:pPr>
      <w:r w:rsidRPr="006C448D">
        <w:rPr>
          <w:b/>
          <w:bCs/>
        </w:rPr>
        <w:lastRenderedPageBreak/>
        <w:t xml:space="preserve">Dose </w:t>
      </w:r>
      <w:r w:rsidR="00C65110" w:rsidRPr="006C448D">
        <w:rPr>
          <w:b/>
          <w:bCs/>
        </w:rPr>
        <w:t>limits</w:t>
      </w:r>
    </w:p>
    <w:p w:rsidR="001C0F99" w:rsidRDefault="0011041C" w:rsidP="00E273A0">
      <w:pPr>
        <w:pStyle w:val="ListParagraph"/>
        <w:numPr>
          <w:ilvl w:val="0"/>
          <w:numId w:val="6"/>
        </w:numPr>
        <w:tabs>
          <w:tab w:val="left" w:pos="709"/>
        </w:tabs>
        <w:autoSpaceDE w:val="0"/>
        <w:autoSpaceDN w:val="0"/>
        <w:adjustRightInd w:val="0"/>
        <w:spacing w:after="120" w:line="360" w:lineRule="auto"/>
        <w:ind w:left="0" w:firstLine="0"/>
        <w:contextualSpacing w:val="0"/>
        <w:jc w:val="both"/>
      </w:pPr>
      <w:r w:rsidRPr="006C448D">
        <w:t>Paragraph 2.11</w:t>
      </w:r>
      <w:r w:rsidR="000C78CA" w:rsidRPr="006C448D">
        <w:t xml:space="preserve"> of GS</w:t>
      </w:r>
      <w:r w:rsidR="00B94BA2" w:rsidRPr="006C448D">
        <w:t>R Part 3</w:t>
      </w:r>
      <w:r w:rsidR="00992171" w:rsidRPr="006C448D">
        <w:t xml:space="preserve"> </w:t>
      </w:r>
      <w:r w:rsidR="00871F51">
        <w:t xml:space="preserve">[2] </w:t>
      </w:r>
      <w:r w:rsidR="00992171" w:rsidRPr="006C448D">
        <w:t>states</w:t>
      </w:r>
      <w:r w:rsidR="001C0F99">
        <w:t xml:space="preserve"> that</w:t>
      </w:r>
      <w:r w:rsidR="00992171" w:rsidRPr="006C448D">
        <w:t xml:space="preserve"> </w:t>
      </w:r>
    </w:p>
    <w:p w:rsidR="0011041C" w:rsidRPr="006C448D" w:rsidRDefault="007F19DB" w:rsidP="00BB4496">
      <w:pPr>
        <w:tabs>
          <w:tab w:val="left" w:pos="709"/>
        </w:tabs>
        <w:spacing w:after="120" w:line="360" w:lineRule="auto"/>
        <w:ind w:left="567"/>
      </w:pPr>
      <w:r w:rsidRPr="006C448D">
        <w:t>“</w:t>
      </w:r>
      <w:r w:rsidR="00992171" w:rsidRPr="00E55A35">
        <w:t xml:space="preserve">For planned exposure situations other than medical exposure, each party with responsibilities for protection and safety shall </w:t>
      </w:r>
      <w:r w:rsidR="00992171" w:rsidRPr="006C448D">
        <w:t>ensure that, when relevant requirements apply to that party, specified dose limits are not exceeded</w:t>
      </w:r>
      <w:r w:rsidRPr="006C448D">
        <w:t>”</w:t>
      </w:r>
      <w:r w:rsidR="00992171" w:rsidRPr="00E55A35">
        <w:t xml:space="preserve">. </w:t>
      </w:r>
    </w:p>
    <w:p w:rsidR="00F71DFE" w:rsidRPr="006C448D" w:rsidRDefault="00992171" w:rsidP="00BF11EB">
      <w:pPr>
        <w:numPr>
          <w:ilvl w:val="0"/>
          <w:numId w:val="6"/>
        </w:numPr>
        <w:tabs>
          <w:tab w:val="left" w:pos="709"/>
        </w:tabs>
        <w:overflowPunct/>
        <w:autoSpaceDE/>
        <w:autoSpaceDN/>
        <w:adjustRightInd/>
        <w:spacing w:after="120" w:line="360" w:lineRule="auto"/>
        <w:ind w:left="0" w:firstLine="0"/>
        <w:textAlignment w:val="auto"/>
      </w:pPr>
      <w:r w:rsidRPr="006C448D">
        <w:t xml:space="preserve">Dose limits apply </w:t>
      </w:r>
      <w:r w:rsidR="00F0196A">
        <w:t xml:space="preserve">for exposure of workers and </w:t>
      </w:r>
      <w:r w:rsidR="001C0F99">
        <w:t xml:space="preserve">for </w:t>
      </w:r>
      <w:r w:rsidR="00F0196A">
        <w:t xml:space="preserve">public exposure </w:t>
      </w:r>
      <w:r w:rsidRPr="006C448D">
        <w:t xml:space="preserve">in planned exposure situations only. </w:t>
      </w:r>
      <w:r w:rsidR="00A6443F">
        <w:t>D</w:t>
      </w:r>
      <w:r w:rsidR="00F06ADA" w:rsidRPr="006C448D">
        <w:t xml:space="preserve">ose limits </w:t>
      </w:r>
      <w:r w:rsidR="00A6443F">
        <w:t xml:space="preserve">for members of the public </w:t>
      </w:r>
      <w:r w:rsidR="00F06ADA" w:rsidRPr="006C448D">
        <w:t>are presented in Section 3.</w:t>
      </w:r>
      <w:r w:rsidR="00B6372B" w:rsidRPr="006C448D">
        <w:t xml:space="preserve"> </w:t>
      </w:r>
      <w:r w:rsidR="00286A98">
        <w:t xml:space="preserve">Dose limits do not apply </w:t>
      </w:r>
      <w:r w:rsidR="001C0F99">
        <w:t xml:space="preserve">for </w:t>
      </w:r>
      <w:r w:rsidR="00286A98">
        <w:t xml:space="preserve">medical exposures. </w:t>
      </w:r>
      <w:r w:rsidR="00E43343" w:rsidRPr="006C448D">
        <w:t>The annual effective dose to members of the public</w:t>
      </w:r>
      <w:r w:rsidR="001C0F99">
        <w:t>,</w:t>
      </w:r>
      <w:r w:rsidR="00E43343" w:rsidRPr="006C448D">
        <w:t xml:space="preserve"> </w:t>
      </w:r>
      <w:r w:rsidR="00E43343">
        <w:t>for comparison with the dose limit for effective dose</w:t>
      </w:r>
      <w:r w:rsidR="001C0F99">
        <w:t>,</w:t>
      </w:r>
      <w:r w:rsidR="00E43343">
        <w:t xml:space="preserve"> </w:t>
      </w:r>
      <w:r w:rsidR="00E43343" w:rsidRPr="006C448D">
        <w:t xml:space="preserve">is the sum of the effective dose obtained within one year from external exposure and the committed effective dose from </w:t>
      </w:r>
      <w:r w:rsidR="00E43343">
        <w:t>internal exposure</w:t>
      </w:r>
      <w:r w:rsidR="00E43343" w:rsidRPr="006C448D">
        <w:t xml:space="preserve"> within this year</w:t>
      </w:r>
      <w:r w:rsidR="001C0F99">
        <w:t>.</w:t>
      </w:r>
    </w:p>
    <w:p w:rsidR="00E2444A" w:rsidRPr="0095256E" w:rsidRDefault="009754DE" w:rsidP="00A8170A">
      <w:pPr>
        <w:numPr>
          <w:ilvl w:val="0"/>
          <w:numId w:val="6"/>
        </w:numPr>
        <w:tabs>
          <w:tab w:val="left" w:pos="709"/>
        </w:tabs>
        <w:overflowPunct/>
        <w:autoSpaceDE/>
        <w:autoSpaceDN/>
        <w:adjustRightInd/>
        <w:spacing w:after="120" w:line="360" w:lineRule="auto"/>
        <w:ind w:left="0" w:firstLine="0"/>
        <w:textAlignment w:val="auto"/>
      </w:pPr>
      <w:r>
        <w:t>D</w:t>
      </w:r>
      <w:r w:rsidR="00E80EE8" w:rsidRPr="006C448D">
        <w:t>ose</w:t>
      </w:r>
      <w:r>
        <w:t>s to members of the public are</w:t>
      </w:r>
      <w:r w:rsidR="00E80EE8" w:rsidRPr="006C448D">
        <w:t xml:space="preserve"> usually not obtained by individual monitoring</w:t>
      </w:r>
      <w:r w:rsidR="00CA5163">
        <w:t>,</w:t>
      </w:r>
      <w:r w:rsidR="00E80EE8" w:rsidRPr="006C448D">
        <w:t xml:space="preserve"> as for occupational exposure, but </w:t>
      </w:r>
      <w:r>
        <w:t xml:space="preserve">are generally estimated using the predictions of models </w:t>
      </w:r>
      <w:r w:rsidR="00CA5163">
        <w:t xml:space="preserve">that </w:t>
      </w:r>
      <w:r>
        <w:t xml:space="preserve">simulate the transport of radionuclides in the environment combined with </w:t>
      </w:r>
      <w:r w:rsidR="00CA5163" w:rsidRPr="0095256E">
        <w:t>data</w:t>
      </w:r>
      <w:r w:rsidR="00CA5163">
        <w:t xml:space="preserve"> on </w:t>
      </w:r>
      <w:r w:rsidR="00E80EE8" w:rsidRPr="0095256E">
        <w:t>habit</w:t>
      </w:r>
      <w:r w:rsidR="00CA5163">
        <w:t>s of members of the public</w:t>
      </w:r>
      <w:r w:rsidR="00E80EE8" w:rsidRPr="0095256E">
        <w:t xml:space="preserve"> </w:t>
      </w:r>
      <w:r>
        <w:t>for</w:t>
      </w:r>
      <w:r w:rsidR="00A15039" w:rsidRPr="0095256E">
        <w:t xml:space="preserve"> relevant exposure scenarios</w:t>
      </w:r>
      <w:r>
        <w:t xml:space="preserve"> and dose coefficients</w:t>
      </w:r>
      <w:r w:rsidR="00E80EE8" w:rsidRPr="0095256E">
        <w:t xml:space="preserve">. </w:t>
      </w:r>
    </w:p>
    <w:p w:rsidR="0044266A" w:rsidRPr="006C448D" w:rsidRDefault="008518DE" w:rsidP="00E273A0">
      <w:pPr>
        <w:pStyle w:val="Heading2"/>
        <w:numPr>
          <w:ilvl w:val="0"/>
          <w:numId w:val="0"/>
        </w:numPr>
        <w:tabs>
          <w:tab w:val="left" w:pos="709"/>
        </w:tabs>
        <w:spacing w:after="120" w:line="360" w:lineRule="auto"/>
        <w:ind w:left="567" w:hanging="567"/>
        <w:rPr>
          <w:lang w:val="en-GB"/>
        </w:rPr>
      </w:pPr>
      <w:bookmarkStart w:id="12" w:name="_Toc396137870"/>
      <w:r w:rsidRPr="006C448D">
        <w:rPr>
          <w:lang w:val="en-GB"/>
        </w:rPr>
        <w:t>RESPONSIBILITIES</w:t>
      </w:r>
      <w:bookmarkEnd w:id="12"/>
    </w:p>
    <w:p w:rsidR="006023F6" w:rsidRPr="006C448D" w:rsidRDefault="00CA5163" w:rsidP="00E273A0">
      <w:pPr>
        <w:pStyle w:val="BodyText"/>
        <w:tabs>
          <w:tab w:val="left" w:pos="709"/>
        </w:tabs>
        <w:spacing w:after="120" w:line="360" w:lineRule="auto"/>
        <w:rPr>
          <w:b/>
          <w:lang w:val="en-GB"/>
        </w:rPr>
      </w:pPr>
      <w:r>
        <w:rPr>
          <w:b/>
          <w:lang w:val="en-GB"/>
        </w:rPr>
        <w:t>Responsibilities of t</w:t>
      </w:r>
      <w:r w:rsidR="006023F6" w:rsidRPr="006C448D">
        <w:rPr>
          <w:b/>
          <w:lang w:val="en-GB"/>
        </w:rPr>
        <w:t>he government</w:t>
      </w:r>
    </w:p>
    <w:p w:rsidR="00025748" w:rsidRDefault="00E939E4" w:rsidP="0060267C">
      <w:pPr>
        <w:pStyle w:val="BodyText"/>
        <w:numPr>
          <w:ilvl w:val="0"/>
          <w:numId w:val="6"/>
        </w:numPr>
        <w:tabs>
          <w:tab w:val="left" w:pos="709"/>
        </w:tabs>
        <w:spacing w:after="120" w:line="360" w:lineRule="auto"/>
        <w:ind w:left="0" w:firstLine="0"/>
        <w:rPr>
          <w:lang w:val="en-GB"/>
        </w:rPr>
      </w:pPr>
      <w:r w:rsidRPr="006C448D">
        <w:rPr>
          <w:lang w:val="en-GB"/>
        </w:rPr>
        <w:t xml:space="preserve">The responsibilities of </w:t>
      </w:r>
      <w:r w:rsidR="007158EE">
        <w:rPr>
          <w:lang w:val="en-GB"/>
        </w:rPr>
        <w:t xml:space="preserve">the </w:t>
      </w:r>
      <w:r w:rsidRPr="006C448D">
        <w:rPr>
          <w:lang w:val="en-GB"/>
        </w:rPr>
        <w:t xml:space="preserve">government with regard to protection and safety </w:t>
      </w:r>
      <w:r w:rsidR="00CA5163">
        <w:rPr>
          <w:lang w:val="en-GB"/>
        </w:rPr>
        <w:t>for</w:t>
      </w:r>
      <w:r w:rsidR="0030206B" w:rsidRPr="006C448D">
        <w:rPr>
          <w:lang w:val="en-GB"/>
        </w:rPr>
        <w:t xml:space="preserve"> all three exposure situations </w:t>
      </w:r>
      <w:r w:rsidRPr="006C448D">
        <w:rPr>
          <w:lang w:val="en-GB"/>
        </w:rPr>
        <w:t xml:space="preserve">are </w:t>
      </w:r>
      <w:r w:rsidR="00CA5163">
        <w:rPr>
          <w:lang w:val="en-GB"/>
        </w:rPr>
        <w:t xml:space="preserve">established </w:t>
      </w:r>
      <w:r w:rsidRPr="006C448D">
        <w:rPr>
          <w:lang w:val="en-GB"/>
        </w:rPr>
        <w:t>in</w:t>
      </w:r>
      <w:r w:rsidR="00CA5163">
        <w:rPr>
          <w:lang w:val="en-GB"/>
        </w:rPr>
        <w:t xml:space="preserve"> general terms in</w:t>
      </w:r>
      <w:r w:rsidRPr="006C448D">
        <w:rPr>
          <w:lang w:val="en-GB"/>
        </w:rPr>
        <w:t xml:space="preserve"> paras 2.13</w:t>
      </w:r>
      <w:r w:rsidR="001112E6">
        <w:rPr>
          <w:lang w:val="en-GB"/>
        </w:rPr>
        <w:t>–</w:t>
      </w:r>
      <w:r w:rsidRPr="006C448D">
        <w:rPr>
          <w:lang w:val="en-GB"/>
        </w:rPr>
        <w:t>2.28 of GSR Part 3</w:t>
      </w:r>
      <w:r w:rsidR="000C2DD4" w:rsidRPr="006C448D">
        <w:rPr>
          <w:lang w:val="en-GB"/>
        </w:rPr>
        <w:t xml:space="preserve"> </w:t>
      </w:r>
      <w:r w:rsidR="00B35543">
        <w:rPr>
          <w:lang w:val="en-GB"/>
        </w:rPr>
        <w:t>[2]</w:t>
      </w:r>
      <w:r w:rsidRPr="006C448D">
        <w:rPr>
          <w:lang w:val="en-GB"/>
        </w:rPr>
        <w:t>. These include</w:t>
      </w:r>
      <w:r w:rsidR="00025748">
        <w:rPr>
          <w:lang w:val="en-GB"/>
        </w:rPr>
        <w:t>:</w:t>
      </w:r>
    </w:p>
    <w:p w:rsidR="00025748" w:rsidRPr="00025748" w:rsidRDefault="00CA5163" w:rsidP="00FD7E6B">
      <w:pPr>
        <w:pStyle w:val="BodyText"/>
        <w:numPr>
          <w:ilvl w:val="0"/>
          <w:numId w:val="37"/>
        </w:numPr>
        <w:tabs>
          <w:tab w:val="left" w:pos="709"/>
        </w:tabs>
        <w:spacing w:after="120" w:line="360" w:lineRule="auto"/>
        <w:ind w:left="567" w:hanging="567"/>
        <w:rPr>
          <w:lang w:val="en-GB"/>
        </w:rPr>
      </w:pPr>
      <w:r>
        <w:rPr>
          <w:lang w:val="en-GB"/>
        </w:rPr>
        <w:t>E</w:t>
      </w:r>
      <w:r w:rsidR="00E939E4" w:rsidRPr="006C448D">
        <w:rPr>
          <w:lang w:val="en-GB"/>
        </w:rPr>
        <w:t>stablishing an effective legal and regulatory framework for protection and safety in all exposure situations;</w:t>
      </w:r>
    </w:p>
    <w:p w:rsidR="00025748" w:rsidRDefault="00CA5163" w:rsidP="00FD7E6B">
      <w:pPr>
        <w:pStyle w:val="BodyText"/>
        <w:numPr>
          <w:ilvl w:val="0"/>
          <w:numId w:val="37"/>
        </w:numPr>
        <w:tabs>
          <w:tab w:val="left" w:pos="709"/>
        </w:tabs>
        <w:spacing w:after="120" w:line="360" w:lineRule="auto"/>
        <w:ind w:left="567" w:hanging="567"/>
        <w:rPr>
          <w:lang w:val="en-GB"/>
        </w:rPr>
      </w:pPr>
      <w:r>
        <w:rPr>
          <w:lang w:val="en-GB"/>
        </w:rPr>
        <w:t>E</w:t>
      </w:r>
      <w:r w:rsidR="00E939E4" w:rsidRPr="006C448D">
        <w:rPr>
          <w:lang w:val="en-GB"/>
        </w:rPr>
        <w:t>stablishing legislation that meets specified requirements;</w:t>
      </w:r>
    </w:p>
    <w:p w:rsidR="00025748" w:rsidRDefault="00CA5163" w:rsidP="00FD7E6B">
      <w:pPr>
        <w:pStyle w:val="BodyText"/>
        <w:numPr>
          <w:ilvl w:val="0"/>
          <w:numId w:val="37"/>
        </w:numPr>
        <w:tabs>
          <w:tab w:val="left" w:pos="709"/>
        </w:tabs>
        <w:spacing w:after="120" w:line="360" w:lineRule="auto"/>
        <w:ind w:left="567" w:hanging="567"/>
        <w:rPr>
          <w:lang w:val="en-GB"/>
        </w:rPr>
      </w:pPr>
      <w:r>
        <w:rPr>
          <w:lang w:val="en-GB"/>
        </w:rPr>
        <w:t>E</w:t>
      </w:r>
      <w:r w:rsidR="00E939E4" w:rsidRPr="006C448D">
        <w:rPr>
          <w:lang w:val="en-GB"/>
        </w:rPr>
        <w:t xml:space="preserve">stablishing an independent regulatory </w:t>
      </w:r>
      <w:r w:rsidR="00641720" w:rsidRPr="006C448D">
        <w:rPr>
          <w:lang w:val="en-GB"/>
        </w:rPr>
        <w:t>body</w:t>
      </w:r>
      <w:r w:rsidR="00E939E4" w:rsidRPr="006C448D">
        <w:rPr>
          <w:lang w:val="en-GB"/>
        </w:rPr>
        <w:t xml:space="preserve"> with the necessary legal authority, competence and resources;</w:t>
      </w:r>
    </w:p>
    <w:p w:rsidR="00025748" w:rsidRDefault="00CA5163" w:rsidP="00FD7E6B">
      <w:pPr>
        <w:pStyle w:val="BodyText"/>
        <w:numPr>
          <w:ilvl w:val="0"/>
          <w:numId w:val="37"/>
        </w:numPr>
        <w:tabs>
          <w:tab w:val="left" w:pos="709"/>
        </w:tabs>
        <w:spacing w:after="120" w:line="360" w:lineRule="auto"/>
        <w:ind w:left="567" w:hanging="567"/>
        <w:rPr>
          <w:lang w:val="en-GB"/>
        </w:rPr>
      </w:pPr>
      <w:r>
        <w:rPr>
          <w:lang w:val="en-GB"/>
        </w:rPr>
        <w:t>E</w:t>
      </w:r>
      <w:r w:rsidR="00E939E4" w:rsidRPr="00025748">
        <w:rPr>
          <w:lang w:val="en-GB"/>
        </w:rPr>
        <w:t xml:space="preserve">stablishing requirements for education and training in protection and safety; </w:t>
      </w:r>
    </w:p>
    <w:p w:rsidR="00F11A90" w:rsidRPr="00025748" w:rsidRDefault="00CA5163" w:rsidP="00FD7E6B">
      <w:pPr>
        <w:pStyle w:val="BodyText"/>
        <w:numPr>
          <w:ilvl w:val="0"/>
          <w:numId w:val="37"/>
        </w:numPr>
        <w:tabs>
          <w:tab w:val="left" w:pos="709"/>
        </w:tabs>
        <w:spacing w:after="120" w:line="360" w:lineRule="auto"/>
        <w:ind w:left="567" w:hanging="567"/>
        <w:rPr>
          <w:lang w:val="en-GB"/>
        </w:rPr>
      </w:pPr>
      <w:r>
        <w:rPr>
          <w:lang w:val="en-GB"/>
        </w:rPr>
        <w:t>E</w:t>
      </w:r>
      <w:r w:rsidR="00E939E4" w:rsidRPr="002270AE">
        <w:rPr>
          <w:lang w:val="en-GB"/>
        </w:rPr>
        <w:t>nsuring arrangements are in place for the provision of technical services</w:t>
      </w:r>
      <w:r w:rsidR="00263F94">
        <w:rPr>
          <w:lang w:val="en-GB"/>
        </w:rPr>
        <w:t xml:space="preserve"> and</w:t>
      </w:r>
      <w:r w:rsidR="00E939E4" w:rsidRPr="002270AE">
        <w:rPr>
          <w:lang w:val="en-GB"/>
        </w:rPr>
        <w:t xml:space="preserve"> education and training services.</w:t>
      </w:r>
    </w:p>
    <w:p w:rsidR="00025748" w:rsidRDefault="0063264C" w:rsidP="0060267C">
      <w:pPr>
        <w:pStyle w:val="BodyText"/>
        <w:numPr>
          <w:ilvl w:val="0"/>
          <w:numId w:val="6"/>
        </w:numPr>
        <w:tabs>
          <w:tab w:val="left" w:pos="709"/>
        </w:tabs>
        <w:spacing w:after="120" w:line="360" w:lineRule="auto"/>
        <w:ind w:left="0" w:firstLine="0"/>
        <w:rPr>
          <w:lang w:val="en-GB"/>
        </w:rPr>
      </w:pPr>
      <w:r w:rsidRPr="006C448D">
        <w:rPr>
          <w:lang w:val="en-GB"/>
        </w:rPr>
        <w:lastRenderedPageBreak/>
        <w:t xml:space="preserve">The responsibilities of </w:t>
      </w:r>
      <w:r w:rsidR="007158EE">
        <w:rPr>
          <w:lang w:val="en-GB"/>
        </w:rPr>
        <w:t xml:space="preserve">the </w:t>
      </w:r>
      <w:r w:rsidRPr="006C448D">
        <w:rPr>
          <w:lang w:val="en-GB"/>
        </w:rPr>
        <w:t xml:space="preserve">government </w:t>
      </w:r>
      <w:r w:rsidR="005D40F7" w:rsidRPr="006C448D">
        <w:rPr>
          <w:lang w:val="en-GB"/>
        </w:rPr>
        <w:t xml:space="preserve">or the regulatory body </w:t>
      </w:r>
      <w:r w:rsidRPr="006C448D">
        <w:rPr>
          <w:lang w:val="en-GB"/>
        </w:rPr>
        <w:t xml:space="preserve">with regard to protection of the public in planned exposure situations are set out in </w:t>
      </w:r>
      <w:r w:rsidR="005D40F7" w:rsidRPr="006C448D">
        <w:rPr>
          <w:lang w:val="en-GB"/>
        </w:rPr>
        <w:t>Requirement 29 and in paras 3.118</w:t>
      </w:r>
      <w:r w:rsidR="001112E6">
        <w:rPr>
          <w:lang w:val="en-GB"/>
        </w:rPr>
        <w:t>–</w:t>
      </w:r>
      <w:r w:rsidR="005D40F7" w:rsidRPr="006C448D">
        <w:rPr>
          <w:lang w:val="en-GB"/>
        </w:rPr>
        <w:t>3.121 and 3.124 of GSR Part 3</w:t>
      </w:r>
      <w:r w:rsidR="00B35543">
        <w:rPr>
          <w:lang w:val="en-GB"/>
        </w:rPr>
        <w:t xml:space="preserve"> [2]</w:t>
      </w:r>
      <w:r w:rsidR="005D40F7" w:rsidRPr="006C448D">
        <w:rPr>
          <w:lang w:val="en-GB"/>
        </w:rPr>
        <w:t xml:space="preserve">. These </w:t>
      </w:r>
      <w:r w:rsidR="00BF6978">
        <w:rPr>
          <w:lang w:val="en-GB"/>
        </w:rPr>
        <w:t>responsibilities</w:t>
      </w:r>
      <w:r w:rsidR="00BF6978" w:rsidRPr="006C448D">
        <w:rPr>
          <w:lang w:val="en-GB"/>
        </w:rPr>
        <w:t xml:space="preserve"> </w:t>
      </w:r>
      <w:r w:rsidR="005D40F7" w:rsidRPr="006C448D">
        <w:rPr>
          <w:lang w:val="en-GB"/>
        </w:rPr>
        <w:t>include</w:t>
      </w:r>
      <w:r w:rsidR="00AD0AB8" w:rsidRPr="006C448D">
        <w:rPr>
          <w:lang w:val="en-GB"/>
        </w:rPr>
        <w:t>:</w:t>
      </w:r>
    </w:p>
    <w:p w:rsidR="00025748" w:rsidRDefault="00BF6978" w:rsidP="00FD7E6B">
      <w:pPr>
        <w:pStyle w:val="BodyText"/>
        <w:numPr>
          <w:ilvl w:val="1"/>
          <w:numId w:val="12"/>
        </w:numPr>
        <w:tabs>
          <w:tab w:val="left" w:pos="567"/>
        </w:tabs>
        <w:spacing w:after="120" w:line="360" w:lineRule="auto"/>
        <w:ind w:left="567" w:hanging="567"/>
        <w:rPr>
          <w:lang w:val="en-GB"/>
        </w:rPr>
      </w:pPr>
      <w:r>
        <w:rPr>
          <w:lang w:val="en-GB"/>
        </w:rPr>
        <w:t>E</w:t>
      </w:r>
      <w:r w:rsidR="005D40F7" w:rsidRPr="006C448D">
        <w:rPr>
          <w:lang w:val="en-GB"/>
        </w:rPr>
        <w:t xml:space="preserve">stablishing the responsibilities of registrants, licensees and suppliers </w:t>
      </w:r>
      <w:r>
        <w:rPr>
          <w:lang w:val="en-GB"/>
        </w:rPr>
        <w:t>and</w:t>
      </w:r>
      <w:r w:rsidR="005D40F7" w:rsidRPr="006C448D">
        <w:rPr>
          <w:lang w:val="en-GB"/>
        </w:rPr>
        <w:t xml:space="preserve"> of</w:t>
      </w:r>
      <w:r w:rsidR="00AD0AB8" w:rsidRPr="006C448D">
        <w:rPr>
          <w:lang w:val="en-GB"/>
        </w:rPr>
        <w:t xml:space="preserve"> providers of consumer products</w:t>
      </w:r>
      <w:r w:rsidR="002726B7">
        <w:rPr>
          <w:lang w:val="en-GB"/>
        </w:rPr>
        <w:t xml:space="preserve"> in relation to the application of requirements for public exposure in planned exposure situations</w:t>
      </w:r>
      <w:r w:rsidR="00AD0AB8" w:rsidRPr="006C448D">
        <w:rPr>
          <w:lang w:val="en-GB"/>
        </w:rPr>
        <w:t>;</w:t>
      </w:r>
    </w:p>
    <w:p w:rsidR="00025748" w:rsidRDefault="00BF6978" w:rsidP="00FD7E6B">
      <w:pPr>
        <w:pStyle w:val="BodyText"/>
        <w:numPr>
          <w:ilvl w:val="1"/>
          <w:numId w:val="12"/>
        </w:numPr>
        <w:tabs>
          <w:tab w:val="left" w:pos="567"/>
          <w:tab w:val="left" w:pos="709"/>
        </w:tabs>
        <w:spacing w:after="120" w:line="360" w:lineRule="auto"/>
        <w:ind w:left="567" w:hanging="567"/>
        <w:rPr>
          <w:lang w:val="en-GB"/>
        </w:rPr>
      </w:pPr>
      <w:r>
        <w:rPr>
          <w:lang w:val="en-GB"/>
        </w:rPr>
        <w:t>E</w:t>
      </w:r>
      <w:r w:rsidR="005D40F7" w:rsidRPr="006C448D">
        <w:rPr>
          <w:lang w:val="en-GB"/>
        </w:rPr>
        <w:t>stablish</w:t>
      </w:r>
      <w:r>
        <w:rPr>
          <w:lang w:val="en-GB"/>
        </w:rPr>
        <w:t>ing</w:t>
      </w:r>
      <w:r w:rsidR="005D40F7" w:rsidRPr="006C448D">
        <w:rPr>
          <w:lang w:val="en-GB"/>
        </w:rPr>
        <w:t xml:space="preserve"> and enforc</w:t>
      </w:r>
      <w:r>
        <w:rPr>
          <w:lang w:val="en-GB"/>
        </w:rPr>
        <w:t>ing</w:t>
      </w:r>
      <w:r w:rsidR="005D40F7" w:rsidRPr="006C448D">
        <w:rPr>
          <w:lang w:val="en-GB"/>
        </w:rPr>
        <w:t xml:space="preserve"> requirements for </w:t>
      </w:r>
      <w:r>
        <w:rPr>
          <w:lang w:val="en-GB"/>
        </w:rPr>
        <w:t xml:space="preserve">the </w:t>
      </w:r>
      <w:r w:rsidR="005D40F7" w:rsidRPr="006C448D">
        <w:rPr>
          <w:lang w:val="en-GB"/>
        </w:rPr>
        <w:t xml:space="preserve">optimization of protection and safety, </w:t>
      </w:r>
      <w:r w:rsidR="00AD0AB8" w:rsidRPr="006C448D">
        <w:rPr>
          <w:lang w:val="en-GB"/>
        </w:rPr>
        <w:t>including establish</w:t>
      </w:r>
      <w:r>
        <w:rPr>
          <w:lang w:val="en-GB"/>
        </w:rPr>
        <w:t>ing</w:t>
      </w:r>
      <w:r w:rsidR="00AD0AB8" w:rsidRPr="006C448D">
        <w:rPr>
          <w:lang w:val="en-GB"/>
        </w:rPr>
        <w:t xml:space="preserve"> or approv</w:t>
      </w:r>
      <w:r>
        <w:rPr>
          <w:lang w:val="en-GB"/>
        </w:rPr>
        <w:t>ing</w:t>
      </w:r>
      <w:r w:rsidR="00AD0AB8" w:rsidRPr="006C448D">
        <w:rPr>
          <w:lang w:val="en-GB"/>
        </w:rPr>
        <w:t xml:space="preserve"> constraints on dose and </w:t>
      </w:r>
      <w:r w:rsidR="002726B7">
        <w:rPr>
          <w:lang w:val="en-GB"/>
        </w:rPr>
        <w:t xml:space="preserve">constraints on </w:t>
      </w:r>
      <w:r w:rsidR="00AD0AB8" w:rsidRPr="006C448D">
        <w:rPr>
          <w:lang w:val="en-GB"/>
        </w:rPr>
        <w:t xml:space="preserve">risk to be used in the optimization of protection and safety for members of the public; </w:t>
      </w:r>
    </w:p>
    <w:p w:rsidR="00F11A90" w:rsidRPr="00025748" w:rsidRDefault="00BF6978" w:rsidP="00FD7E6B">
      <w:pPr>
        <w:pStyle w:val="BodyText"/>
        <w:numPr>
          <w:ilvl w:val="1"/>
          <w:numId w:val="12"/>
        </w:numPr>
        <w:tabs>
          <w:tab w:val="left" w:pos="709"/>
        </w:tabs>
        <w:spacing w:after="120" w:line="360" w:lineRule="auto"/>
        <w:ind w:left="567" w:hanging="567"/>
        <w:rPr>
          <w:lang w:val="en-GB"/>
        </w:rPr>
      </w:pPr>
      <w:r>
        <w:rPr>
          <w:lang w:val="en-GB"/>
        </w:rPr>
        <w:t>E</w:t>
      </w:r>
      <w:r w:rsidR="005D40F7" w:rsidRPr="006C448D">
        <w:rPr>
          <w:lang w:val="en-GB"/>
        </w:rPr>
        <w:t>stablish</w:t>
      </w:r>
      <w:r>
        <w:rPr>
          <w:lang w:val="en-GB"/>
        </w:rPr>
        <w:t>ing</w:t>
      </w:r>
      <w:r w:rsidR="005D40F7" w:rsidRPr="006C448D">
        <w:rPr>
          <w:lang w:val="en-GB"/>
        </w:rPr>
        <w:t xml:space="preserve"> dose limits for public exposure</w:t>
      </w:r>
      <w:r w:rsidR="00046505" w:rsidRPr="006C448D">
        <w:rPr>
          <w:lang w:val="en-GB"/>
        </w:rPr>
        <w:t xml:space="preserve"> in planned exposure situations</w:t>
      </w:r>
      <w:r w:rsidR="005D40F7" w:rsidRPr="006C448D">
        <w:rPr>
          <w:lang w:val="en-GB"/>
        </w:rPr>
        <w:t>.</w:t>
      </w:r>
    </w:p>
    <w:p w:rsidR="002270AE" w:rsidRDefault="006D5934" w:rsidP="0060267C">
      <w:pPr>
        <w:pStyle w:val="BodyText"/>
        <w:numPr>
          <w:ilvl w:val="0"/>
          <w:numId w:val="6"/>
        </w:numPr>
        <w:tabs>
          <w:tab w:val="left" w:pos="709"/>
        </w:tabs>
        <w:spacing w:after="120" w:line="360" w:lineRule="auto"/>
        <w:ind w:left="0" w:firstLine="0"/>
        <w:rPr>
          <w:lang w:val="en-GB"/>
        </w:rPr>
      </w:pPr>
      <w:r w:rsidRPr="006C448D">
        <w:rPr>
          <w:lang w:val="en-GB"/>
        </w:rPr>
        <w:t xml:space="preserve">The responsibilities of the government for </w:t>
      </w:r>
      <w:r w:rsidR="00046505" w:rsidRPr="006C448D">
        <w:rPr>
          <w:lang w:val="en-GB"/>
        </w:rPr>
        <w:t xml:space="preserve">protection of the public in </w:t>
      </w:r>
      <w:r w:rsidRPr="006C448D">
        <w:rPr>
          <w:lang w:val="en-GB"/>
        </w:rPr>
        <w:t>emergency exposure situations are set out in Requirements 43 and 44 of GSR Part 3</w:t>
      </w:r>
      <w:r w:rsidR="00B968C1" w:rsidRPr="006C448D">
        <w:rPr>
          <w:lang w:val="en-GB"/>
        </w:rPr>
        <w:t xml:space="preserve"> </w:t>
      </w:r>
      <w:r w:rsidR="00B35543">
        <w:rPr>
          <w:lang w:val="en-GB"/>
        </w:rPr>
        <w:t xml:space="preserve">[2] </w:t>
      </w:r>
      <w:r w:rsidR="00B968C1" w:rsidRPr="006C448D">
        <w:rPr>
          <w:lang w:val="en-GB"/>
        </w:rPr>
        <w:t>in general terms</w:t>
      </w:r>
      <w:r w:rsidR="00050EEB" w:rsidRPr="006C448D">
        <w:rPr>
          <w:lang w:val="en-GB"/>
        </w:rPr>
        <w:t>, and in greater detail in GSR Part 7</w:t>
      </w:r>
      <w:r w:rsidR="00B35543">
        <w:rPr>
          <w:lang w:val="en-GB"/>
        </w:rPr>
        <w:t xml:space="preserve"> [</w:t>
      </w:r>
      <w:r w:rsidR="00BB1302">
        <w:rPr>
          <w:lang w:val="en-GB"/>
        </w:rPr>
        <w:t>4</w:t>
      </w:r>
      <w:r w:rsidR="00B35543">
        <w:rPr>
          <w:lang w:val="en-GB"/>
        </w:rPr>
        <w:t>]</w:t>
      </w:r>
      <w:r w:rsidRPr="006C448D">
        <w:rPr>
          <w:lang w:val="en-GB"/>
        </w:rPr>
        <w:t xml:space="preserve">. </w:t>
      </w:r>
      <w:r w:rsidR="00B968C1" w:rsidRPr="006C448D">
        <w:rPr>
          <w:lang w:val="en-GB"/>
        </w:rPr>
        <w:t>Some of the responsibilities of t</w:t>
      </w:r>
      <w:r w:rsidR="00046505" w:rsidRPr="006C448D">
        <w:rPr>
          <w:lang w:val="en-GB"/>
        </w:rPr>
        <w:t xml:space="preserve">he government </w:t>
      </w:r>
      <w:r w:rsidR="00B968C1" w:rsidRPr="006C448D">
        <w:rPr>
          <w:lang w:val="en-GB"/>
        </w:rPr>
        <w:t>include</w:t>
      </w:r>
      <w:r w:rsidR="00020192">
        <w:rPr>
          <w:lang w:val="en-GB"/>
        </w:rPr>
        <w:t>:</w:t>
      </w:r>
      <w:r w:rsidR="00046505" w:rsidRPr="006C448D">
        <w:rPr>
          <w:lang w:val="en-GB"/>
        </w:rPr>
        <w:t xml:space="preserve"> </w:t>
      </w:r>
    </w:p>
    <w:p w:rsidR="002270AE" w:rsidRDefault="002726B7" w:rsidP="00FD7E6B">
      <w:pPr>
        <w:pStyle w:val="BodyText"/>
        <w:numPr>
          <w:ilvl w:val="0"/>
          <w:numId w:val="38"/>
        </w:numPr>
        <w:tabs>
          <w:tab w:val="clear" w:pos="2007"/>
          <w:tab w:val="num" w:pos="567"/>
        </w:tabs>
        <w:spacing w:after="120" w:line="360" w:lineRule="auto"/>
        <w:ind w:left="567" w:hanging="567"/>
        <w:rPr>
          <w:lang w:val="en-GB"/>
        </w:rPr>
      </w:pPr>
      <w:r>
        <w:rPr>
          <w:lang w:val="en-GB"/>
        </w:rPr>
        <w:t>E</w:t>
      </w:r>
      <w:r w:rsidR="00B968C1" w:rsidRPr="006C448D">
        <w:rPr>
          <w:lang w:val="en-GB"/>
        </w:rPr>
        <w:t xml:space="preserve">stablishment of </w:t>
      </w:r>
      <w:r w:rsidR="00046505" w:rsidRPr="006C448D">
        <w:rPr>
          <w:lang w:val="en-GB"/>
        </w:rPr>
        <w:t>an integrated and coordinated emergency management system</w:t>
      </w:r>
      <w:r>
        <w:rPr>
          <w:lang w:val="en-GB"/>
        </w:rPr>
        <w:t>;</w:t>
      </w:r>
    </w:p>
    <w:p w:rsidR="002270AE" w:rsidRDefault="002726B7" w:rsidP="00FD7E6B">
      <w:pPr>
        <w:pStyle w:val="BodyText"/>
        <w:numPr>
          <w:ilvl w:val="0"/>
          <w:numId w:val="38"/>
        </w:numPr>
        <w:tabs>
          <w:tab w:val="clear" w:pos="2007"/>
          <w:tab w:val="num" w:pos="567"/>
        </w:tabs>
        <w:spacing w:after="120" w:line="360" w:lineRule="auto"/>
        <w:ind w:left="567" w:hanging="567"/>
        <w:rPr>
          <w:lang w:val="en-GB"/>
        </w:rPr>
      </w:pPr>
      <w:r>
        <w:rPr>
          <w:lang w:val="en-GB"/>
        </w:rPr>
        <w:t>D</w:t>
      </w:r>
      <w:r w:rsidR="00B968C1" w:rsidRPr="006C448D">
        <w:rPr>
          <w:lang w:val="en-GB"/>
        </w:rPr>
        <w:t>evelopment of justified and optimized</w:t>
      </w:r>
      <w:r w:rsidR="00046505" w:rsidRPr="006C448D">
        <w:rPr>
          <w:lang w:val="en-GB"/>
        </w:rPr>
        <w:t xml:space="preserve"> protection strategies at the p</w:t>
      </w:r>
      <w:r w:rsidR="00B968C1" w:rsidRPr="006C448D">
        <w:rPr>
          <w:lang w:val="en-GB"/>
        </w:rPr>
        <w:t>reparedness</w:t>
      </w:r>
      <w:r w:rsidR="00046505" w:rsidRPr="006C448D">
        <w:rPr>
          <w:lang w:val="en-GB"/>
        </w:rPr>
        <w:t xml:space="preserve"> stage</w:t>
      </w:r>
      <w:r>
        <w:rPr>
          <w:lang w:val="en-GB"/>
        </w:rPr>
        <w:t>;</w:t>
      </w:r>
      <w:r w:rsidR="00046505" w:rsidRPr="006C448D">
        <w:rPr>
          <w:lang w:val="en-GB"/>
        </w:rPr>
        <w:t xml:space="preserve"> </w:t>
      </w:r>
    </w:p>
    <w:p w:rsidR="002270AE" w:rsidRDefault="002726B7" w:rsidP="00FD7E6B">
      <w:pPr>
        <w:pStyle w:val="BodyText"/>
        <w:numPr>
          <w:ilvl w:val="0"/>
          <w:numId w:val="38"/>
        </w:numPr>
        <w:tabs>
          <w:tab w:val="clear" w:pos="2007"/>
          <w:tab w:val="num" w:pos="567"/>
        </w:tabs>
        <w:spacing w:after="120" w:line="360" w:lineRule="auto"/>
        <w:ind w:left="567" w:hanging="567"/>
        <w:rPr>
          <w:lang w:val="en-GB"/>
        </w:rPr>
      </w:pPr>
      <w:r>
        <w:rPr>
          <w:lang w:val="en-GB"/>
        </w:rPr>
        <w:t>E</w:t>
      </w:r>
      <w:r w:rsidR="00B968C1" w:rsidRPr="006C448D">
        <w:rPr>
          <w:lang w:val="en-GB"/>
        </w:rPr>
        <w:t>nsuring safe and effective implementation of emergency arrangements in accordance with the protection strategy</w:t>
      </w:r>
      <w:r w:rsidR="00046505" w:rsidRPr="006C448D">
        <w:rPr>
          <w:lang w:val="en-GB"/>
        </w:rPr>
        <w:t>.</w:t>
      </w:r>
    </w:p>
    <w:p w:rsidR="00F11A90" w:rsidRPr="002270AE" w:rsidRDefault="004E1C8E" w:rsidP="00FD7E6B">
      <w:pPr>
        <w:pStyle w:val="BodyText"/>
        <w:spacing w:after="120" w:line="360" w:lineRule="auto"/>
        <w:rPr>
          <w:lang w:val="en-GB"/>
        </w:rPr>
      </w:pPr>
      <w:r w:rsidRPr="006C448D">
        <w:rPr>
          <w:lang w:val="en-GB"/>
        </w:rPr>
        <w:t xml:space="preserve">In addition to assigning responsibilities to the </w:t>
      </w:r>
      <w:r w:rsidR="002726B7">
        <w:rPr>
          <w:lang w:val="en-GB"/>
        </w:rPr>
        <w:t>g</w:t>
      </w:r>
      <w:r w:rsidRPr="006C448D">
        <w:rPr>
          <w:lang w:val="en-GB"/>
        </w:rPr>
        <w:t xml:space="preserve">overnment in general terms, GSR Part 3 </w:t>
      </w:r>
      <w:r w:rsidR="00871F51">
        <w:rPr>
          <w:lang w:val="en-GB"/>
        </w:rPr>
        <w:t xml:space="preserve">[2] </w:t>
      </w:r>
      <w:r w:rsidRPr="006C448D">
        <w:rPr>
          <w:lang w:val="en-GB"/>
        </w:rPr>
        <w:t xml:space="preserve">and GSR Part 7 </w:t>
      </w:r>
      <w:r w:rsidR="003937E5">
        <w:rPr>
          <w:lang w:val="en-GB"/>
        </w:rPr>
        <w:t>[</w:t>
      </w:r>
      <w:r w:rsidR="00BB1302">
        <w:rPr>
          <w:lang w:val="en-GB"/>
        </w:rPr>
        <w:t>4</w:t>
      </w:r>
      <w:r w:rsidR="003937E5">
        <w:rPr>
          <w:lang w:val="en-GB"/>
        </w:rPr>
        <w:t xml:space="preserve">] </w:t>
      </w:r>
      <w:r w:rsidR="004A4A38">
        <w:rPr>
          <w:lang w:val="en-GB"/>
        </w:rPr>
        <w:t>assign</w:t>
      </w:r>
      <w:r w:rsidR="004A4A38" w:rsidRPr="006C448D">
        <w:rPr>
          <w:lang w:val="en-GB"/>
        </w:rPr>
        <w:t xml:space="preserve"> </w:t>
      </w:r>
      <w:r w:rsidRPr="006C448D">
        <w:rPr>
          <w:lang w:val="en-GB"/>
        </w:rPr>
        <w:t>specific responsibilities in emergency preparedness and response</w:t>
      </w:r>
      <w:r w:rsidR="004A4A38">
        <w:rPr>
          <w:lang w:val="en-GB"/>
        </w:rPr>
        <w:t xml:space="preserve"> to response organizations</w:t>
      </w:r>
      <w:r w:rsidR="00136939" w:rsidRPr="006C448D">
        <w:rPr>
          <w:lang w:val="en-GB"/>
        </w:rPr>
        <w:t>.</w:t>
      </w:r>
    </w:p>
    <w:p w:rsidR="00F11A90" w:rsidRPr="006C448D" w:rsidRDefault="00046505" w:rsidP="0060267C">
      <w:pPr>
        <w:pStyle w:val="BodyText"/>
        <w:numPr>
          <w:ilvl w:val="0"/>
          <w:numId w:val="6"/>
        </w:numPr>
        <w:tabs>
          <w:tab w:val="left" w:pos="709"/>
        </w:tabs>
        <w:spacing w:after="120" w:line="360" w:lineRule="auto"/>
        <w:ind w:left="0" w:firstLine="0"/>
        <w:rPr>
          <w:lang w:val="en-GB"/>
        </w:rPr>
      </w:pPr>
      <w:r w:rsidRPr="006C448D">
        <w:rPr>
          <w:lang w:val="en-GB"/>
        </w:rPr>
        <w:t>The responsibilities of the government for protection of the public in existing exposure situations are set out in Requirements 47, 48, 49</w:t>
      </w:r>
      <w:r w:rsidR="008479F9" w:rsidRPr="006C448D">
        <w:rPr>
          <w:lang w:val="en-GB"/>
        </w:rPr>
        <w:t xml:space="preserve"> and </w:t>
      </w:r>
      <w:r w:rsidRPr="006C448D">
        <w:rPr>
          <w:lang w:val="en-GB"/>
        </w:rPr>
        <w:t>50 of GSR Part 3</w:t>
      </w:r>
      <w:r w:rsidR="00B35543">
        <w:rPr>
          <w:lang w:val="en-GB"/>
        </w:rPr>
        <w:t xml:space="preserve"> [2]</w:t>
      </w:r>
      <w:r w:rsidRPr="006C448D">
        <w:rPr>
          <w:lang w:val="en-GB"/>
        </w:rPr>
        <w:t xml:space="preserve">. </w:t>
      </w:r>
      <w:r w:rsidR="008479F9" w:rsidRPr="006C448D">
        <w:rPr>
          <w:lang w:val="en-GB"/>
        </w:rPr>
        <w:t>The government is required to ensure that existing exposure situation</w:t>
      </w:r>
      <w:r w:rsidR="004A4A38">
        <w:rPr>
          <w:lang w:val="en-GB"/>
        </w:rPr>
        <w:t>s</w:t>
      </w:r>
      <w:r w:rsidR="008479F9" w:rsidRPr="006C448D">
        <w:rPr>
          <w:lang w:val="en-GB"/>
        </w:rPr>
        <w:t xml:space="preserve"> that have been identified are evaluated to determine which public exposures are of concern from the point of view of radiation protection; and to ensure that remedial </w:t>
      </w:r>
      <w:r w:rsidR="004A4A38">
        <w:rPr>
          <w:lang w:val="en-GB"/>
        </w:rPr>
        <w:t xml:space="preserve">actions </w:t>
      </w:r>
      <w:r w:rsidR="008479F9" w:rsidRPr="006C448D">
        <w:rPr>
          <w:lang w:val="en-GB"/>
        </w:rPr>
        <w:t xml:space="preserve">and protective actions are justified and that the protection and safety is optimized. </w:t>
      </w:r>
      <w:r w:rsidR="001D4F6C" w:rsidRPr="006C448D">
        <w:rPr>
          <w:lang w:val="en-GB"/>
        </w:rPr>
        <w:t xml:space="preserve">The government is required to ensure that provision </w:t>
      </w:r>
      <w:r w:rsidR="004A4A38">
        <w:rPr>
          <w:lang w:val="en-GB"/>
        </w:rPr>
        <w:t>for the</w:t>
      </w:r>
      <w:r w:rsidR="004A4A38" w:rsidRPr="006C448D">
        <w:rPr>
          <w:lang w:val="en-GB"/>
        </w:rPr>
        <w:t xml:space="preserve"> </w:t>
      </w:r>
      <w:r w:rsidR="001D4F6C" w:rsidRPr="006C448D">
        <w:rPr>
          <w:lang w:val="en-GB"/>
        </w:rPr>
        <w:t xml:space="preserve">management of existing exposure situations is included in the legal and regulatory framework for protection and safety. The government, in the legal and regulatory framework, is required to assign responsibilities for the establishment and implementation of protection strategies to the regulatory body and to other relevant authorities, and as appropriate, to registrants, </w:t>
      </w:r>
      <w:r w:rsidR="001D4F6C" w:rsidRPr="006C448D">
        <w:rPr>
          <w:lang w:val="en-GB"/>
        </w:rPr>
        <w:lastRenderedPageBreak/>
        <w:t xml:space="preserve">licensees and other parties involved in the implementation of remedial </w:t>
      </w:r>
      <w:r w:rsidR="004A4A38">
        <w:rPr>
          <w:lang w:val="en-GB"/>
        </w:rPr>
        <w:t xml:space="preserve">actions </w:t>
      </w:r>
      <w:r w:rsidR="001D4F6C" w:rsidRPr="006C448D">
        <w:rPr>
          <w:lang w:val="en-GB"/>
        </w:rPr>
        <w:t>and protective actions.</w:t>
      </w:r>
    </w:p>
    <w:p w:rsidR="00F11A90" w:rsidRPr="006C448D" w:rsidRDefault="00CA5163" w:rsidP="00E273A0">
      <w:pPr>
        <w:pStyle w:val="BodyText"/>
        <w:tabs>
          <w:tab w:val="left" w:pos="709"/>
        </w:tabs>
        <w:spacing w:after="120" w:line="360" w:lineRule="auto"/>
        <w:rPr>
          <w:lang w:val="en-GB"/>
        </w:rPr>
      </w:pPr>
      <w:r>
        <w:rPr>
          <w:b/>
          <w:lang w:val="en-GB"/>
        </w:rPr>
        <w:t>Responsibilities of t</w:t>
      </w:r>
      <w:r w:rsidR="006023F6" w:rsidRPr="006C448D">
        <w:rPr>
          <w:b/>
          <w:lang w:val="en-GB"/>
        </w:rPr>
        <w:t>he regulatory body</w:t>
      </w:r>
    </w:p>
    <w:p w:rsidR="00F11A90" w:rsidRPr="006C448D" w:rsidRDefault="00B5393B" w:rsidP="00554B34">
      <w:pPr>
        <w:pStyle w:val="BodyText"/>
        <w:numPr>
          <w:ilvl w:val="0"/>
          <w:numId w:val="6"/>
        </w:numPr>
        <w:tabs>
          <w:tab w:val="left" w:pos="709"/>
        </w:tabs>
        <w:spacing w:after="120" w:line="360" w:lineRule="auto"/>
        <w:ind w:left="0" w:firstLine="0"/>
        <w:rPr>
          <w:lang w:val="en-GB"/>
        </w:rPr>
      </w:pPr>
      <w:r w:rsidRPr="006C448D">
        <w:rPr>
          <w:lang w:val="en-GB"/>
        </w:rPr>
        <w:t xml:space="preserve">The responsibilities of the regulatory body with regard to protection and safety </w:t>
      </w:r>
      <w:r w:rsidR="003A670F" w:rsidRPr="006C448D">
        <w:rPr>
          <w:lang w:val="en-GB"/>
        </w:rPr>
        <w:t xml:space="preserve">that </w:t>
      </w:r>
      <w:r w:rsidR="00C3545B">
        <w:rPr>
          <w:lang w:val="en-GB"/>
        </w:rPr>
        <w:t xml:space="preserve">are </w:t>
      </w:r>
      <w:r w:rsidR="0030206B" w:rsidRPr="006C448D">
        <w:rPr>
          <w:lang w:val="en-GB"/>
        </w:rPr>
        <w:t>applicable</w:t>
      </w:r>
      <w:r w:rsidR="003A670F" w:rsidRPr="006C448D">
        <w:rPr>
          <w:lang w:val="en-GB"/>
        </w:rPr>
        <w:t xml:space="preserve"> to all three exposure situations </w:t>
      </w:r>
      <w:r w:rsidRPr="006C448D">
        <w:rPr>
          <w:lang w:val="en-GB"/>
        </w:rPr>
        <w:t xml:space="preserve">are set out in </w:t>
      </w:r>
      <w:r w:rsidR="00A112FF" w:rsidRPr="006C448D">
        <w:rPr>
          <w:lang w:val="en-GB"/>
        </w:rPr>
        <w:t>Requirements 16</w:t>
      </w:r>
      <w:r w:rsidR="001112E6">
        <w:rPr>
          <w:lang w:val="en-GB"/>
        </w:rPr>
        <w:t>–</w:t>
      </w:r>
      <w:r w:rsidR="00A112FF" w:rsidRPr="006C448D">
        <w:rPr>
          <w:lang w:val="en-GB"/>
        </w:rPr>
        <w:t xml:space="preserve">36 </w:t>
      </w:r>
      <w:r w:rsidR="00D15F66" w:rsidRPr="006C448D">
        <w:rPr>
          <w:lang w:val="en-GB"/>
        </w:rPr>
        <w:t xml:space="preserve">of GSR Part 1 </w:t>
      </w:r>
      <w:r w:rsidR="001909AA">
        <w:rPr>
          <w:lang w:val="en-GB"/>
        </w:rPr>
        <w:t xml:space="preserve">(Rev. 1) </w:t>
      </w:r>
      <w:r w:rsidR="00D15F66" w:rsidRPr="006C448D">
        <w:rPr>
          <w:lang w:val="en-GB"/>
        </w:rPr>
        <w:t>[</w:t>
      </w:r>
      <w:r w:rsidR="00A112FF" w:rsidRPr="006C448D">
        <w:rPr>
          <w:lang w:val="en-GB"/>
        </w:rPr>
        <w:t>3</w:t>
      </w:r>
      <w:r w:rsidR="00D15F66" w:rsidRPr="006C448D">
        <w:rPr>
          <w:lang w:val="en-GB"/>
        </w:rPr>
        <w:t xml:space="preserve">] and in </w:t>
      </w:r>
      <w:r w:rsidR="004A4A38">
        <w:rPr>
          <w:lang w:val="en-GB"/>
        </w:rPr>
        <w:t xml:space="preserve">Requirement 3 and </w:t>
      </w:r>
      <w:r w:rsidRPr="006C448D">
        <w:rPr>
          <w:lang w:val="en-GB"/>
        </w:rPr>
        <w:t>paras 2.29</w:t>
      </w:r>
      <w:r w:rsidR="001112E6">
        <w:rPr>
          <w:lang w:val="en-GB"/>
        </w:rPr>
        <w:t>–</w:t>
      </w:r>
      <w:r w:rsidRPr="006C448D">
        <w:rPr>
          <w:lang w:val="en-GB"/>
        </w:rPr>
        <w:t>2.38 of GSR Part 3</w:t>
      </w:r>
      <w:r w:rsidR="00D15F66" w:rsidRPr="006C448D">
        <w:rPr>
          <w:lang w:val="en-GB"/>
        </w:rPr>
        <w:t xml:space="preserve"> </w:t>
      </w:r>
      <w:r w:rsidR="00C05FFE">
        <w:rPr>
          <w:lang w:val="en-GB"/>
        </w:rPr>
        <w:t>[2]</w:t>
      </w:r>
      <w:r w:rsidRPr="006C448D">
        <w:rPr>
          <w:lang w:val="en-GB"/>
        </w:rPr>
        <w:t>.</w:t>
      </w:r>
      <w:r w:rsidR="00262886" w:rsidRPr="006C448D">
        <w:rPr>
          <w:lang w:val="en-GB"/>
        </w:rPr>
        <w:t xml:space="preserve"> </w:t>
      </w:r>
      <w:r w:rsidR="00D53792" w:rsidRPr="006C448D">
        <w:rPr>
          <w:lang w:val="en-GB"/>
        </w:rPr>
        <w:t>These</w:t>
      </w:r>
      <w:r w:rsidR="00411D23" w:rsidRPr="006C448D">
        <w:rPr>
          <w:lang w:val="en-GB"/>
        </w:rPr>
        <w:t xml:space="preserve"> responsibilities </w:t>
      </w:r>
      <w:r w:rsidR="00D53792" w:rsidRPr="006C448D">
        <w:rPr>
          <w:lang w:val="en-GB"/>
        </w:rPr>
        <w:t>include</w:t>
      </w:r>
      <w:r w:rsidR="00020192">
        <w:rPr>
          <w:lang w:val="en-GB"/>
        </w:rPr>
        <w:t>: (a)</w:t>
      </w:r>
      <w:r w:rsidR="00D53792" w:rsidRPr="006C448D">
        <w:rPr>
          <w:lang w:val="en-GB"/>
        </w:rPr>
        <w:t xml:space="preserve"> establishing requirements for applying the principles of radiation protection</w:t>
      </w:r>
      <w:r w:rsidR="004A4A38">
        <w:rPr>
          <w:lang w:val="en-GB"/>
        </w:rPr>
        <w:t>;</w:t>
      </w:r>
      <w:r w:rsidR="00D53792" w:rsidRPr="006C448D">
        <w:rPr>
          <w:lang w:val="en-GB"/>
        </w:rPr>
        <w:t xml:space="preserve"> </w:t>
      </w:r>
      <w:r w:rsidR="00020192">
        <w:rPr>
          <w:lang w:val="en-GB"/>
        </w:rPr>
        <w:t xml:space="preserve">(b) </w:t>
      </w:r>
      <w:r w:rsidR="00D53792" w:rsidRPr="006C448D">
        <w:rPr>
          <w:lang w:val="en-GB"/>
        </w:rPr>
        <w:t>establishing a regulatory system that meets specified requirements</w:t>
      </w:r>
      <w:r w:rsidR="004A4A38">
        <w:rPr>
          <w:lang w:val="en-GB"/>
        </w:rPr>
        <w:t>;</w:t>
      </w:r>
      <w:r w:rsidR="00D53792" w:rsidRPr="006C448D">
        <w:rPr>
          <w:lang w:val="en-GB"/>
        </w:rPr>
        <w:t xml:space="preserve"> </w:t>
      </w:r>
      <w:r w:rsidR="00020192">
        <w:rPr>
          <w:lang w:val="en-GB"/>
        </w:rPr>
        <w:t xml:space="preserve">(c) </w:t>
      </w:r>
      <w:r w:rsidR="00D53792" w:rsidRPr="006C448D">
        <w:rPr>
          <w:lang w:val="en-GB"/>
        </w:rPr>
        <w:t>ensuring the application of the requirements for education and training in protection and safety</w:t>
      </w:r>
      <w:r w:rsidR="004A4A38">
        <w:rPr>
          <w:lang w:val="en-GB"/>
        </w:rPr>
        <w:t>;</w:t>
      </w:r>
      <w:r w:rsidR="00D53792" w:rsidRPr="006C448D">
        <w:rPr>
          <w:lang w:val="en-GB"/>
        </w:rPr>
        <w:t xml:space="preserve"> </w:t>
      </w:r>
      <w:r w:rsidR="00020192">
        <w:rPr>
          <w:lang w:val="en-GB"/>
        </w:rPr>
        <w:t xml:space="preserve">(d) </w:t>
      </w:r>
      <w:r w:rsidR="004A4A38">
        <w:rPr>
          <w:lang w:val="en-GB"/>
        </w:rPr>
        <w:t>specifying</w:t>
      </w:r>
      <w:r w:rsidR="004A4A38" w:rsidRPr="006C448D">
        <w:rPr>
          <w:lang w:val="en-GB"/>
        </w:rPr>
        <w:t xml:space="preserve"> </w:t>
      </w:r>
      <w:r w:rsidR="00D53792" w:rsidRPr="006C448D">
        <w:rPr>
          <w:lang w:val="en-GB"/>
        </w:rPr>
        <w:t xml:space="preserve">acceptance </w:t>
      </w:r>
      <w:r w:rsidR="004A4A38">
        <w:rPr>
          <w:lang w:val="en-GB"/>
        </w:rPr>
        <w:t xml:space="preserve">requirements </w:t>
      </w:r>
      <w:r w:rsidR="00D53792" w:rsidRPr="006C448D">
        <w:rPr>
          <w:lang w:val="en-GB"/>
        </w:rPr>
        <w:t>and performance requirements for protection and safety</w:t>
      </w:r>
      <w:r w:rsidR="004A4A38">
        <w:rPr>
          <w:lang w:val="en-GB"/>
        </w:rPr>
        <w:t>;</w:t>
      </w:r>
      <w:r w:rsidR="00D53792" w:rsidRPr="006C448D">
        <w:rPr>
          <w:lang w:val="en-GB"/>
        </w:rPr>
        <w:t xml:space="preserve"> and </w:t>
      </w:r>
      <w:r w:rsidR="00020192">
        <w:rPr>
          <w:lang w:val="en-GB"/>
        </w:rPr>
        <w:t xml:space="preserve">(e) </w:t>
      </w:r>
      <w:r w:rsidR="00D53792" w:rsidRPr="006C448D">
        <w:rPr>
          <w:lang w:val="en-GB"/>
        </w:rPr>
        <w:t>making provision for the establishment and maintenance of records.</w:t>
      </w:r>
      <w:r w:rsidR="00A112FF" w:rsidRPr="006C448D">
        <w:rPr>
          <w:lang w:val="en-GB"/>
        </w:rPr>
        <w:t xml:space="preserve"> </w:t>
      </w:r>
    </w:p>
    <w:p w:rsidR="00F31366" w:rsidRPr="00F31366" w:rsidRDefault="00D53792" w:rsidP="00554B34">
      <w:pPr>
        <w:pStyle w:val="BodyText"/>
        <w:numPr>
          <w:ilvl w:val="0"/>
          <w:numId w:val="6"/>
        </w:numPr>
        <w:tabs>
          <w:tab w:val="left" w:pos="709"/>
        </w:tabs>
        <w:spacing w:after="120" w:line="360" w:lineRule="auto"/>
        <w:ind w:left="0" w:firstLine="0"/>
        <w:rPr>
          <w:szCs w:val="24"/>
          <w:lang w:val="en-GB"/>
        </w:rPr>
      </w:pPr>
      <w:r w:rsidRPr="006C448D">
        <w:rPr>
          <w:lang w:val="en-GB"/>
        </w:rPr>
        <w:t xml:space="preserve">The responsibilities of the regulatory body specific to </w:t>
      </w:r>
      <w:r w:rsidR="00501A18" w:rsidRPr="006C448D">
        <w:rPr>
          <w:lang w:val="en-GB"/>
        </w:rPr>
        <w:t xml:space="preserve">protection of the </w:t>
      </w:r>
      <w:r w:rsidRPr="006C448D">
        <w:rPr>
          <w:lang w:val="en-GB"/>
        </w:rPr>
        <w:t xml:space="preserve">public in planned exposure situations are set out in </w:t>
      </w:r>
      <w:r w:rsidR="005D40F7" w:rsidRPr="006C448D">
        <w:rPr>
          <w:lang w:val="en-GB"/>
        </w:rPr>
        <w:t>Requirement</w:t>
      </w:r>
      <w:r w:rsidR="001B4393" w:rsidRPr="006C448D">
        <w:rPr>
          <w:lang w:val="en-GB"/>
        </w:rPr>
        <w:t>s</w:t>
      </w:r>
      <w:r w:rsidR="005D40F7" w:rsidRPr="006C448D">
        <w:rPr>
          <w:lang w:val="en-GB"/>
        </w:rPr>
        <w:t xml:space="preserve"> 29</w:t>
      </w:r>
      <w:r w:rsidR="001B4393" w:rsidRPr="006C448D">
        <w:rPr>
          <w:lang w:val="en-GB"/>
        </w:rPr>
        <w:t xml:space="preserve"> and 32</w:t>
      </w:r>
      <w:r w:rsidR="005D40F7" w:rsidRPr="006C448D">
        <w:rPr>
          <w:lang w:val="en-GB"/>
        </w:rPr>
        <w:t xml:space="preserve">, and in </w:t>
      </w:r>
      <w:r w:rsidRPr="006C448D">
        <w:rPr>
          <w:lang w:val="en-GB"/>
        </w:rPr>
        <w:t xml:space="preserve">paras </w:t>
      </w:r>
      <w:r w:rsidR="005D40F7" w:rsidRPr="006C448D">
        <w:rPr>
          <w:lang w:val="en-GB"/>
        </w:rPr>
        <w:t>3.118</w:t>
      </w:r>
      <w:r w:rsidR="001112E6">
        <w:rPr>
          <w:lang w:val="en-GB"/>
        </w:rPr>
        <w:t>–</w:t>
      </w:r>
      <w:r w:rsidR="005D40F7" w:rsidRPr="006C448D">
        <w:rPr>
          <w:lang w:val="en-GB"/>
        </w:rPr>
        <w:t>3.124, 3.135, 3</w:t>
      </w:r>
      <w:r w:rsidR="00B35543">
        <w:rPr>
          <w:lang w:val="en-GB"/>
        </w:rPr>
        <w:t>.</w:t>
      </w:r>
      <w:r w:rsidR="005D40F7" w:rsidRPr="006C448D">
        <w:rPr>
          <w:lang w:val="en-GB"/>
        </w:rPr>
        <w:t>136, and 3.139</w:t>
      </w:r>
      <w:r w:rsidRPr="006C448D">
        <w:rPr>
          <w:lang w:val="en-GB"/>
        </w:rPr>
        <w:t xml:space="preserve"> of GSR Part 3</w:t>
      </w:r>
      <w:r w:rsidR="00D15F66" w:rsidRPr="006C448D">
        <w:rPr>
          <w:lang w:val="en-GB"/>
        </w:rPr>
        <w:t xml:space="preserve"> </w:t>
      </w:r>
      <w:r w:rsidR="00C05FFE">
        <w:rPr>
          <w:lang w:val="en-GB"/>
        </w:rPr>
        <w:t>[2]</w:t>
      </w:r>
      <w:r w:rsidRPr="006C448D">
        <w:rPr>
          <w:lang w:val="en-GB"/>
        </w:rPr>
        <w:t xml:space="preserve">. The regulatory body is responsible for </w:t>
      </w:r>
      <w:r w:rsidR="001B4393" w:rsidRPr="006C448D">
        <w:rPr>
          <w:lang w:val="en-GB"/>
        </w:rPr>
        <w:t>enforcing compliance with the dose limit</w:t>
      </w:r>
      <w:r w:rsidR="002E56C3">
        <w:rPr>
          <w:lang w:val="en-GB"/>
        </w:rPr>
        <w:t>s</w:t>
      </w:r>
      <w:r w:rsidR="001B4393" w:rsidRPr="006C448D">
        <w:rPr>
          <w:lang w:val="en-GB"/>
        </w:rPr>
        <w:t xml:space="preserve"> for public exposure</w:t>
      </w:r>
      <w:r w:rsidR="002E56C3">
        <w:rPr>
          <w:lang w:val="en-GB"/>
        </w:rPr>
        <w:t>;</w:t>
      </w:r>
      <w:r w:rsidR="001B4393" w:rsidRPr="006C448D">
        <w:rPr>
          <w:lang w:val="en-GB"/>
        </w:rPr>
        <w:t xml:space="preserve"> for authorization of practices</w:t>
      </w:r>
      <w:r w:rsidR="002E56C3">
        <w:rPr>
          <w:lang w:val="en-GB"/>
        </w:rPr>
        <w:t>;</w:t>
      </w:r>
      <w:r w:rsidR="001B4393" w:rsidRPr="006C448D">
        <w:rPr>
          <w:lang w:val="en-GB"/>
        </w:rPr>
        <w:t xml:space="preserve"> for establishing </w:t>
      </w:r>
      <w:r w:rsidR="002E56C3">
        <w:rPr>
          <w:lang w:val="en-GB"/>
        </w:rPr>
        <w:t>or</w:t>
      </w:r>
      <w:r w:rsidR="002E56C3" w:rsidRPr="006C448D">
        <w:rPr>
          <w:lang w:val="en-GB"/>
        </w:rPr>
        <w:t xml:space="preserve"> </w:t>
      </w:r>
      <w:r w:rsidR="001B4393" w:rsidRPr="006C448D">
        <w:rPr>
          <w:lang w:val="en-GB"/>
        </w:rPr>
        <w:t xml:space="preserve">approving authorized limits for discharges; </w:t>
      </w:r>
      <w:r w:rsidR="002E56C3">
        <w:rPr>
          <w:lang w:val="en-GB"/>
        </w:rPr>
        <w:t>for</w:t>
      </w:r>
      <w:r w:rsidR="002E56C3" w:rsidRPr="006C448D">
        <w:rPr>
          <w:lang w:val="en-GB"/>
        </w:rPr>
        <w:t xml:space="preserve"> </w:t>
      </w:r>
      <w:r w:rsidR="001B4393" w:rsidRPr="006C448D">
        <w:rPr>
          <w:lang w:val="en-GB"/>
        </w:rPr>
        <w:t>ensur</w:t>
      </w:r>
      <w:r w:rsidR="002E56C3">
        <w:rPr>
          <w:lang w:val="en-GB"/>
        </w:rPr>
        <w:t>ing</w:t>
      </w:r>
      <w:r w:rsidR="001B4393" w:rsidRPr="006C448D">
        <w:rPr>
          <w:lang w:val="en-GB"/>
        </w:rPr>
        <w:t xml:space="preserve"> that programmes for source monitoring and environmental monitoring are in place, and that the results from the monitoring are recorded and are made available; and </w:t>
      </w:r>
      <w:r w:rsidR="002E56C3">
        <w:rPr>
          <w:lang w:val="en-GB"/>
        </w:rPr>
        <w:t>for</w:t>
      </w:r>
      <w:r w:rsidR="002E56C3" w:rsidRPr="006C448D">
        <w:rPr>
          <w:lang w:val="en-GB"/>
        </w:rPr>
        <w:t xml:space="preserve"> </w:t>
      </w:r>
      <w:r w:rsidR="001B4393" w:rsidRPr="006C448D">
        <w:rPr>
          <w:lang w:val="en-GB"/>
        </w:rPr>
        <w:t>authoriz</w:t>
      </w:r>
      <w:r w:rsidR="002E56C3">
        <w:rPr>
          <w:lang w:val="en-GB"/>
        </w:rPr>
        <w:t>ing</w:t>
      </w:r>
      <w:r w:rsidR="001B4393" w:rsidRPr="006C448D">
        <w:rPr>
          <w:lang w:val="en-GB"/>
        </w:rPr>
        <w:t xml:space="preserve"> the provision to the public of consumer products.</w:t>
      </w:r>
    </w:p>
    <w:p w:rsidR="002270AE" w:rsidRPr="00FD7E6B" w:rsidRDefault="00452AA4" w:rsidP="00554B34">
      <w:pPr>
        <w:pStyle w:val="BodyText"/>
        <w:numPr>
          <w:ilvl w:val="0"/>
          <w:numId w:val="6"/>
        </w:numPr>
        <w:tabs>
          <w:tab w:val="left" w:pos="709"/>
        </w:tabs>
        <w:spacing w:after="120" w:line="360" w:lineRule="auto"/>
        <w:ind w:left="0" w:firstLine="0"/>
        <w:rPr>
          <w:szCs w:val="24"/>
          <w:lang w:val="en-GB"/>
        </w:rPr>
      </w:pPr>
      <w:r w:rsidRPr="006B293A">
        <w:rPr>
          <w:szCs w:val="24"/>
          <w:lang w:val="en-GB"/>
        </w:rPr>
        <w:t>The responsibilities of the regulatory body in relation to emergency preparedness and response are set out in paras 4.11</w:t>
      </w:r>
      <w:r w:rsidR="001112E6">
        <w:rPr>
          <w:szCs w:val="24"/>
          <w:lang w:val="en-GB"/>
        </w:rPr>
        <w:t>–</w:t>
      </w:r>
      <w:r w:rsidRPr="006B293A">
        <w:rPr>
          <w:szCs w:val="24"/>
          <w:lang w:val="en-GB"/>
        </w:rPr>
        <w:t>4.15 of GSR Part 7</w:t>
      </w:r>
      <w:r w:rsidR="008B2799">
        <w:rPr>
          <w:szCs w:val="24"/>
          <w:lang w:val="en-GB"/>
        </w:rPr>
        <w:t xml:space="preserve"> [</w:t>
      </w:r>
      <w:r w:rsidR="00BB1302">
        <w:rPr>
          <w:szCs w:val="24"/>
          <w:lang w:val="en-GB"/>
        </w:rPr>
        <w:t>4</w:t>
      </w:r>
      <w:r w:rsidR="008B2799">
        <w:rPr>
          <w:szCs w:val="24"/>
          <w:lang w:val="en-GB"/>
        </w:rPr>
        <w:t>]</w:t>
      </w:r>
      <w:r w:rsidRPr="006B293A">
        <w:rPr>
          <w:szCs w:val="24"/>
          <w:lang w:val="en-GB"/>
        </w:rPr>
        <w:t xml:space="preserve">. </w:t>
      </w:r>
      <w:r w:rsidRPr="006B293A">
        <w:rPr>
          <w:szCs w:val="24"/>
        </w:rPr>
        <w:t>These responsibilities include:</w:t>
      </w:r>
    </w:p>
    <w:p w:rsidR="002270AE" w:rsidRPr="00FD7E6B" w:rsidRDefault="00BA5F56" w:rsidP="00FD7E6B">
      <w:pPr>
        <w:pStyle w:val="BodyText"/>
        <w:numPr>
          <w:ilvl w:val="0"/>
          <w:numId w:val="39"/>
        </w:numPr>
        <w:tabs>
          <w:tab w:val="clear" w:pos="2203"/>
        </w:tabs>
        <w:spacing w:after="120" w:line="360" w:lineRule="auto"/>
        <w:ind w:left="567" w:hanging="567"/>
        <w:rPr>
          <w:szCs w:val="24"/>
          <w:lang w:val="en-GB"/>
        </w:rPr>
      </w:pPr>
      <w:r>
        <w:rPr>
          <w:szCs w:val="24"/>
        </w:rPr>
        <w:t>T</w:t>
      </w:r>
      <w:r w:rsidR="00452AA4" w:rsidRPr="006B293A">
        <w:rPr>
          <w:szCs w:val="24"/>
        </w:rPr>
        <w:t>o ensure that arrangements for preparedness and response to a nuclear or radiological emergency are dealt with through the regulatory process;</w:t>
      </w:r>
    </w:p>
    <w:p w:rsidR="002270AE" w:rsidRPr="00FD7E6B" w:rsidRDefault="00BA5F56" w:rsidP="00FD7E6B">
      <w:pPr>
        <w:pStyle w:val="BodyText"/>
        <w:numPr>
          <w:ilvl w:val="0"/>
          <w:numId w:val="39"/>
        </w:numPr>
        <w:tabs>
          <w:tab w:val="clear" w:pos="2203"/>
        </w:tabs>
        <w:spacing w:after="120" w:line="360" w:lineRule="auto"/>
        <w:ind w:left="567" w:hanging="567"/>
        <w:rPr>
          <w:szCs w:val="24"/>
          <w:lang w:val="en-GB"/>
        </w:rPr>
      </w:pPr>
      <w:r>
        <w:rPr>
          <w:szCs w:val="24"/>
        </w:rPr>
        <w:t>T</w:t>
      </w:r>
      <w:r w:rsidR="00452AA4" w:rsidRPr="006B293A">
        <w:rPr>
          <w:szCs w:val="24"/>
        </w:rPr>
        <w:t xml:space="preserve">o establish or adopt regulations and guides to specify the principles, requirements and associated criteria for safety upon which its regulatory </w:t>
      </w:r>
      <w:r w:rsidR="006B293A" w:rsidRPr="006B293A">
        <w:rPr>
          <w:szCs w:val="24"/>
        </w:rPr>
        <w:t>judgements</w:t>
      </w:r>
      <w:r w:rsidR="00452AA4" w:rsidRPr="006B293A">
        <w:rPr>
          <w:szCs w:val="24"/>
        </w:rPr>
        <w:t>, decisions and actions are based;</w:t>
      </w:r>
    </w:p>
    <w:p w:rsidR="002270AE" w:rsidRPr="00FD7E6B" w:rsidRDefault="00BA5F56" w:rsidP="00FD7E6B">
      <w:pPr>
        <w:pStyle w:val="BodyText"/>
        <w:numPr>
          <w:ilvl w:val="0"/>
          <w:numId w:val="39"/>
        </w:numPr>
        <w:tabs>
          <w:tab w:val="clear" w:pos="2203"/>
        </w:tabs>
        <w:spacing w:after="120" w:line="360" w:lineRule="auto"/>
        <w:ind w:left="567" w:hanging="567"/>
        <w:rPr>
          <w:szCs w:val="24"/>
          <w:lang w:val="en-GB"/>
        </w:rPr>
      </w:pPr>
      <w:r>
        <w:rPr>
          <w:szCs w:val="24"/>
        </w:rPr>
        <w:t>T</w:t>
      </w:r>
      <w:r w:rsidR="00452AA4" w:rsidRPr="006B293A">
        <w:rPr>
          <w:szCs w:val="24"/>
        </w:rPr>
        <w:t>o require that arrangements for preparedness and response for a nuclear or radiological emergency be in place for the on-site area for any regulated facility or activity that could necessitate emergency response actions;</w:t>
      </w:r>
    </w:p>
    <w:p w:rsidR="002270AE" w:rsidRPr="00FD7E6B" w:rsidRDefault="00BA5F56" w:rsidP="00FD7E6B">
      <w:pPr>
        <w:pStyle w:val="BodyText"/>
        <w:numPr>
          <w:ilvl w:val="0"/>
          <w:numId w:val="39"/>
        </w:numPr>
        <w:tabs>
          <w:tab w:val="clear" w:pos="2203"/>
        </w:tabs>
        <w:spacing w:after="120" w:line="360" w:lineRule="auto"/>
        <w:ind w:left="567" w:hanging="567"/>
        <w:rPr>
          <w:szCs w:val="24"/>
          <w:lang w:val="en-GB"/>
        </w:rPr>
      </w:pPr>
      <w:r>
        <w:rPr>
          <w:szCs w:val="24"/>
        </w:rPr>
        <w:t>T</w:t>
      </w:r>
      <w:r w:rsidR="00435866">
        <w:rPr>
          <w:szCs w:val="24"/>
        </w:rPr>
        <w:t>o establish reference levels;</w:t>
      </w:r>
    </w:p>
    <w:p w:rsidR="002270AE" w:rsidRPr="00FD7E6B" w:rsidRDefault="00BA5F56" w:rsidP="00FD7E6B">
      <w:pPr>
        <w:pStyle w:val="BodyText"/>
        <w:numPr>
          <w:ilvl w:val="0"/>
          <w:numId w:val="39"/>
        </w:numPr>
        <w:tabs>
          <w:tab w:val="clear" w:pos="2203"/>
        </w:tabs>
        <w:spacing w:after="120" w:line="360" w:lineRule="auto"/>
        <w:ind w:left="567" w:hanging="567"/>
        <w:rPr>
          <w:szCs w:val="24"/>
          <w:lang w:val="en-GB"/>
        </w:rPr>
      </w:pPr>
      <w:r>
        <w:rPr>
          <w:szCs w:val="24"/>
        </w:rPr>
        <w:t>T</w:t>
      </w:r>
      <w:r w:rsidR="00452AA4" w:rsidRPr="006B293A">
        <w:rPr>
          <w:szCs w:val="24"/>
        </w:rPr>
        <w:t>o ensure that the on-site emerg</w:t>
      </w:r>
      <w:r w:rsidR="00FD7E6B">
        <w:rPr>
          <w:szCs w:val="24"/>
        </w:rPr>
        <w:t>ency arrangements are adequate;</w:t>
      </w:r>
    </w:p>
    <w:p w:rsidR="00452AA4" w:rsidRPr="002270AE" w:rsidRDefault="00BA5F56" w:rsidP="00FD7E6B">
      <w:pPr>
        <w:pStyle w:val="BodyText"/>
        <w:numPr>
          <w:ilvl w:val="0"/>
          <w:numId w:val="39"/>
        </w:numPr>
        <w:tabs>
          <w:tab w:val="clear" w:pos="2203"/>
        </w:tabs>
        <w:spacing w:after="120" w:line="360" w:lineRule="auto"/>
        <w:ind w:left="567" w:hanging="567"/>
        <w:rPr>
          <w:szCs w:val="24"/>
          <w:lang w:val="en-GB"/>
        </w:rPr>
      </w:pPr>
      <w:r>
        <w:rPr>
          <w:szCs w:val="24"/>
        </w:rPr>
        <w:lastRenderedPageBreak/>
        <w:t>T</w:t>
      </w:r>
      <w:r w:rsidR="00452AA4" w:rsidRPr="006B293A">
        <w:rPr>
          <w:szCs w:val="24"/>
        </w:rPr>
        <w:t>o ensure that the operating organization is given sufficient authority to promptly take necessary protective actions on the site in response to a nuclear or radiological emergency.</w:t>
      </w:r>
    </w:p>
    <w:p w:rsidR="002270AE" w:rsidRPr="00FD7E6B" w:rsidRDefault="00FC0096" w:rsidP="00554B34">
      <w:pPr>
        <w:pStyle w:val="BodyText"/>
        <w:numPr>
          <w:ilvl w:val="0"/>
          <w:numId w:val="6"/>
        </w:numPr>
        <w:tabs>
          <w:tab w:val="left" w:pos="709"/>
        </w:tabs>
        <w:spacing w:after="120" w:line="360" w:lineRule="auto"/>
        <w:ind w:left="0" w:firstLine="0"/>
        <w:rPr>
          <w:szCs w:val="24"/>
          <w:lang w:val="en-GB"/>
        </w:rPr>
      </w:pPr>
      <w:r w:rsidRPr="006B293A">
        <w:rPr>
          <w:szCs w:val="24"/>
          <w:lang w:val="en-GB"/>
        </w:rPr>
        <w:t xml:space="preserve">The responsibilities of the regulatory body </w:t>
      </w:r>
      <w:r w:rsidR="001D4F6C" w:rsidRPr="006B293A">
        <w:rPr>
          <w:szCs w:val="24"/>
          <w:lang w:val="en-GB"/>
        </w:rPr>
        <w:t xml:space="preserve">or other relevant authority </w:t>
      </w:r>
      <w:r w:rsidRPr="006B293A">
        <w:rPr>
          <w:szCs w:val="24"/>
          <w:lang w:val="en-GB"/>
        </w:rPr>
        <w:t xml:space="preserve">specific to </w:t>
      </w:r>
      <w:r w:rsidR="001D4F6C" w:rsidRPr="006B293A">
        <w:rPr>
          <w:szCs w:val="24"/>
          <w:lang w:val="en-GB"/>
        </w:rPr>
        <w:t xml:space="preserve">protection of the public in </w:t>
      </w:r>
      <w:r w:rsidRPr="006B293A">
        <w:rPr>
          <w:szCs w:val="24"/>
          <w:lang w:val="en-GB"/>
        </w:rPr>
        <w:t xml:space="preserve">existing exposure situations are </w:t>
      </w:r>
      <w:r w:rsidR="001D4F6C" w:rsidRPr="006B293A">
        <w:rPr>
          <w:szCs w:val="24"/>
          <w:lang w:val="en-GB"/>
        </w:rPr>
        <w:t xml:space="preserve">set out in paras </w:t>
      </w:r>
      <w:r w:rsidR="00AD0AB8" w:rsidRPr="006B293A">
        <w:rPr>
          <w:szCs w:val="24"/>
          <w:lang w:val="en-GB"/>
        </w:rPr>
        <w:t>5.4</w:t>
      </w:r>
      <w:r w:rsidR="00BA5F56">
        <w:rPr>
          <w:szCs w:val="24"/>
          <w:lang w:val="en-GB"/>
        </w:rPr>
        <w:t xml:space="preserve"> and</w:t>
      </w:r>
      <w:r w:rsidR="00AD0AB8" w:rsidRPr="006B293A">
        <w:rPr>
          <w:szCs w:val="24"/>
          <w:lang w:val="en-GB"/>
        </w:rPr>
        <w:t xml:space="preserve"> 5.5</w:t>
      </w:r>
      <w:r w:rsidR="00BA5F56">
        <w:rPr>
          <w:szCs w:val="24"/>
          <w:lang w:val="en-GB"/>
        </w:rPr>
        <w:t xml:space="preserve"> </w:t>
      </w:r>
      <w:r w:rsidR="00933F86" w:rsidRPr="006B293A">
        <w:rPr>
          <w:szCs w:val="24"/>
          <w:lang w:val="en-GB"/>
        </w:rPr>
        <w:t>and in Requirement</w:t>
      </w:r>
      <w:r w:rsidR="00BA5F56">
        <w:rPr>
          <w:szCs w:val="24"/>
          <w:lang w:val="en-GB"/>
        </w:rPr>
        <w:t>s 48 and</w:t>
      </w:r>
      <w:r w:rsidR="00933F86" w:rsidRPr="006B293A">
        <w:rPr>
          <w:szCs w:val="24"/>
          <w:lang w:val="en-GB"/>
        </w:rPr>
        <w:t xml:space="preserve"> 51</w:t>
      </w:r>
      <w:r w:rsidR="00AD0AB8" w:rsidRPr="006B293A">
        <w:rPr>
          <w:szCs w:val="24"/>
          <w:lang w:val="en-GB"/>
        </w:rPr>
        <w:t xml:space="preserve"> of GSR Part 3</w:t>
      </w:r>
      <w:r w:rsidR="00871F51">
        <w:rPr>
          <w:szCs w:val="24"/>
          <w:lang w:val="en-GB"/>
        </w:rPr>
        <w:t xml:space="preserve"> [2]</w:t>
      </w:r>
      <w:r w:rsidR="00AD0AB8" w:rsidRPr="006B293A">
        <w:rPr>
          <w:szCs w:val="24"/>
          <w:lang w:val="en-GB"/>
        </w:rPr>
        <w:t xml:space="preserve">. </w:t>
      </w:r>
      <w:r w:rsidR="003939CB" w:rsidRPr="006B293A">
        <w:rPr>
          <w:szCs w:val="24"/>
        </w:rPr>
        <w:t>These responsibilities include:</w:t>
      </w:r>
    </w:p>
    <w:p w:rsidR="00FD7E6B" w:rsidRDefault="00BA5F56" w:rsidP="00FD7E6B">
      <w:pPr>
        <w:pStyle w:val="BodyText"/>
        <w:numPr>
          <w:ilvl w:val="0"/>
          <w:numId w:val="15"/>
        </w:numPr>
        <w:spacing w:after="120" w:line="360" w:lineRule="auto"/>
        <w:ind w:left="567" w:hanging="567"/>
        <w:rPr>
          <w:szCs w:val="24"/>
          <w:lang w:val="en-GB"/>
        </w:rPr>
      </w:pPr>
      <w:r>
        <w:rPr>
          <w:szCs w:val="24"/>
        </w:rPr>
        <w:t>T</w:t>
      </w:r>
      <w:r w:rsidR="003939CB" w:rsidRPr="006B293A">
        <w:rPr>
          <w:szCs w:val="24"/>
        </w:rPr>
        <w:t>o establish and implement a protection strategy for an existing exposure situation commensurate with the associated radiation risks;</w:t>
      </w:r>
    </w:p>
    <w:p w:rsidR="00A3165B" w:rsidRDefault="00BA5F56" w:rsidP="00A3165B">
      <w:pPr>
        <w:pStyle w:val="BodyText"/>
        <w:numPr>
          <w:ilvl w:val="0"/>
          <w:numId w:val="15"/>
        </w:numPr>
        <w:spacing w:after="120" w:line="360" w:lineRule="auto"/>
        <w:ind w:left="567" w:hanging="567"/>
        <w:rPr>
          <w:szCs w:val="24"/>
          <w:lang w:val="en-GB"/>
        </w:rPr>
      </w:pPr>
      <w:r>
        <w:rPr>
          <w:szCs w:val="24"/>
        </w:rPr>
        <w:t>T</w:t>
      </w:r>
      <w:r w:rsidR="003939CB" w:rsidRPr="00FD7E6B">
        <w:rPr>
          <w:szCs w:val="24"/>
        </w:rPr>
        <w:t>o ensure that remedial actions or protective actions are expected to yield sufficient benefits to outweigh the detriments associated with taking them;</w:t>
      </w:r>
    </w:p>
    <w:p w:rsidR="00A3165B" w:rsidRDefault="00BA5F56" w:rsidP="00A3165B">
      <w:pPr>
        <w:pStyle w:val="BodyText"/>
        <w:numPr>
          <w:ilvl w:val="0"/>
          <w:numId w:val="15"/>
        </w:numPr>
        <w:spacing w:after="120" w:line="360" w:lineRule="auto"/>
        <w:ind w:left="567" w:hanging="567"/>
        <w:rPr>
          <w:szCs w:val="24"/>
          <w:lang w:val="en-GB"/>
        </w:rPr>
      </w:pPr>
      <w:r>
        <w:rPr>
          <w:szCs w:val="24"/>
        </w:rPr>
        <w:t>T</w:t>
      </w:r>
      <w:r w:rsidR="003939CB" w:rsidRPr="00A3165B">
        <w:rPr>
          <w:szCs w:val="24"/>
        </w:rPr>
        <w:t>o ensure that the form, scale and duration of remedial actions or protective actions are optimized;</w:t>
      </w:r>
    </w:p>
    <w:p w:rsidR="002C13D4" w:rsidRPr="002C13D4" w:rsidRDefault="00BA5F56" w:rsidP="00A3165B">
      <w:pPr>
        <w:pStyle w:val="BodyText"/>
        <w:numPr>
          <w:ilvl w:val="0"/>
          <w:numId w:val="15"/>
        </w:numPr>
        <w:spacing w:after="120" w:line="360" w:lineRule="auto"/>
        <w:ind w:left="567" w:hanging="567"/>
        <w:rPr>
          <w:szCs w:val="24"/>
          <w:lang w:val="en-GB"/>
        </w:rPr>
      </w:pPr>
      <w:r>
        <w:rPr>
          <w:szCs w:val="24"/>
        </w:rPr>
        <w:t>T</w:t>
      </w:r>
      <w:r w:rsidR="003939CB" w:rsidRPr="00A3165B">
        <w:rPr>
          <w:szCs w:val="24"/>
        </w:rPr>
        <w:t>o establish reference levels for exposure due to radionuclides in commodities</w:t>
      </w:r>
      <w:r w:rsidR="002C13D4">
        <w:rPr>
          <w:szCs w:val="24"/>
        </w:rPr>
        <w:t>;</w:t>
      </w:r>
    </w:p>
    <w:p w:rsidR="004E1C8E" w:rsidRPr="00A3165B" w:rsidRDefault="002C13D4" w:rsidP="00A3165B">
      <w:pPr>
        <w:pStyle w:val="BodyText"/>
        <w:numPr>
          <w:ilvl w:val="0"/>
          <w:numId w:val="15"/>
        </w:numPr>
        <w:spacing w:after="120" w:line="360" w:lineRule="auto"/>
        <w:ind w:left="567" w:hanging="567"/>
        <w:rPr>
          <w:szCs w:val="24"/>
          <w:lang w:val="en-GB"/>
        </w:rPr>
      </w:pPr>
      <w:r>
        <w:rPr>
          <w:szCs w:val="24"/>
        </w:rPr>
        <w:t>T</w:t>
      </w:r>
      <w:r w:rsidRPr="00A3165B">
        <w:rPr>
          <w:szCs w:val="24"/>
        </w:rPr>
        <w:t xml:space="preserve">o establish and </w:t>
      </w:r>
      <w:r>
        <w:rPr>
          <w:szCs w:val="24"/>
        </w:rPr>
        <w:t xml:space="preserve">to </w:t>
      </w:r>
      <w:r w:rsidRPr="00A3165B">
        <w:rPr>
          <w:szCs w:val="24"/>
        </w:rPr>
        <w:t>review reference levels periodically</w:t>
      </w:r>
      <w:r w:rsidR="003939CB" w:rsidRPr="00A3165B">
        <w:rPr>
          <w:szCs w:val="24"/>
        </w:rPr>
        <w:t>.</w:t>
      </w:r>
    </w:p>
    <w:p w:rsidR="00F6189D" w:rsidRPr="0087451F" w:rsidRDefault="00FD4C99" w:rsidP="00554B34">
      <w:pPr>
        <w:pStyle w:val="BodyText"/>
        <w:numPr>
          <w:ilvl w:val="0"/>
          <w:numId w:val="6"/>
        </w:numPr>
        <w:tabs>
          <w:tab w:val="left" w:pos="709"/>
        </w:tabs>
        <w:spacing w:after="120" w:line="360" w:lineRule="auto"/>
        <w:ind w:left="0" w:firstLine="0"/>
        <w:rPr>
          <w:szCs w:val="24"/>
          <w:lang w:val="en-GB"/>
        </w:rPr>
      </w:pPr>
      <w:r>
        <w:rPr>
          <w:szCs w:val="24"/>
          <w:lang w:val="en-GB"/>
        </w:rPr>
        <w:t>It is t</w:t>
      </w:r>
      <w:r w:rsidR="00F6189D">
        <w:rPr>
          <w:szCs w:val="24"/>
          <w:lang w:val="en-GB"/>
        </w:rPr>
        <w:t>he responsibilit</w:t>
      </w:r>
      <w:r w:rsidR="002270AE">
        <w:rPr>
          <w:szCs w:val="24"/>
          <w:lang w:val="en-GB"/>
        </w:rPr>
        <w:t>y</w:t>
      </w:r>
      <w:r w:rsidR="00F6189D">
        <w:rPr>
          <w:szCs w:val="24"/>
          <w:lang w:val="en-GB"/>
        </w:rPr>
        <w:t xml:space="preserve"> of the regulatory body in relation to protection of the environment to specify requirements for the </w:t>
      </w:r>
      <w:r w:rsidR="00F6189D" w:rsidRPr="0087451F">
        <w:rPr>
          <w:szCs w:val="24"/>
          <w:lang w:val="en-GB"/>
        </w:rPr>
        <w:t>prospective assessment of radiological environmental impact</w:t>
      </w:r>
      <w:r w:rsidR="0087451F" w:rsidRPr="0087451F">
        <w:rPr>
          <w:szCs w:val="24"/>
          <w:lang w:val="en-GB"/>
        </w:rPr>
        <w:t>s</w:t>
      </w:r>
      <w:r w:rsidR="0087451F" w:rsidRPr="004A5896">
        <w:rPr>
          <w:szCs w:val="24"/>
          <w:lang w:val="en-GB"/>
        </w:rPr>
        <w:t xml:space="preserve">, as set out </w:t>
      </w:r>
      <w:r w:rsidR="00D720E5">
        <w:rPr>
          <w:szCs w:val="24"/>
          <w:lang w:val="en-GB"/>
        </w:rPr>
        <w:t>para</w:t>
      </w:r>
      <w:r w:rsidR="00A3165B">
        <w:rPr>
          <w:szCs w:val="24"/>
          <w:lang w:val="en-GB"/>
        </w:rPr>
        <w:t>.</w:t>
      </w:r>
      <w:r w:rsidR="00F6189D" w:rsidRPr="004A5896">
        <w:rPr>
          <w:szCs w:val="24"/>
          <w:lang w:val="en-GB"/>
        </w:rPr>
        <w:t xml:space="preserve"> 3.9 (e)</w:t>
      </w:r>
      <w:r w:rsidR="0087451F" w:rsidRPr="004A5896">
        <w:rPr>
          <w:szCs w:val="24"/>
          <w:lang w:val="en-GB"/>
        </w:rPr>
        <w:t xml:space="preserve"> of GSR Part 3 [2]. </w:t>
      </w:r>
    </w:p>
    <w:p w:rsidR="00F11A90" w:rsidRPr="006B293A" w:rsidRDefault="00CA5163" w:rsidP="00E273A0">
      <w:pPr>
        <w:pStyle w:val="BodyText"/>
        <w:tabs>
          <w:tab w:val="left" w:pos="709"/>
        </w:tabs>
        <w:spacing w:after="120" w:line="360" w:lineRule="auto"/>
        <w:rPr>
          <w:szCs w:val="24"/>
          <w:lang w:val="en-GB"/>
        </w:rPr>
      </w:pPr>
      <w:r>
        <w:rPr>
          <w:b/>
          <w:lang w:val="en-GB"/>
        </w:rPr>
        <w:t xml:space="preserve">Responsibilities of </w:t>
      </w:r>
      <w:r>
        <w:rPr>
          <w:b/>
          <w:szCs w:val="24"/>
          <w:lang w:val="en-GB"/>
        </w:rPr>
        <w:t>r</w:t>
      </w:r>
      <w:r w:rsidR="006023F6" w:rsidRPr="006B293A">
        <w:rPr>
          <w:b/>
          <w:szCs w:val="24"/>
          <w:lang w:val="en-GB"/>
        </w:rPr>
        <w:t>egistrants and licensees</w:t>
      </w:r>
      <w:r w:rsidR="000937BE">
        <w:rPr>
          <w:b/>
          <w:szCs w:val="24"/>
          <w:lang w:val="en-GB"/>
        </w:rPr>
        <w:t>, and operating organizations</w:t>
      </w:r>
    </w:p>
    <w:p w:rsidR="00FD4C99" w:rsidRPr="00FD4C99" w:rsidRDefault="00D15F66" w:rsidP="00BF11EB">
      <w:pPr>
        <w:pStyle w:val="BodyText"/>
        <w:numPr>
          <w:ilvl w:val="0"/>
          <w:numId w:val="6"/>
        </w:numPr>
        <w:tabs>
          <w:tab w:val="left" w:pos="709"/>
        </w:tabs>
        <w:spacing w:after="120" w:line="360" w:lineRule="auto"/>
        <w:ind w:left="0" w:firstLine="0"/>
        <w:rPr>
          <w:lang w:val="en-GB"/>
        </w:rPr>
      </w:pPr>
      <w:r w:rsidRPr="006B293A">
        <w:rPr>
          <w:szCs w:val="24"/>
          <w:lang w:val="en-GB"/>
        </w:rPr>
        <w:t xml:space="preserve">Requirement 4 of GSR Part 3 </w:t>
      </w:r>
      <w:r w:rsidR="00871F51">
        <w:rPr>
          <w:szCs w:val="24"/>
          <w:lang w:val="en-GB"/>
        </w:rPr>
        <w:t xml:space="preserve">[2] </w:t>
      </w:r>
      <w:r w:rsidRPr="006B293A">
        <w:rPr>
          <w:szCs w:val="24"/>
          <w:lang w:val="en-GB"/>
        </w:rPr>
        <w:t>states</w:t>
      </w:r>
      <w:r w:rsidR="00FD4C99">
        <w:rPr>
          <w:szCs w:val="24"/>
          <w:lang w:val="en-GB"/>
        </w:rPr>
        <w:t xml:space="preserve"> that</w:t>
      </w:r>
      <w:r w:rsidR="00F11A90" w:rsidRPr="006B293A">
        <w:rPr>
          <w:szCs w:val="24"/>
          <w:lang w:val="en-GB"/>
        </w:rPr>
        <w:t xml:space="preserve"> </w:t>
      </w:r>
    </w:p>
    <w:p w:rsidR="00F11A90" w:rsidRPr="006C448D" w:rsidRDefault="007F19DB" w:rsidP="00BB4496">
      <w:pPr>
        <w:pStyle w:val="BodyText"/>
        <w:tabs>
          <w:tab w:val="left" w:pos="709"/>
        </w:tabs>
        <w:spacing w:after="120" w:line="360" w:lineRule="auto"/>
        <w:ind w:left="567"/>
        <w:rPr>
          <w:lang w:val="en-GB"/>
        </w:rPr>
      </w:pPr>
      <w:r w:rsidRPr="006B293A">
        <w:rPr>
          <w:szCs w:val="24"/>
          <w:lang w:val="en-GB"/>
        </w:rPr>
        <w:t>“</w:t>
      </w:r>
      <w:r w:rsidR="00D15F66" w:rsidRPr="006B293A">
        <w:rPr>
          <w:szCs w:val="24"/>
          <w:lang w:val="en-GB"/>
        </w:rPr>
        <w:t>The person or organization responsible for facilities and activities that give rise to radiation risks</w:t>
      </w:r>
      <w:r w:rsidR="00D15F66" w:rsidRPr="006C448D">
        <w:rPr>
          <w:lang w:val="en-GB"/>
        </w:rPr>
        <w:t xml:space="preserve"> shall have the prime responsibility for </w:t>
      </w:r>
      <w:r w:rsidR="00D40AF6" w:rsidRPr="006C448D">
        <w:rPr>
          <w:lang w:val="en-GB"/>
        </w:rPr>
        <w:t>protection and safety</w:t>
      </w:r>
      <w:r w:rsidRPr="006C448D">
        <w:rPr>
          <w:lang w:val="en-GB"/>
        </w:rPr>
        <w:t>”</w:t>
      </w:r>
      <w:r w:rsidR="00F11A90" w:rsidRPr="006C448D">
        <w:rPr>
          <w:lang w:val="en-GB"/>
        </w:rPr>
        <w:t xml:space="preserve">. </w:t>
      </w:r>
    </w:p>
    <w:p w:rsidR="00FD4C99" w:rsidRDefault="00A9787E" w:rsidP="00BF11EB">
      <w:pPr>
        <w:pStyle w:val="BodyText"/>
        <w:numPr>
          <w:ilvl w:val="0"/>
          <w:numId w:val="6"/>
        </w:numPr>
        <w:tabs>
          <w:tab w:val="left" w:pos="709"/>
        </w:tabs>
        <w:spacing w:after="120" w:line="360" w:lineRule="auto"/>
        <w:ind w:left="0" w:firstLine="0"/>
        <w:rPr>
          <w:lang w:val="en-GB"/>
        </w:rPr>
      </w:pPr>
      <w:r w:rsidRPr="006C448D">
        <w:rPr>
          <w:lang w:val="en-GB"/>
        </w:rPr>
        <w:t xml:space="preserve">Requirement 9 of GSR Part 3 </w:t>
      </w:r>
      <w:r w:rsidR="00871F51">
        <w:rPr>
          <w:lang w:val="en-GB"/>
        </w:rPr>
        <w:t xml:space="preserve">[2] </w:t>
      </w:r>
      <w:r w:rsidRPr="006C448D">
        <w:rPr>
          <w:lang w:val="en-GB"/>
        </w:rPr>
        <w:t>states</w:t>
      </w:r>
      <w:r w:rsidR="00FD4C99">
        <w:rPr>
          <w:lang w:val="en-GB"/>
        </w:rPr>
        <w:t xml:space="preserve"> that</w:t>
      </w:r>
      <w:r w:rsidR="00F11A90" w:rsidRPr="006C448D">
        <w:rPr>
          <w:lang w:val="en-GB"/>
        </w:rPr>
        <w:t xml:space="preserve"> </w:t>
      </w:r>
    </w:p>
    <w:p w:rsidR="00F11A90" w:rsidRPr="006C448D" w:rsidRDefault="007F19DB" w:rsidP="00BB4496">
      <w:pPr>
        <w:pStyle w:val="BodyText"/>
        <w:tabs>
          <w:tab w:val="left" w:pos="709"/>
        </w:tabs>
        <w:spacing w:after="120" w:line="360" w:lineRule="auto"/>
        <w:ind w:left="567"/>
        <w:rPr>
          <w:lang w:val="en-GB"/>
        </w:rPr>
      </w:pPr>
      <w:r w:rsidRPr="006C448D">
        <w:rPr>
          <w:lang w:val="en-GB"/>
        </w:rPr>
        <w:t>“</w:t>
      </w:r>
      <w:r w:rsidR="00A9787E" w:rsidRPr="006C448D">
        <w:rPr>
          <w:lang w:val="en-GB"/>
        </w:rPr>
        <w:t>Registrants and licensees shall be responsible for protection and safety in planned exposure situations.</w:t>
      </w:r>
      <w:r w:rsidRPr="006C448D">
        <w:rPr>
          <w:lang w:val="en-GB"/>
        </w:rPr>
        <w:t>”</w:t>
      </w:r>
    </w:p>
    <w:p w:rsidR="00F11A90" w:rsidRPr="006C448D" w:rsidRDefault="00A9787E" w:rsidP="00BF11EB">
      <w:pPr>
        <w:pStyle w:val="BodyText"/>
        <w:numPr>
          <w:ilvl w:val="0"/>
          <w:numId w:val="6"/>
        </w:numPr>
        <w:tabs>
          <w:tab w:val="left" w:pos="709"/>
        </w:tabs>
        <w:spacing w:after="120" w:line="360" w:lineRule="auto"/>
        <w:ind w:left="0" w:firstLine="0"/>
        <w:rPr>
          <w:lang w:val="en-GB"/>
        </w:rPr>
      </w:pPr>
      <w:r w:rsidRPr="006C448D">
        <w:rPr>
          <w:lang w:val="en-GB"/>
        </w:rPr>
        <w:t xml:space="preserve">Registrants and licensees are required to ensure that protection and safety is optimized and that relevant constraints are used in the optimization of protection and safety for any source </w:t>
      </w:r>
      <w:r w:rsidR="00B8463E">
        <w:rPr>
          <w:lang w:val="en-GB"/>
        </w:rPr>
        <w:t>with</w:t>
      </w:r>
      <w:r w:rsidRPr="006C448D">
        <w:rPr>
          <w:lang w:val="en-GB"/>
        </w:rPr>
        <w:t>in a practice</w:t>
      </w:r>
      <w:r w:rsidR="00A8170A">
        <w:rPr>
          <w:lang w:val="en-GB"/>
        </w:rPr>
        <w:t xml:space="preserve"> (para. 3.25 of GSR Part 3 [2])</w:t>
      </w:r>
      <w:r w:rsidRPr="006C448D">
        <w:rPr>
          <w:lang w:val="en-GB"/>
        </w:rPr>
        <w:t>.</w:t>
      </w:r>
    </w:p>
    <w:p w:rsidR="00F11A90" w:rsidRDefault="00A9787E" w:rsidP="00BF11EB">
      <w:pPr>
        <w:pStyle w:val="BodyText"/>
        <w:numPr>
          <w:ilvl w:val="0"/>
          <w:numId w:val="6"/>
        </w:numPr>
        <w:tabs>
          <w:tab w:val="left" w:pos="709"/>
        </w:tabs>
        <w:spacing w:after="120" w:line="360" w:lineRule="auto"/>
        <w:ind w:left="0" w:firstLine="0"/>
        <w:rPr>
          <w:lang w:val="en-GB"/>
        </w:rPr>
      </w:pPr>
      <w:r w:rsidRPr="006C448D">
        <w:rPr>
          <w:lang w:val="en-GB"/>
        </w:rPr>
        <w:t>Registrants and licensees are required to ensure that exposures of individuals due to practices for which registrants and licensees are authorized are restricted</w:t>
      </w:r>
      <w:r w:rsidR="00B8463E">
        <w:rPr>
          <w:lang w:val="en-GB"/>
        </w:rPr>
        <w:t>,</w:t>
      </w:r>
      <w:r w:rsidRPr="006C448D">
        <w:rPr>
          <w:lang w:val="en-GB"/>
        </w:rPr>
        <w:t xml:space="preserve"> so that neither the </w:t>
      </w:r>
      <w:r w:rsidRPr="006C448D">
        <w:rPr>
          <w:lang w:val="en-GB"/>
        </w:rPr>
        <w:lastRenderedPageBreak/>
        <w:t>effective dose nor the equivalent dose to tissues or organs exceeds any relevant dose limit specified in Schedule III of</w:t>
      </w:r>
      <w:r w:rsidR="00776E9A">
        <w:rPr>
          <w:lang w:val="en-GB"/>
        </w:rPr>
        <w:t xml:space="preserve"> </w:t>
      </w:r>
      <w:r w:rsidR="008B2799">
        <w:rPr>
          <w:lang w:val="en-GB"/>
        </w:rPr>
        <w:t>GSR Part 3</w:t>
      </w:r>
      <w:r w:rsidR="00871F51">
        <w:rPr>
          <w:lang w:val="en-GB"/>
        </w:rPr>
        <w:t xml:space="preserve"> [2]</w:t>
      </w:r>
      <w:r w:rsidRPr="006C448D">
        <w:rPr>
          <w:lang w:val="en-GB"/>
        </w:rPr>
        <w:t>.</w:t>
      </w:r>
      <w:bookmarkStart w:id="13" w:name="_Toc396137871"/>
    </w:p>
    <w:p w:rsidR="00C91013" w:rsidRPr="006C448D" w:rsidRDefault="00C91013" w:rsidP="00BF11EB">
      <w:pPr>
        <w:pStyle w:val="BodyText"/>
        <w:numPr>
          <w:ilvl w:val="0"/>
          <w:numId w:val="6"/>
        </w:numPr>
        <w:tabs>
          <w:tab w:val="left" w:pos="709"/>
        </w:tabs>
        <w:spacing w:after="120" w:line="360" w:lineRule="auto"/>
        <w:ind w:left="0" w:firstLine="0"/>
        <w:rPr>
          <w:lang w:val="en-GB"/>
        </w:rPr>
      </w:pPr>
      <w:r>
        <w:rPr>
          <w:lang w:val="en-GB"/>
        </w:rPr>
        <w:t xml:space="preserve">Registrants and licensees are required to ensure that programmes for source monitoring and environmental monitoring are in place and that the results from the monitoring are recorded and </w:t>
      </w:r>
      <w:r w:rsidR="00B8463E">
        <w:rPr>
          <w:lang w:val="en-GB"/>
        </w:rPr>
        <w:t xml:space="preserve">are </w:t>
      </w:r>
      <w:r>
        <w:rPr>
          <w:lang w:val="en-GB"/>
        </w:rPr>
        <w:t>made available [2].</w:t>
      </w:r>
    </w:p>
    <w:p w:rsidR="00A112FF" w:rsidRDefault="00A112FF" w:rsidP="00BF11EB">
      <w:pPr>
        <w:pStyle w:val="BodyText"/>
        <w:numPr>
          <w:ilvl w:val="0"/>
          <w:numId w:val="6"/>
        </w:numPr>
        <w:tabs>
          <w:tab w:val="left" w:pos="709"/>
        </w:tabs>
        <w:spacing w:after="120" w:line="360" w:lineRule="auto"/>
        <w:ind w:left="0" w:firstLine="0"/>
        <w:rPr>
          <w:lang w:val="en-GB"/>
        </w:rPr>
      </w:pPr>
      <w:r w:rsidRPr="006C448D">
        <w:rPr>
          <w:lang w:val="en-GB"/>
        </w:rPr>
        <w:t>In GSR Part 7 [</w:t>
      </w:r>
      <w:r w:rsidR="00BB1302">
        <w:rPr>
          <w:lang w:val="en-GB"/>
        </w:rPr>
        <w:t>4</w:t>
      </w:r>
      <w:r w:rsidRPr="006C448D">
        <w:rPr>
          <w:lang w:val="en-GB"/>
        </w:rPr>
        <w:t xml:space="preserve">], the </w:t>
      </w:r>
      <w:r w:rsidR="00701559" w:rsidRPr="006C448D">
        <w:rPr>
          <w:lang w:val="en-GB"/>
        </w:rPr>
        <w:t>term</w:t>
      </w:r>
      <w:r w:rsidRPr="006C448D">
        <w:rPr>
          <w:lang w:val="en-GB"/>
        </w:rPr>
        <w:t xml:space="preserve"> </w:t>
      </w:r>
      <w:r w:rsidR="00E3083B" w:rsidRPr="006C448D">
        <w:rPr>
          <w:lang w:val="en-GB"/>
        </w:rPr>
        <w:t>‘</w:t>
      </w:r>
      <w:r w:rsidRPr="006C448D">
        <w:rPr>
          <w:lang w:val="en-GB"/>
        </w:rPr>
        <w:t>operating organization</w:t>
      </w:r>
      <w:r w:rsidR="00E3083B" w:rsidRPr="006C448D">
        <w:rPr>
          <w:lang w:val="en-GB"/>
        </w:rPr>
        <w:t>’</w:t>
      </w:r>
      <w:r w:rsidR="00701559" w:rsidRPr="006C448D">
        <w:rPr>
          <w:lang w:val="en-GB"/>
        </w:rPr>
        <w:t xml:space="preserve"> is used in this context.</w:t>
      </w:r>
      <w:r w:rsidRPr="006C448D">
        <w:rPr>
          <w:lang w:val="en-GB"/>
        </w:rPr>
        <w:t xml:space="preserve"> </w:t>
      </w:r>
      <w:r w:rsidR="00701559" w:rsidRPr="006C448D">
        <w:rPr>
          <w:lang w:val="en-GB"/>
        </w:rPr>
        <w:t>T</w:t>
      </w:r>
      <w:r w:rsidRPr="006C448D">
        <w:rPr>
          <w:lang w:val="en-GB"/>
        </w:rPr>
        <w:t xml:space="preserve">he responsibilities </w:t>
      </w:r>
      <w:r w:rsidR="00701559" w:rsidRPr="006C448D">
        <w:rPr>
          <w:lang w:val="en-GB"/>
        </w:rPr>
        <w:t xml:space="preserve">of </w:t>
      </w:r>
      <w:r w:rsidR="00B8463E">
        <w:rPr>
          <w:lang w:val="en-GB"/>
        </w:rPr>
        <w:t xml:space="preserve">the </w:t>
      </w:r>
      <w:r w:rsidR="00701559" w:rsidRPr="006C448D">
        <w:rPr>
          <w:lang w:val="en-GB"/>
        </w:rPr>
        <w:t xml:space="preserve">operating organization </w:t>
      </w:r>
      <w:r w:rsidRPr="006C448D">
        <w:rPr>
          <w:lang w:val="en-GB"/>
        </w:rPr>
        <w:t xml:space="preserve">in relation to emergency preparedness and response are set out in </w:t>
      </w:r>
      <w:r w:rsidR="00854E71" w:rsidRPr="006C448D">
        <w:rPr>
          <w:lang w:val="en-GB"/>
        </w:rPr>
        <w:t>GSR Part 7</w:t>
      </w:r>
      <w:r w:rsidR="003937E5">
        <w:rPr>
          <w:lang w:val="en-GB"/>
        </w:rPr>
        <w:t xml:space="preserve"> [</w:t>
      </w:r>
      <w:r w:rsidR="00BB1302">
        <w:rPr>
          <w:lang w:val="en-GB"/>
        </w:rPr>
        <w:t>4</w:t>
      </w:r>
      <w:r w:rsidR="003937E5">
        <w:rPr>
          <w:lang w:val="en-GB"/>
        </w:rPr>
        <w:t>]</w:t>
      </w:r>
      <w:r w:rsidR="004E1C8E" w:rsidRPr="006C448D">
        <w:rPr>
          <w:lang w:val="en-GB"/>
        </w:rPr>
        <w:t xml:space="preserve">, particularly in </w:t>
      </w:r>
      <w:r w:rsidR="004E14C3" w:rsidRPr="006C448D">
        <w:rPr>
          <w:lang w:val="en-GB"/>
        </w:rPr>
        <w:t>paras 4.16</w:t>
      </w:r>
      <w:r w:rsidR="001112E6">
        <w:rPr>
          <w:lang w:val="en-GB"/>
        </w:rPr>
        <w:t>–</w:t>
      </w:r>
      <w:r w:rsidR="004E14C3" w:rsidRPr="006C448D">
        <w:rPr>
          <w:lang w:val="en-GB"/>
        </w:rPr>
        <w:t>4.17</w:t>
      </w:r>
      <w:r w:rsidRPr="006C448D">
        <w:rPr>
          <w:lang w:val="en-GB"/>
        </w:rPr>
        <w:t xml:space="preserve">. </w:t>
      </w:r>
    </w:p>
    <w:p w:rsidR="000937BE" w:rsidRPr="006C448D" w:rsidRDefault="000937BE" w:rsidP="00BF11EB">
      <w:pPr>
        <w:pStyle w:val="BodyText"/>
        <w:numPr>
          <w:ilvl w:val="0"/>
          <w:numId w:val="6"/>
        </w:numPr>
        <w:tabs>
          <w:tab w:val="left" w:pos="709"/>
        </w:tabs>
        <w:spacing w:after="120" w:line="360" w:lineRule="auto"/>
        <w:ind w:left="0" w:firstLine="0"/>
        <w:rPr>
          <w:lang w:val="en-GB"/>
        </w:rPr>
      </w:pPr>
      <w:r>
        <w:rPr>
          <w:lang w:val="en-GB"/>
        </w:rPr>
        <w:t>Further guidance on the r</w:t>
      </w:r>
      <w:r w:rsidR="000742F6">
        <w:rPr>
          <w:lang w:val="en-GB"/>
        </w:rPr>
        <w:t>esponsibilities</w:t>
      </w:r>
      <w:r>
        <w:rPr>
          <w:lang w:val="en-GB"/>
        </w:rPr>
        <w:t xml:space="preserve"> of the government, </w:t>
      </w:r>
      <w:r w:rsidR="00B8463E">
        <w:rPr>
          <w:lang w:val="en-GB"/>
        </w:rPr>
        <w:t xml:space="preserve">the </w:t>
      </w:r>
      <w:r>
        <w:rPr>
          <w:lang w:val="en-GB"/>
        </w:rPr>
        <w:t>regulatory bod</w:t>
      </w:r>
      <w:r w:rsidR="00B8463E">
        <w:rPr>
          <w:lang w:val="en-GB"/>
        </w:rPr>
        <w:t>y</w:t>
      </w:r>
      <w:r>
        <w:rPr>
          <w:lang w:val="en-GB"/>
        </w:rPr>
        <w:t xml:space="preserve"> and other national authorities, and </w:t>
      </w:r>
      <w:r w:rsidR="00B8463E">
        <w:rPr>
          <w:lang w:val="en-GB"/>
        </w:rPr>
        <w:t xml:space="preserve">of the </w:t>
      </w:r>
      <w:r w:rsidR="00821F61">
        <w:rPr>
          <w:lang w:val="en-GB"/>
        </w:rPr>
        <w:t xml:space="preserve">registrant or licensee or </w:t>
      </w:r>
      <w:r>
        <w:rPr>
          <w:lang w:val="en-GB"/>
        </w:rPr>
        <w:t>operating organization are provided in Section 3 and in Section 4.</w:t>
      </w:r>
    </w:p>
    <w:p w:rsidR="00F11A90" w:rsidRPr="006C448D" w:rsidRDefault="008518DE" w:rsidP="00E273A0">
      <w:pPr>
        <w:pStyle w:val="Heading2"/>
        <w:numPr>
          <w:ilvl w:val="0"/>
          <w:numId w:val="0"/>
        </w:numPr>
        <w:tabs>
          <w:tab w:val="left" w:pos="709"/>
        </w:tabs>
        <w:spacing w:after="120" w:line="360" w:lineRule="auto"/>
        <w:ind w:left="567" w:hanging="567"/>
        <w:rPr>
          <w:lang w:val="en-GB"/>
        </w:rPr>
      </w:pPr>
      <w:r w:rsidRPr="006C448D">
        <w:rPr>
          <w:lang w:val="en-GB"/>
        </w:rPr>
        <w:t>GRADED APPROACH</w:t>
      </w:r>
      <w:bookmarkEnd w:id="13"/>
    </w:p>
    <w:p w:rsidR="00F11A90" w:rsidRPr="006C448D" w:rsidRDefault="00C51D62" w:rsidP="00BF11EB">
      <w:pPr>
        <w:pStyle w:val="BodyText"/>
        <w:numPr>
          <w:ilvl w:val="0"/>
          <w:numId w:val="6"/>
        </w:numPr>
        <w:tabs>
          <w:tab w:val="left" w:pos="709"/>
        </w:tabs>
        <w:spacing w:after="120" w:line="360" w:lineRule="auto"/>
        <w:ind w:left="0" w:firstLine="0"/>
        <w:rPr>
          <w:lang w:val="en-GB"/>
        </w:rPr>
      </w:pPr>
      <w:r w:rsidRPr="006C448D">
        <w:rPr>
          <w:lang w:val="en-GB"/>
        </w:rPr>
        <w:t xml:space="preserve">GSR Part 3 </w:t>
      </w:r>
      <w:r w:rsidR="00C05FFE">
        <w:rPr>
          <w:lang w:val="en-GB"/>
        </w:rPr>
        <w:t>[2]</w:t>
      </w:r>
      <w:r w:rsidRPr="006C448D">
        <w:rPr>
          <w:lang w:val="en-GB"/>
        </w:rPr>
        <w:t xml:space="preserve"> establish</w:t>
      </w:r>
      <w:r w:rsidR="00B8463E">
        <w:rPr>
          <w:lang w:val="en-GB"/>
        </w:rPr>
        <w:t>es requirements for</w:t>
      </w:r>
      <w:r w:rsidRPr="006C448D">
        <w:rPr>
          <w:lang w:val="en-GB"/>
        </w:rPr>
        <w:t xml:space="preserve"> a </w:t>
      </w:r>
      <w:r w:rsidR="006023F6" w:rsidRPr="006C448D">
        <w:rPr>
          <w:lang w:val="en-GB"/>
        </w:rPr>
        <w:t>graded approach</w:t>
      </w:r>
      <w:r w:rsidR="008350B5" w:rsidRPr="006C448D">
        <w:rPr>
          <w:lang w:val="en-GB"/>
        </w:rPr>
        <w:t xml:space="preserve"> </w:t>
      </w:r>
      <w:r w:rsidR="00B8463E">
        <w:rPr>
          <w:lang w:val="en-GB"/>
        </w:rPr>
        <w:t>to be taken to</w:t>
      </w:r>
      <w:r w:rsidR="008350B5" w:rsidRPr="006C448D">
        <w:rPr>
          <w:lang w:val="en-GB"/>
        </w:rPr>
        <w:t xml:space="preserve"> the control of exposure</w:t>
      </w:r>
      <w:r w:rsidR="00AD5885">
        <w:rPr>
          <w:lang w:val="en-GB"/>
        </w:rPr>
        <w:t>s</w:t>
      </w:r>
      <w:r w:rsidR="008350B5" w:rsidRPr="006C448D">
        <w:rPr>
          <w:lang w:val="en-GB"/>
        </w:rPr>
        <w:t>.</w:t>
      </w:r>
      <w:r w:rsidRPr="006C448D">
        <w:rPr>
          <w:lang w:val="en-GB"/>
        </w:rPr>
        <w:t xml:space="preserve"> In particular, </w:t>
      </w:r>
      <w:r w:rsidR="008B2799">
        <w:rPr>
          <w:lang w:val="en-GB"/>
        </w:rPr>
        <w:t>p</w:t>
      </w:r>
      <w:r w:rsidRPr="006C448D">
        <w:rPr>
          <w:lang w:val="en-GB"/>
        </w:rPr>
        <w:t>ara</w:t>
      </w:r>
      <w:r w:rsidR="00B8463E">
        <w:rPr>
          <w:lang w:val="en-GB"/>
        </w:rPr>
        <w:t>.</w:t>
      </w:r>
      <w:r w:rsidRPr="006C448D">
        <w:rPr>
          <w:lang w:val="en-GB"/>
        </w:rPr>
        <w:t xml:space="preserve"> 2.12 </w:t>
      </w:r>
      <w:proofErr w:type="gramStart"/>
      <w:r w:rsidR="00871F51">
        <w:rPr>
          <w:lang w:val="en-GB"/>
        </w:rPr>
        <w:t>of</w:t>
      </w:r>
      <w:proofErr w:type="gramEnd"/>
      <w:r w:rsidR="00871F51">
        <w:rPr>
          <w:lang w:val="en-GB"/>
        </w:rPr>
        <w:t xml:space="preserve"> </w:t>
      </w:r>
      <w:r w:rsidR="00452AA4" w:rsidRPr="006C448D">
        <w:rPr>
          <w:lang w:val="en-GB"/>
        </w:rPr>
        <w:t xml:space="preserve">GSR Part 3 </w:t>
      </w:r>
      <w:r w:rsidR="00871F51">
        <w:rPr>
          <w:lang w:val="en-GB"/>
        </w:rPr>
        <w:t xml:space="preserve">[2] </w:t>
      </w:r>
      <w:r w:rsidR="00B8463E">
        <w:rPr>
          <w:lang w:val="en-GB"/>
        </w:rPr>
        <w:t>states</w:t>
      </w:r>
      <w:r w:rsidR="006023F6" w:rsidRPr="006C448D">
        <w:rPr>
          <w:lang w:val="en-GB"/>
        </w:rPr>
        <w:t>:</w:t>
      </w:r>
      <w:r w:rsidR="00F11A90" w:rsidRPr="006C448D">
        <w:rPr>
          <w:lang w:val="en-GB"/>
        </w:rPr>
        <w:t xml:space="preserve"> </w:t>
      </w:r>
      <w:r w:rsidR="007F19DB" w:rsidRPr="006C448D">
        <w:rPr>
          <w:lang w:val="en-GB"/>
        </w:rPr>
        <w:t>“</w:t>
      </w:r>
      <w:r w:rsidR="006023F6" w:rsidRPr="006C448D">
        <w:rPr>
          <w:lang w:val="en-GB"/>
        </w:rPr>
        <w:t>T</w:t>
      </w:r>
      <w:r w:rsidRPr="006C448D">
        <w:rPr>
          <w:lang w:val="en-GB"/>
        </w:rPr>
        <w:t>he application of the requirements for the system of protection and safety shall be commensurate with the radiation risks associated with the exposure situation.</w:t>
      </w:r>
      <w:r w:rsidR="007F19DB" w:rsidRPr="006C448D">
        <w:rPr>
          <w:lang w:val="en-GB"/>
        </w:rPr>
        <w:t>”</w:t>
      </w:r>
      <w:r w:rsidRPr="006C448D">
        <w:rPr>
          <w:lang w:val="en-GB"/>
        </w:rPr>
        <w:t xml:space="preserve"> </w:t>
      </w:r>
    </w:p>
    <w:p w:rsidR="00351A70" w:rsidRPr="006C448D" w:rsidRDefault="003F604C" w:rsidP="00BF11EB">
      <w:pPr>
        <w:pStyle w:val="BodyText"/>
        <w:numPr>
          <w:ilvl w:val="0"/>
          <w:numId w:val="6"/>
        </w:numPr>
        <w:tabs>
          <w:tab w:val="left" w:pos="709"/>
        </w:tabs>
        <w:spacing w:after="120" w:line="360" w:lineRule="auto"/>
        <w:ind w:left="0" w:firstLine="0"/>
        <w:rPr>
          <w:lang w:val="en-GB"/>
        </w:rPr>
      </w:pPr>
      <w:r w:rsidRPr="007813AC">
        <w:rPr>
          <w:lang w:val="en-GB"/>
        </w:rPr>
        <w:t xml:space="preserve">It is the general responsibility of the government to ensure that the overall </w:t>
      </w:r>
      <w:proofErr w:type="gramStart"/>
      <w:r w:rsidRPr="007813AC">
        <w:rPr>
          <w:lang w:val="en-GB"/>
        </w:rPr>
        <w:t>application of the principles of radiation protection are</w:t>
      </w:r>
      <w:proofErr w:type="gramEnd"/>
      <w:r w:rsidRPr="007813AC">
        <w:rPr>
          <w:lang w:val="en-GB"/>
        </w:rPr>
        <w:t xml:space="preserve"> in line with this graded </w:t>
      </w:r>
      <w:r w:rsidRPr="00BD2CE4">
        <w:rPr>
          <w:lang w:val="en-GB"/>
        </w:rPr>
        <w:t>approach (see para</w:t>
      </w:r>
      <w:r w:rsidR="00776E9A">
        <w:rPr>
          <w:lang w:val="en-GB"/>
        </w:rPr>
        <w:t>.</w:t>
      </w:r>
      <w:r w:rsidRPr="00BD2CE4">
        <w:rPr>
          <w:lang w:val="en-GB"/>
        </w:rPr>
        <w:t xml:space="preserve"> 2.18 of </w:t>
      </w:r>
      <w:r w:rsidR="00AD5885">
        <w:rPr>
          <w:lang w:val="en-GB"/>
        </w:rPr>
        <w:t>GSR Part 3</w:t>
      </w:r>
      <w:r w:rsidRPr="00BD2CE4">
        <w:rPr>
          <w:lang w:val="en-GB"/>
        </w:rPr>
        <w:t xml:space="preserve"> [2])</w:t>
      </w:r>
      <w:r w:rsidR="00C07A25">
        <w:rPr>
          <w:lang w:val="en-GB"/>
        </w:rPr>
        <w:t>.</w:t>
      </w:r>
      <w:r w:rsidRPr="00BD2CE4">
        <w:rPr>
          <w:lang w:val="en-GB"/>
        </w:rPr>
        <w:t xml:space="preserve"> The regulatory body </w:t>
      </w:r>
      <w:r w:rsidR="00B8463E">
        <w:rPr>
          <w:lang w:val="en-GB"/>
        </w:rPr>
        <w:t>is</w:t>
      </w:r>
      <w:r w:rsidR="00B8463E" w:rsidRPr="00BD2CE4">
        <w:rPr>
          <w:lang w:val="en-GB"/>
        </w:rPr>
        <w:t xml:space="preserve"> </w:t>
      </w:r>
      <w:r w:rsidRPr="00BD2CE4">
        <w:rPr>
          <w:lang w:val="en-GB"/>
        </w:rPr>
        <w:t>responsibl</w:t>
      </w:r>
      <w:r w:rsidR="00B8463E">
        <w:rPr>
          <w:lang w:val="en-GB"/>
        </w:rPr>
        <w:t>e</w:t>
      </w:r>
      <w:r w:rsidRPr="00BD2CE4">
        <w:rPr>
          <w:lang w:val="en-GB"/>
        </w:rPr>
        <w:t xml:space="preserve"> for adopting the graded approach in the application of the regulatory requirements (see para</w:t>
      </w:r>
      <w:r w:rsidR="00776E9A">
        <w:rPr>
          <w:lang w:val="en-GB"/>
        </w:rPr>
        <w:t>.</w:t>
      </w:r>
      <w:r w:rsidRPr="00BD2CE4">
        <w:rPr>
          <w:lang w:val="en-GB"/>
        </w:rPr>
        <w:t xml:space="preserve"> 2.31 of </w:t>
      </w:r>
      <w:r w:rsidR="00AD5885">
        <w:rPr>
          <w:lang w:val="en-GB"/>
        </w:rPr>
        <w:t>GSR Part 3</w:t>
      </w:r>
      <w:r w:rsidRPr="00BD2CE4">
        <w:rPr>
          <w:lang w:val="en-GB"/>
        </w:rPr>
        <w:t xml:space="preserve"> [2])</w:t>
      </w:r>
      <w:r>
        <w:rPr>
          <w:lang w:val="en-GB"/>
        </w:rPr>
        <w:t>.</w:t>
      </w:r>
    </w:p>
    <w:p w:rsidR="00351A70" w:rsidRPr="006C448D" w:rsidRDefault="003F604C" w:rsidP="00BF11EB">
      <w:pPr>
        <w:pStyle w:val="BodyText"/>
        <w:numPr>
          <w:ilvl w:val="0"/>
          <w:numId w:val="6"/>
        </w:numPr>
        <w:tabs>
          <w:tab w:val="left" w:pos="709"/>
        </w:tabs>
        <w:spacing w:after="120" w:line="360" w:lineRule="auto"/>
        <w:ind w:left="0" w:firstLine="0"/>
        <w:rPr>
          <w:lang w:val="en-GB"/>
        </w:rPr>
      </w:pPr>
      <w:r>
        <w:rPr>
          <w:lang w:val="en-GB"/>
        </w:rPr>
        <w:t>Requirement 6 of GSR Part 3 [2] refers to the graded approach in the context o</w:t>
      </w:r>
      <w:r w:rsidR="008B2799">
        <w:rPr>
          <w:lang w:val="en-GB"/>
        </w:rPr>
        <w:t>f</w:t>
      </w:r>
      <w:r>
        <w:rPr>
          <w:lang w:val="en-GB"/>
        </w:rPr>
        <w:t xml:space="preserve"> planned exposure situations</w:t>
      </w:r>
      <w:r w:rsidR="008B2799">
        <w:rPr>
          <w:lang w:val="en-GB"/>
        </w:rPr>
        <w:t>.</w:t>
      </w:r>
      <w:r>
        <w:rPr>
          <w:lang w:val="en-GB"/>
        </w:rPr>
        <w:t xml:space="preserve"> “The application of the requirements of these Standards in planned exposure situations shall be commensurate with the characteristics of the practice or the source within a practice, and with the </w:t>
      </w:r>
      <w:r w:rsidR="00B8463E">
        <w:rPr>
          <w:lang w:val="en-GB"/>
        </w:rPr>
        <w:t xml:space="preserve">likelihood and </w:t>
      </w:r>
      <w:r>
        <w:rPr>
          <w:lang w:val="en-GB"/>
        </w:rPr>
        <w:t>magnitude of exposures</w:t>
      </w:r>
      <w:r w:rsidR="008B2799">
        <w:rPr>
          <w:lang w:val="en-GB"/>
        </w:rPr>
        <w:t>.</w:t>
      </w:r>
      <w:r>
        <w:rPr>
          <w:lang w:val="en-GB"/>
        </w:rPr>
        <w:t xml:space="preserve">” An important feature of the graded approach in planned exposure situations is the provision for exemption and </w:t>
      </w:r>
      <w:proofErr w:type="gramStart"/>
      <w:r>
        <w:rPr>
          <w:lang w:val="en-GB"/>
        </w:rPr>
        <w:t>clearance,</w:t>
      </w:r>
      <w:proofErr w:type="gramEnd"/>
      <w:r>
        <w:rPr>
          <w:lang w:val="en-GB"/>
        </w:rPr>
        <w:t xml:space="preserve"> and for notification</w:t>
      </w:r>
      <w:r w:rsidR="006B512C">
        <w:rPr>
          <w:lang w:val="en-GB"/>
        </w:rPr>
        <w:t>, authorization by registration and authorization by licensing</w:t>
      </w:r>
      <w:r>
        <w:rPr>
          <w:lang w:val="en-GB"/>
        </w:rPr>
        <w:t>. These concepts are discussed further in Section 3.</w:t>
      </w:r>
    </w:p>
    <w:p w:rsidR="00B8463E" w:rsidRDefault="00443B86" w:rsidP="00BF11EB">
      <w:pPr>
        <w:pStyle w:val="BodyText"/>
        <w:numPr>
          <w:ilvl w:val="0"/>
          <w:numId w:val="6"/>
        </w:numPr>
        <w:tabs>
          <w:tab w:val="left" w:pos="709"/>
        </w:tabs>
        <w:spacing w:after="120" w:line="360" w:lineRule="auto"/>
        <w:ind w:left="0" w:firstLine="0"/>
        <w:rPr>
          <w:szCs w:val="24"/>
          <w:lang w:val="en-GB"/>
        </w:rPr>
      </w:pPr>
      <w:r w:rsidRPr="006C448D">
        <w:rPr>
          <w:szCs w:val="24"/>
          <w:lang w:val="en-GB"/>
        </w:rPr>
        <w:t xml:space="preserve">Requirement 4 of GSR Part 7 </w:t>
      </w:r>
      <w:r w:rsidR="003937E5">
        <w:rPr>
          <w:szCs w:val="24"/>
          <w:lang w:val="en-GB"/>
        </w:rPr>
        <w:t>[</w:t>
      </w:r>
      <w:r w:rsidR="00BB1302">
        <w:rPr>
          <w:szCs w:val="24"/>
          <w:lang w:val="en-GB"/>
        </w:rPr>
        <w:t>4</w:t>
      </w:r>
      <w:r w:rsidR="003937E5">
        <w:rPr>
          <w:szCs w:val="24"/>
          <w:lang w:val="en-GB"/>
        </w:rPr>
        <w:t xml:space="preserve">] </w:t>
      </w:r>
      <w:r w:rsidR="00B8463E">
        <w:rPr>
          <w:szCs w:val="24"/>
          <w:lang w:val="en-GB"/>
        </w:rPr>
        <w:t>states</w:t>
      </w:r>
      <w:r w:rsidR="00B8463E" w:rsidRPr="006C448D">
        <w:rPr>
          <w:szCs w:val="24"/>
          <w:lang w:val="en-GB"/>
        </w:rPr>
        <w:t xml:space="preserve"> </w:t>
      </w:r>
      <w:r w:rsidRPr="006C448D">
        <w:rPr>
          <w:szCs w:val="24"/>
          <w:lang w:val="en-GB"/>
        </w:rPr>
        <w:t xml:space="preserve">that </w:t>
      </w:r>
    </w:p>
    <w:p w:rsidR="00443B86" w:rsidRPr="006C448D" w:rsidRDefault="00B8463E" w:rsidP="00BB4496">
      <w:pPr>
        <w:pStyle w:val="BodyText"/>
        <w:tabs>
          <w:tab w:val="left" w:pos="709"/>
        </w:tabs>
        <w:spacing w:after="120" w:line="360" w:lineRule="auto"/>
        <w:ind w:left="567"/>
        <w:rPr>
          <w:szCs w:val="24"/>
          <w:lang w:val="en-GB"/>
        </w:rPr>
      </w:pPr>
      <w:r>
        <w:rPr>
          <w:szCs w:val="24"/>
          <w:lang w:val="en-GB"/>
        </w:rPr>
        <w:t>“T</w:t>
      </w:r>
      <w:r w:rsidR="00443B86" w:rsidRPr="006C448D">
        <w:rPr>
          <w:szCs w:val="24"/>
          <w:lang w:val="en-GB"/>
        </w:rPr>
        <w:t xml:space="preserve">he </w:t>
      </w:r>
      <w:r w:rsidR="00443B86" w:rsidRPr="006C448D">
        <w:rPr>
          <w:bCs/>
          <w:szCs w:val="24"/>
          <w:lang w:val="en-GB"/>
        </w:rPr>
        <w:t>government shall ensure that a hazard assessment is performed to provide a basis for a graded approach in preparedness and response for a nuclear or radiological emergency.</w:t>
      </w:r>
      <w:r w:rsidR="0084699F">
        <w:rPr>
          <w:bCs/>
          <w:szCs w:val="24"/>
          <w:lang w:val="en-GB"/>
        </w:rPr>
        <w:t>”</w:t>
      </w:r>
    </w:p>
    <w:p w:rsidR="0084699F" w:rsidRDefault="0002660C" w:rsidP="00BF11EB">
      <w:pPr>
        <w:pStyle w:val="BodyText"/>
        <w:numPr>
          <w:ilvl w:val="0"/>
          <w:numId w:val="6"/>
        </w:numPr>
        <w:tabs>
          <w:tab w:val="left" w:pos="709"/>
        </w:tabs>
        <w:spacing w:after="120" w:line="360" w:lineRule="auto"/>
        <w:ind w:left="0" w:firstLine="0"/>
        <w:rPr>
          <w:lang w:val="en-GB"/>
        </w:rPr>
      </w:pPr>
      <w:r w:rsidRPr="006C448D">
        <w:rPr>
          <w:lang w:val="en-GB"/>
        </w:rPr>
        <w:lastRenderedPageBreak/>
        <w:t>Para</w:t>
      </w:r>
      <w:r w:rsidR="008B2799">
        <w:rPr>
          <w:lang w:val="en-GB"/>
        </w:rPr>
        <w:t>graph</w:t>
      </w:r>
      <w:r w:rsidRPr="006C448D">
        <w:rPr>
          <w:lang w:val="en-GB"/>
        </w:rPr>
        <w:t xml:space="preserve"> 5.7 of GSR Part 3 </w:t>
      </w:r>
      <w:r w:rsidR="00871F51">
        <w:rPr>
          <w:lang w:val="en-GB"/>
        </w:rPr>
        <w:t xml:space="preserve">[2] </w:t>
      </w:r>
      <w:r w:rsidR="0084699F">
        <w:rPr>
          <w:lang w:val="en-GB"/>
        </w:rPr>
        <w:t>states</w:t>
      </w:r>
      <w:r w:rsidR="0084699F" w:rsidRPr="006C448D">
        <w:rPr>
          <w:lang w:val="en-GB"/>
        </w:rPr>
        <w:t xml:space="preserve"> </w:t>
      </w:r>
      <w:r w:rsidRPr="006C448D">
        <w:rPr>
          <w:lang w:val="en-GB"/>
        </w:rPr>
        <w:t xml:space="preserve">that </w:t>
      </w:r>
    </w:p>
    <w:p w:rsidR="00264C2C" w:rsidRPr="006C448D" w:rsidRDefault="007F19DB" w:rsidP="00BB4496">
      <w:pPr>
        <w:pStyle w:val="BodyText"/>
        <w:tabs>
          <w:tab w:val="left" w:pos="709"/>
        </w:tabs>
        <w:spacing w:after="120" w:line="360" w:lineRule="auto"/>
        <w:ind w:left="567"/>
        <w:rPr>
          <w:lang w:val="en-GB"/>
        </w:rPr>
      </w:pPr>
      <w:r w:rsidRPr="006C448D">
        <w:rPr>
          <w:lang w:val="en-GB"/>
        </w:rPr>
        <w:t>“</w:t>
      </w:r>
      <w:r w:rsidR="0084699F">
        <w:rPr>
          <w:lang w:val="en-GB"/>
        </w:rPr>
        <w:t>T</w:t>
      </w:r>
      <w:r w:rsidR="0002660C" w:rsidRPr="006C448D">
        <w:rPr>
          <w:lang w:val="en-GB"/>
        </w:rPr>
        <w:t xml:space="preserve">he government and the regulatory body or other relevant authority </w:t>
      </w:r>
      <w:r w:rsidR="0084699F">
        <w:rPr>
          <w:lang w:val="en-GB"/>
        </w:rPr>
        <w:t xml:space="preserve">shall </w:t>
      </w:r>
      <w:r w:rsidR="0002660C" w:rsidRPr="006C448D">
        <w:rPr>
          <w:lang w:val="en-GB"/>
        </w:rPr>
        <w:t xml:space="preserve">ensure that the protection strategy for the management of existing exposure situations </w:t>
      </w:r>
      <w:r w:rsidR="0084699F">
        <w:rPr>
          <w:lang w:val="en-GB"/>
        </w:rPr>
        <w:t xml:space="preserve">…. </w:t>
      </w:r>
      <w:proofErr w:type="gramStart"/>
      <w:r w:rsidR="0002660C" w:rsidRPr="006C448D">
        <w:rPr>
          <w:lang w:val="en-GB"/>
        </w:rPr>
        <w:t>is</w:t>
      </w:r>
      <w:proofErr w:type="gramEnd"/>
      <w:r w:rsidR="0002660C" w:rsidRPr="006C448D">
        <w:rPr>
          <w:lang w:val="en-GB"/>
        </w:rPr>
        <w:t xml:space="preserve"> commensurate with the radiation risks associated with the existing exposure situation</w:t>
      </w:r>
      <w:r w:rsidRPr="006C448D">
        <w:rPr>
          <w:lang w:val="en-GB"/>
        </w:rPr>
        <w:t>”</w:t>
      </w:r>
      <w:r w:rsidR="0002660C" w:rsidRPr="006C448D">
        <w:rPr>
          <w:lang w:val="en-GB"/>
        </w:rPr>
        <w:t>.</w:t>
      </w:r>
    </w:p>
    <w:p w:rsidR="00AD3343" w:rsidRPr="00EA4ECB" w:rsidRDefault="00426E8D" w:rsidP="00BF11EB">
      <w:pPr>
        <w:pStyle w:val="BodyText"/>
        <w:numPr>
          <w:ilvl w:val="0"/>
          <w:numId w:val="6"/>
        </w:numPr>
        <w:tabs>
          <w:tab w:val="left" w:pos="709"/>
        </w:tabs>
        <w:spacing w:after="120" w:line="360" w:lineRule="auto"/>
        <w:ind w:left="0" w:firstLine="0"/>
        <w:jc w:val="left"/>
        <w:rPr>
          <w:lang w:val="en-GB"/>
        </w:rPr>
      </w:pPr>
      <w:r w:rsidRPr="00EA4ECB">
        <w:rPr>
          <w:lang w:val="en-GB"/>
        </w:rPr>
        <w:t xml:space="preserve">The application of </w:t>
      </w:r>
      <w:r w:rsidR="0009413D" w:rsidRPr="00EA4ECB">
        <w:rPr>
          <w:lang w:val="en-GB"/>
        </w:rPr>
        <w:t xml:space="preserve">a </w:t>
      </w:r>
      <w:r w:rsidRPr="00EA4ECB">
        <w:rPr>
          <w:lang w:val="en-GB"/>
        </w:rPr>
        <w:t xml:space="preserve">graded approach in </w:t>
      </w:r>
      <w:r w:rsidR="00264C2C" w:rsidRPr="00EA4ECB">
        <w:rPr>
          <w:lang w:val="en-GB"/>
        </w:rPr>
        <w:t>each</w:t>
      </w:r>
      <w:r w:rsidRPr="00EA4ECB">
        <w:rPr>
          <w:lang w:val="en-GB"/>
        </w:rPr>
        <w:t xml:space="preserve"> exposure sit</w:t>
      </w:r>
      <w:r w:rsidR="0009413D" w:rsidRPr="00EA4ECB">
        <w:rPr>
          <w:lang w:val="en-GB"/>
        </w:rPr>
        <w:t xml:space="preserve">uation is discussed further in </w:t>
      </w:r>
      <w:r w:rsidR="00D95DF2" w:rsidRPr="00EA4ECB">
        <w:rPr>
          <w:lang w:val="en-GB"/>
        </w:rPr>
        <w:t>Section</w:t>
      </w:r>
      <w:r w:rsidR="0009413D" w:rsidRPr="00EA4ECB">
        <w:rPr>
          <w:lang w:val="en-GB"/>
        </w:rPr>
        <w:t xml:space="preserve"> 3. </w:t>
      </w:r>
      <w:r w:rsidR="00AD3343" w:rsidRPr="00EA4ECB">
        <w:rPr>
          <w:lang w:val="en-GB"/>
        </w:rPr>
        <w:br w:type="page"/>
      </w:r>
    </w:p>
    <w:p w:rsidR="00AD3343" w:rsidRPr="00AD5541" w:rsidRDefault="008518DE" w:rsidP="00AD5541">
      <w:pPr>
        <w:pStyle w:val="Heading1"/>
        <w:spacing w:after="120" w:line="360" w:lineRule="auto"/>
        <w:rPr>
          <w:lang w:val="en-GB"/>
        </w:rPr>
      </w:pPr>
      <w:bookmarkStart w:id="14" w:name="_Toc396137872"/>
      <w:r w:rsidRPr="00AD5541">
        <w:rPr>
          <w:lang w:val="en-GB"/>
        </w:rPr>
        <w:lastRenderedPageBreak/>
        <w:t>RADIATION PROTECTION OF THE PUBLIC</w:t>
      </w:r>
      <w:bookmarkEnd w:id="14"/>
    </w:p>
    <w:p w:rsidR="00721161" w:rsidRPr="00AD5541" w:rsidRDefault="00666CCA" w:rsidP="00AD5541">
      <w:pPr>
        <w:pStyle w:val="Heading2"/>
        <w:numPr>
          <w:ilvl w:val="0"/>
          <w:numId w:val="0"/>
        </w:numPr>
        <w:spacing w:after="120" w:line="360" w:lineRule="auto"/>
        <w:rPr>
          <w:lang w:val="en-GB"/>
        </w:rPr>
      </w:pPr>
      <w:bookmarkStart w:id="15" w:name="_Toc396137873"/>
      <w:r w:rsidRPr="00AD5541">
        <w:rPr>
          <w:lang w:val="en-GB"/>
        </w:rPr>
        <w:t>PLANNED EXPOSURE SITUATIONS</w:t>
      </w:r>
      <w:bookmarkEnd w:id="15"/>
    </w:p>
    <w:p w:rsidR="00AB0C90" w:rsidRPr="00AB0C90" w:rsidRDefault="00B64594" w:rsidP="00AB0C90">
      <w:pPr>
        <w:pStyle w:val="ListParagraph"/>
        <w:tabs>
          <w:tab w:val="left" w:pos="709"/>
        </w:tabs>
        <w:autoSpaceDE w:val="0"/>
        <w:autoSpaceDN w:val="0"/>
        <w:adjustRightInd w:val="0"/>
        <w:spacing w:after="120" w:line="360" w:lineRule="auto"/>
        <w:ind w:left="0"/>
        <w:contextualSpacing w:val="0"/>
        <w:jc w:val="both"/>
      </w:pPr>
      <w:r w:rsidRPr="0095256E">
        <w:rPr>
          <w:b/>
        </w:rPr>
        <w:t>Introduction</w:t>
      </w:r>
    </w:p>
    <w:p w:rsidR="00643343" w:rsidRDefault="00AB0C90" w:rsidP="00643343">
      <w:pPr>
        <w:pStyle w:val="ListParagraph"/>
        <w:numPr>
          <w:ilvl w:val="0"/>
          <w:numId w:val="7"/>
        </w:numPr>
        <w:tabs>
          <w:tab w:val="left" w:pos="709"/>
        </w:tabs>
        <w:autoSpaceDE w:val="0"/>
        <w:autoSpaceDN w:val="0"/>
        <w:adjustRightInd w:val="0"/>
        <w:spacing w:after="120" w:line="360" w:lineRule="auto"/>
        <w:ind w:left="0" w:firstLine="0"/>
        <w:contextualSpacing w:val="0"/>
        <w:jc w:val="both"/>
      </w:pPr>
      <w:r>
        <w:t xml:space="preserve">Requirements </w:t>
      </w:r>
      <w:r w:rsidRPr="0095256E">
        <w:t xml:space="preserve">3.1 to 3.4 of GSR Part 3 [2] set out the practices and sources within practices that are included in the scope of planned exposure situations. </w:t>
      </w:r>
      <w:r w:rsidR="0055161F">
        <w:t>P</w:t>
      </w:r>
      <w:r w:rsidR="009917DE" w:rsidRPr="0095256E">
        <w:t>ractices include</w:t>
      </w:r>
      <w:r w:rsidR="00643343">
        <w:t>:</w:t>
      </w:r>
    </w:p>
    <w:p w:rsidR="00936AE2" w:rsidRDefault="0055161F" w:rsidP="00AB0C90">
      <w:pPr>
        <w:pStyle w:val="ListParagraph"/>
        <w:numPr>
          <w:ilvl w:val="0"/>
          <w:numId w:val="41"/>
        </w:numPr>
        <w:tabs>
          <w:tab w:val="left" w:pos="709"/>
        </w:tabs>
        <w:spacing w:after="120" w:line="360" w:lineRule="auto"/>
        <w:ind w:left="567" w:hanging="567"/>
        <w:jc w:val="both"/>
      </w:pPr>
      <w:r>
        <w:t>T</w:t>
      </w:r>
      <w:r w:rsidR="009917DE" w:rsidRPr="0095256E">
        <w:t>he production</w:t>
      </w:r>
      <w:r w:rsidR="00C30F8F" w:rsidRPr="0095256E">
        <w:t>,</w:t>
      </w:r>
      <w:r w:rsidR="009917DE" w:rsidRPr="0095256E">
        <w:t xml:space="preserve"> supply</w:t>
      </w:r>
      <w:r>
        <w:t>, provision</w:t>
      </w:r>
      <w:r w:rsidR="009917DE" w:rsidRPr="0095256E">
        <w:t xml:space="preserve"> and transport of radioactive material and </w:t>
      </w:r>
      <w:r>
        <w:t xml:space="preserve">of </w:t>
      </w:r>
      <w:r w:rsidR="009917DE" w:rsidRPr="0095256E">
        <w:t>devices that contain radioactive material;</w:t>
      </w:r>
    </w:p>
    <w:p w:rsidR="00936AE2" w:rsidRDefault="0055161F" w:rsidP="00AB0C90">
      <w:pPr>
        <w:pStyle w:val="ListParagraph"/>
        <w:numPr>
          <w:ilvl w:val="0"/>
          <w:numId w:val="41"/>
        </w:numPr>
        <w:tabs>
          <w:tab w:val="left" w:pos="709"/>
        </w:tabs>
        <w:spacing w:after="120" w:line="360" w:lineRule="auto"/>
        <w:ind w:left="567" w:hanging="567"/>
        <w:jc w:val="both"/>
      </w:pPr>
      <w:r>
        <w:t>T</w:t>
      </w:r>
      <w:r w:rsidR="009917DE" w:rsidRPr="0095256E">
        <w:t>he production and supply of devices that generate radiation;</w:t>
      </w:r>
    </w:p>
    <w:p w:rsidR="00936AE2" w:rsidRDefault="0055161F" w:rsidP="00AB0C90">
      <w:pPr>
        <w:pStyle w:val="ListParagraph"/>
        <w:numPr>
          <w:ilvl w:val="0"/>
          <w:numId w:val="41"/>
        </w:numPr>
        <w:tabs>
          <w:tab w:val="left" w:pos="709"/>
        </w:tabs>
        <w:spacing w:after="120" w:line="360" w:lineRule="auto"/>
        <w:ind w:left="567" w:hanging="567"/>
        <w:jc w:val="both"/>
      </w:pPr>
      <w:r>
        <w:t>T</w:t>
      </w:r>
      <w:r w:rsidR="009917DE" w:rsidRPr="0095256E">
        <w:t>he generation of nuclear power</w:t>
      </w:r>
      <w:r>
        <w:t>,</w:t>
      </w:r>
      <w:r w:rsidR="009917DE" w:rsidRPr="0095256E">
        <w:t xml:space="preserve"> including any activities within the nuclear fuel cycle</w:t>
      </w:r>
      <w:r>
        <w:t xml:space="preserve"> that involve or that could involve exposure to radiation or exposure to radioactive material</w:t>
      </w:r>
      <w:r w:rsidR="009917DE" w:rsidRPr="0095256E">
        <w:t>;</w:t>
      </w:r>
    </w:p>
    <w:p w:rsidR="00936AE2" w:rsidRDefault="0055161F" w:rsidP="00AB0C90">
      <w:pPr>
        <w:pStyle w:val="ListParagraph"/>
        <w:numPr>
          <w:ilvl w:val="0"/>
          <w:numId w:val="41"/>
        </w:numPr>
        <w:tabs>
          <w:tab w:val="left" w:pos="709"/>
        </w:tabs>
        <w:spacing w:after="120" w:line="360" w:lineRule="auto"/>
        <w:ind w:left="567" w:hanging="567"/>
        <w:jc w:val="both"/>
      </w:pPr>
      <w:r>
        <w:t>T</w:t>
      </w:r>
      <w:r w:rsidR="009917DE" w:rsidRPr="0095256E">
        <w:t>he use of radiation or radioactive material for medical, industrial, veterinary, agricultural, legal or security purposes;</w:t>
      </w:r>
    </w:p>
    <w:p w:rsidR="00936AE2" w:rsidRDefault="0055161F" w:rsidP="00AB0C90">
      <w:pPr>
        <w:pStyle w:val="ListParagraph"/>
        <w:numPr>
          <w:ilvl w:val="0"/>
          <w:numId w:val="41"/>
        </w:numPr>
        <w:tabs>
          <w:tab w:val="left" w:pos="709"/>
        </w:tabs>
        <w:spacing w:after="120" w:line="360" w:lineRule="auto"/>
        <w:ind w:left="567" w:hanging="567"/>
        <w:jc w:val="both"/>
      </w:pPr>
      <w:r>
        <w:t>T</w:t>
      </w:r>
      <w:r w:rsidR="009917DE" w:rsidRPr="0095256E">
        <w:t>he use of radiation or radioactive material for education, training or research;</w:t>
      </w:r>
    </w:p>
    <w:p w:rsidR="00936AE2" w:rsidRDefault="0055161F" w:rsidP="00AB0C90">
      <w:pPr>
        <w:pStyle w:val="ListParagraph"/>
        <w:numPr>
          <w:ilvl w:val="0"/>
          <w:numId w:val="41"/>
        </w:numPr>
        <w:tabs>
          <w:tab w:val="left" w:pos="709"/>
        </w:tabs>
        <w:spacing w:after="120" w:line="360" w:lineRule="auto"/>
        <w:ind w:left="567" w:hanging="567"/>
        <w:jc w:val="both"/>
      </w:pPr>
      <w:r>
        <w:t>T</w:t>
      </w:r>
      <w:r w:rsidR="009917DE" w:rsidRPr="0095256E">
        <w:t xml:space="preserve">he mining </w:t>
      </w:r>
      <w:r>
        <w:t>and</w:t>
      </w:r>
      <w:r w:rsidRPr="0095256E">
        <w:t xml:space="preserve"> </w:t>
      </w:r>
      <w:r w:rsidR="009917DE" w:rsidRPr="0095256E">
        <w:t xml:space="preserve">processing of raw materials that involve exposure </w:t>
      </w:r>
      <w:r w:rsidR="00AB0C90">
        <w:t>due to radioactive material;</w:t>
      </w:r>
    </w:p>
    <w:p w:rsidR="00310628" w:rsidRPr="00643343" w:rsidRDefault="0055161F" w:rsidP="00B15309">
      <w:pPr>
        <w:pStyle w:val="ListParagraph"/>
        <w:numPr>
          <w:ilvl w:val="0"/>
          <w:numId w:val="41"/>
        </w:numPr>
        <w:tabs>
          <w:tab w:val="left" w:pos="709"/>
        </w:tabs>
        <w:spacing w:before="120" w:after="120" w:line="360" w:lineRule="auto"/>
        <w:ind w:left="567" w:hanging="567"/>
        <w:contextualSpacing w:val="0"/>
        <w:jc w:val="both"/>
      </w:pPr>
      <w:r>
        <w:t>A</w:t>
      </w:r>
      <w:r w:rsidR="009917DE" w:rsidRPr="0095256E">
        <w:t xml:space="preserve">ny other practice </w:t>
      </w:r>
      <w:r w:rsidR="003939CB" w:rsidRPr="0095256E">
        <w:t xml:space="preserve">as </w:t>
      </w:r>
      <w:r w:rsidR="009917DE" w:rsidRPr="0095256E">
        <w:t xml:space="preserve">specified by the regulatory body. </w:t>
      </w:r>
    </w:p>
    <w:p w:rsidR="00936AE2" w:rsidRDefault="0055161F" w:rsidP="00EC0D5F">
      <w:pPr>
        <w:pStyle w:val="ListParagraph"/>
        <w:numPr>
          <w:ilvl w:val="0"/>
          <w:numId w:val="7"/>
        </w:numPr>
        <w:tabs>
          <w:tab w:val="left" w:pos="709"/>
        </w:tabs>
        <w:autoSpaceDE w:val="0"/>
        <w:autoSpaceDN w:val="0"/>
        <w:adjustRightInd w:val="0"/>
        <w:spacing w:after="120" w:line="360" w:lineRule="auto"/>
        <w:ind w:left="0" w:firstLine="0"/>
        <w:contextualSpacing w:val="0"/>
        <w:jc w:val="both"/>
      </w:pPr>
      <w:r>
        <w:t>S</w:t>
      </w:r>
      <w:r w:rsidR="009917DE" w:rsidRPr="0095256E">
        <w:t xml:space="preserve">ources within practices </w:t>
      </w:r>
      <w:r w:rsidR="003939CB" w:rsidRPr="0095256E">
        <w:t>include</w:t>
      </w:r>
      <w:r w:rsidR="00310628" w:rsidRPr="0095256E">
        <w:t>:</w:t>
      </w:r>
    </w:p>
    <w:p w:rsidR="00936AE2" w:rsidRDefault="0055161F" w:rsidP="00AB0C90">
      <w:pPr>
        <w:pStyle w:val="ListParagraph"/>
        <w:numPr>
          <w:ilvl w:val="0"/>
          <w:numId w:val="42"/>
        </w:numPr>
        <w:tabs>
          <w:tab w:val="left" w:pos="709"/>
        </w:tabs>
        <w:spacing w:after="120" w:line="360" w:lineRule="auto"/>
        <w:ind w:left="567" w:hanging="567"/>
        <w:jc w:val="both"/>
      </w:pPr>
      <w:r>
        <w:t>F</w:t>
      </w:r>
      <w:r w:rsidR="00A35215" w:rsidRPr="0095256E">
        <w:t xml:space="preserve">acilities that contain radioactive material and facilities that contain radiation generators, </w:t>
      </w:r>
      <w:r w:rsidR="00310628" w:rsidRPr="0095256E">
        <w:t>such as nuclear installations, medical radiation facilities, facilities for the management of radioactive waste and mineral extraction and processing facilities; and</w:t>
      </w:r>
    </w:p>
    <w:p w:rsidR="00577EAA" w:rsidRPr="00936AE2" w:rsidRDefault="0055161F" w:rsidP="00AB0C90">
      <w:pPr>
        <w:pStyle w:val="ListParagraph"/>
        <w:numPr>
          <w:ilvl w:val="0"/>
          <w:numId w:val="42"/>
        </w:numPr>
        <w:tabs>
          <w:tab w:val="left" w:pos="709"/>
        </w:tabs>
        <w:spacing w:after="120" w:line="360" w:lineRule="auto"/>
        <w:ind w:left="567" w:hanging="567"/>
        <w:jc w:val="both"/>
      </w:pPr>
      <w:r>
        <w:t>I</w:t>
      </w:r>
      <w:r w:rsidR="00A35215" w:rsidRPr="0095256E">
        <w:t>ndividual sources of radiation</w:t>
      </w:r>
      <w:r w:rsidR="00310628" w:rsidRPr="0095256E">
        <w:t xml:space="preserve">, including the sources within the </w:t>
      </w:r>
      <w:r>
        <w:t xml:space="preserve">types of </w:t>
      </w:r>
      <w:r w:rsidR="00310628" w:rsidRPr="0095256E">
        <w:t>facilit</w:t>
      </w:r>
      <w:r>
        <w:t>y</w:t>
      </w:r>
      <w:r w:rsidR="00310628" w:rsidRPr="0095256E">
        <w:t xml:space="preserve"> mentioned in </w:t>
      </w:r>
      <w:r w:rsidR="00B15309">
        <w:t xml:space="preserve">para. </w:t>
      </w:r>
      <w:r>
        <w:t>3.2</w:t>
      </w:r>
      <w:r w:rsidR="00310628" w:rsidRPr="0095256E">
        <w:t>(a)</w:t>
      </w:r>
      <w:r w:rsidR="00A35215" w:rsidRPr="0095256E">
        <w:t xml:space="preserve">. </w:t>
      </w:r>
    </w:p>
    <w:p w:rsidR="001033F1" w:rsidRPr="0095256E" w:rsidRDefault="001033F1" w:rsidP="00EC0D5F">
      <w:pPr>
        <w:numPr>
          <w:ilvl w:val="0"/>
          <w:numId w:val="7"/>
        </w:numPr>
        <w:tabs>
          <w:tab w:val="left" w:pos="709"/>
        </w:tabs>
        <w:overflowPunct/>
        <w:autoSpaceDE/>
        <w:autoSpaceDN/>
        <w:adjustRightInd/>
        <w:spacing w:after="120" w:line="360" w:lineRule="auto"/>
        <w:ind w:left="0" w:firstLine="0"/>
        <w:textAlignment w:val="auto"/>
      </w:pPr>
      <w:r w:rsidRPr="0095256E">
        <w:t>Exposure</w:t>
      </w:r>
      <w:r w:rsidR="00527618">
        <w:t xml:space="preserve"> due</w:t>
      </w:r>
      <w:r w:rsidRPr="0095256E">
        <w:t xml:space="preserve"> to natural sources is in general considered in GSR Part 3 [2] to be an existing exposure situation. However, </w:t>
      </w:r>
      <w:r w:rsidR="005418B4">
        <w:t>para.</w:t>
      </w:r>
      <w:r w:rsidR="005418B4" w:rsidRPr="00AB4F20">
        <w:rPr>
          <w:szCs w:val="24"/>
        </w:rPr>
        <w:t xml:space="preserve"> 3.4 of GSR Part 3 [2]</w:t>
      </w:r>
      <w:r w:rsidR="005418B4">
        <w:rPr>
          <w:szCs w:val="24"/>
        </w:rPr>
        <w:t xml:space="preserve"> states that </w:t>
      </w:r>
      <w:r w:rsidRPr="0095256E">
        <w:t xml:space="preserve">the relevant requirements for planned exposure situations apply, inter alia, to: </w:t>
      </w:r>
    </w:p>
    <w:p w:rsidR="001033F1" w:rsidRPr="00D720E5" w:rsidRDefault="001033F1" w:rsidP="009A77F5">
      <w:pPr>
        <w:pStyle w:val="Default"/>
        <w:tabs>
          <w:tab w:val="left" w:pos="709"/>
        </w:tabs>
        <w:spacing w:after="120" w:line="360" w:lineRule="auto"/>
        <w:ind w:left="709" w:hanging="709"/>
        <w:jc w:val="both"/>
        <w:rPr>
          <w:lang w:val="en-GB"/>
        </w:rPr>
      </w:pPr>
      <w:r w:rsidRPr="00AB0C90">
        <w:rPr>
          <w:color w:val="auto"/>
          <w:lang w:val="en-GB"/>
        </w:rPr>
        <w:t>(a)</w:t>
      </w:r>
      <w:r w:rsidRPr="00AB0C90">
        <w:rPr>
          <w:color w:val="auto"/>
          <w:lang w:val="en-GB"/>
        </w:rPr>
        <w:tab/>
      </w:r>
      <w:r w:rsidRPr="00722D2D">
        <w:rPr>
          <w:color w:val="auto"/>
          <w:lang w:val="en-GB"/>
        </w:rPr>
        <w:t>Exposure due to material in any practice where the activity concentration in the materia</w:t>
      </w:r>
      <w:r w:rsidRPr="008A5731">
        <w:rPr>
          <w:lang w:val="en-GB"/>
        </w:rPr>
        <w:t>l of any radionuclide in the uranium</w:t>
      </w:r>
      <w:r w:rsidR="00F34821" w:rsidRPr="00F34821">
        <w:rPr>
          <w:lang w:val="en-GB"/>
        </w:rPr>
        <w:t xml:space="preserve"> </w:t>
      </w:r>
      <w:r w:rsidR="00F34821" w:rsidRPr="005C545D">
        <w:rPr>
          <w:lang w:val="en-GB"/>
        </w:rPr>
        <w:t>decay chain</w:t>
      </w:r>
      <w:r w:rsidRPr="005C545D">
        <w:rPr>
          <w:lang w:val="en-GB"/>
        </w:rPr>
        <w:t xml:space="preserve">, </w:t>
      </w:r>
      <w:r w:rsidR="00F34821">
        <w:rPr>
          <w:lang w:val="en-GB"/>
        </w:rPr>
        <w:t xml:space="preserve">the </w:t>
      </w:r>
      <w:r w:rsidRPr="005C545D">
        <w:rPr>
          <w:lang w:val="en-GB"/>
        </w:rPr>
        <w:t>actinium</w:t>
      </w:r>
      <w:r w:rsidR="00F34821">
        <w:rPr>
          <w:lang w:val="en-GB"/>
        </w:rPr>
        <w:t xml:space="preserve"> decay chain</w:t>
      </w:r>
      <w:r w:rsidRPr="005C545D">
        <w:rPr>
          <w:lang w:val="en-GB"/>
        </w:rPr>
        <w:t xml:space="preserve"> or </w:t>
      </w:r>
      <w:r w:rsidR="00F34821">
        <w:rPr>
          <w:lang w:val="en-GB"/>
        </w:rPr>
        <w:t xml:space="preserve">the </w:t>
      </w:r>
      <w:r w:rsidRPr="005C545D">
        <w:rPr>
          <w:lang w:val="en-GB"/>
        </w:rPr>
        <w:t xml:space="preserve">thorium decay chain is greater than 1 </w:t>
      </w:r>
      <w:proofErr w:type="spellStart"/>
      <w:r w:rsidRPr="005C545D">
        <w:rPr>
          <w:lang w:val="en-GB"/>
        </w:rPr>
        <w:t>Bq</w:t>
      </w:r>
      <w:proofErr w:type="spellEnd"/>
      <w:r w:rsidRPr="005C545D">
        <w:rPr>
          <w:lang w:val="en-GB"/>
        </w:rPr>
        <w:t xml:space="preserve">/g or the activity concentration of </w:t>
      </w:r>
      <w:r w:rsidRPr="00D720E5">
        <w:rPr>
          <w:vertAlign w:val="superscript"/>
          <w:lang w:val="en-GB"/>
        </w:rPr>
        <w:t>40</w:t>
      </w:r>
      <w:r w:rsidRPr="00D720E5">
        <w:rPr>
          <w:lang w:val="en-GB"/>
        </w:rPr>
        <w:t xml:space="preserve">K is greater than 10 </w:t>
      </w:r>
      <w:proofErr w:type="spellStart"/>
      <w:r w:rsidRPr="00D720E5">
        <w:rPr>
          <w:lang w:val="en-GB"/>
        </w:rPr>
        <w:t>Bq</w:t>
      </w:r>
      <w:proofErr w:type="spellEnd"/>
      <w:r w:rsidRPr="00D720E5">
        <w:rPr>
          <w:lang w:val="en-GB"/>
        </w:rPr>
        <w:t xml:space="preserve">/g (exposure situations due to radionuclides of natural origin in food, feed, drinking water, agricultural fertilizer and soil amendments, construction material and existing residues should be treated as existing </w:t>
      </w:r>
      <w:r w:rsidR="00FC19A6">
        <w:rPr>
          <w:lang w:val="en-GB"/>
        </w:rPr>
        <w:t xml:space="preserve">exposure </w:t>
      </w:r>
      <w:r w:rsidRPr="00D720E5">
        <w:rPr>
          <w:lang w:val="en-GB"/>
        </w:rPr>
        <w:t>situation</w:t>
      </w:r>
      <w:r w:rsidR="00FC19A6">
        <w:rPr>
          <w:lang w:val="en-GB"/>
        </w:rPr>
        <w:t>s</w:t>
      </w:r>
      <w:r w:rsidRPr="00D720E5">
        <w:rPr>
          <w:lang w:val="en-GB"/>
        </w:rPr>
        <w:t xml:space="preserve">); </w:t>
      </w:r>
    </w:p>
    <w:p w:rsidR="00A35215" w:rsidRPr="00AB0C90" w:rsidRDefault="001033F1" w:rsidP="00AE2D09">
      <w:pPr>
        <w:pStyle w:val="Default"/>
        <w:tabs>
          <w:tab w:val="left" w:pos="709"/>
        </w:tabs>
        <w:spacing w:after="120" w:line="360" w:lineRule="auto"/>
        <w:ind w:left="709" w:hanging="709"/>
        <w:jc w:val="both"/>
        <w:rPr>
          <w:color w:val="auto"/>
          <w:lang w:val="en-GB"/>
        </w:rPr>
      </w:pPr>
      <w:r w:rsidRPr="00AB0C90">
        <w:rPr>
          <w:color w:val="auto"/>
          <w:lang w:val="en-GB"/>
        </w:rPr>
        <w:lastRenderedPageBreak/>
        <w:t>(b)</w:t>
      </w:r>
      <w:r w:rsidRPr="00AB0C90">
        <w:rPr>
          <w:color w:val="auto"/>
          <w:lang w:val="en-GB"/>
        </w:rPr>
        <w:tab/>
        <w:t xml:space="preserve">Public exposure </w:t>
      </w:r>
      <w:r w:rsidR="00F34821">
        <w:rPr>
          <w:color w:val="auto"/>
          <w:lang w:val="en-GB"/>
        </w:rPr>
        <w:t>due to</w:t>
      </w:r>
      <w:r w:rsidRPr="00AB0C90">
        <w:rPr>
          <w:color w:val="auto"/>
          <w:lang w:val="en-GB"/>
        </w:rPr>
        <w:t xml:space="preserve"> discharges or </w:t>
      </w:r>
      <w:r w:rsidR="00F34821">
        <w:rPr>
          <w:color w:val="auto"/>
          <w:lang w:val="en-GB"/>
        </w:rPr>
        <w:t>due to</w:t>
      </w:r>
      <w:r w:rsidR="00F34821" w:rsidRPr="00AB0C90">
        <w:rPr>
          <w:color w:val="auto"/>
          <w:lang w:val="en-GB"/>
        </w:rPr>
        <w:t xml:space="preserve"> </w:t>
      </w:r>
      <w:r w:rsidRPr="00AB0C90">
        <w:rPr>
          <w:color w:val="auto"/>
          <w:lang w:val="en-GB"/>
        </w:rPr>
        <w:t>the management of radioactive waste arising from a practice involving material as specified in para.</w:t>
      </w:r>
      <w:r w:rsidR="00AE2D09" w:rsidRPr="00AB0C90">
        <w:rPr>
          <w:color w:val="auto"/>
          <w:lang w:val="en-GB"/>
        </w:rPr>
        <w:t xml:space="preserve"> </w:t>
      </w:r>
      <w:proofErr w:type="gramStart"/>
      <w:r w:rsidR="00F34821">
        <w:rPr>
          <w:color w:val="auto"/>
          <w:lang w:val="en-GB"/>
        </w:rPr>
        <w:t>3.3</w:t>
      </w:r>
      <w:r w:rsidRPr="00AB0C90">
        <w:rPr>
          <w:color w:val="auto"/>
          <w:lang w:val="en-GB"/>
        </w:rPr>
        <w:t>(a)</w:t>
      </w:r>
      <w:r w:rsidR="00AB0C90">
        <w:rPr>
          <w:color w:val="auto"/>
          <w:lang w:val="en-GB"/>
        </w:rPr>
        <w:t>.</w:t>
      </w:r>
      <w:proofErr w:type="gramEnd"/>
      <w:r w:rsidR="00A35215" w:rsidRPr="00AB0C90">
        <w:rPr>
          <w:color w:val="auto"/>
          <w:lang w:val="en-GB"/>
        </w:rPr>
        <w:t xml:space="preserve"> </w:t>
      </w:r>
    </w:p>
    <w:p w:rsidR="00735182" w:rsidRPr="0095256E" w:rsidRDefault="0073518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rsidRPr="0095256E">
        <w:t>Public exposures in planned exposure situations arise from:</w:t>
      </w:r>
    </w:p>
    <w:p w:rsidR="009A77F5" w:rsidRDefault="00735182" w:rsidP="009A77F5">
      <w:pPr>
        <w:pStyle w:val="ListParagraph"/>
        <w:numPr>
          <w:ilvl w:val="0"/>
          <w:numId w:val="47"/>
        </w:numPr>
        <w:tabs>
          <w:tab w:val="left" w:pos="709"/>
        </w:tabs>
        <w:autoSpaceDE w:val="0"/>
        <w:autoSpaceDN w:val="0"/>
        <w:adjustRightInd w:val="0"/>
        <w:spacing w:after="120" w:line="360" w:lineRule="auto"/>
        <w:ind w:left="709" w:hanging="709"/>
        <w:contextualSpacing w:val="0"/>
        <w:jc w:val="both"/>
      </w:pPr>
      <w:r w:rsidRPr="0095256E">
        <w:t>Liquid and airborne discharges from facilities</w:t>
      </w:r>
      <w:r w:rsidR="00484DC7" w:rsidRPr="0095256E">
        <w:t xml:space="preserve"> (see </w:t>
      </w:r>
      <w:r w:rsidR="008576A0">
        <w:t>DS442</w:t>
      </w:r>
      <w:r w:rsidR="00AB0C90">
        <w:t xml:space="preserve"> </w:t>
      </w:r>
      <w:r w:rsidR="00484DC7" w:rsidRPr="0095256E">
        <w:t>[10</w:t>
      </w:r>
      <w:r w:rsidR="00B8146A" w:rsidRPr="0095256E">
        <w:t>]</w:t>
      </w:r>
      <w:r w:rsidR="00722D2D">
        <w:t>)</w:t>
      </w:r>
      <w:r w:rsidRPr="0095256E">
        <w:t>;</w:t>
      </w:r>
    </w:p>
    <w:p w:rsidR="009A77F5" w:rsidRDefault="00735182" w:rsidP="009A77F5">
      <w:pPr>
        <w:pStyle w:val="ListParagraph"/>
        <w:numPr>
          <w:ilvl w:val="0"/>
          <w:numId w:val="47"/>
        </w:numPr>
        <w:tabs>
          <w:tab w:val="left" w:pos="709"/>
        </w:tabs>
        <w:autoSpaceDE w:val="0"/>
        <w:autoSpaceDN w:val="0"/>
        <w:adjustRightInd w:val="0"/>
        <w:spacing w:after="120" w:line="360" w:lineRule="auto"/>
        <w:ind w:left="709" w:hanging="709"/>
        <w:contextualSpacing w:val="0"/>
        <w:jc w:val="both"/>
      </w:pPr>
      <w:r w:rsidRPr="0095256E">
        <w:t>Direct radiation from sources within practices, e.g. X</w:t>
      </w:r>
      <w:r w:rsidR="00F34821">
        <w:t xml:space="preserve"> </w:t>
      </w:r>
      <w:r w:rsidRPr="0095256E">
        <w:t>ray equipment in a medical facility</w:t>
      </w:r>
      <w:r w:rsidR="00B8146A" w:rsidRPr="0095256E">
        <w:t xml:space="preserve">, </w:t>
      </w:r>
      <w:r w:rsidR="00F34821">
        <w:t xml:space="preserve">a </w:t>
      </w:r>
      <w:r w:rsidR="00B8146A" w:rsidRPr="0095256E">
        <w:t xml:space="preserve">patient released </w:t>
      </w:r>
      <w:r w:rsidR="00F34821">
        <w:t xml:space="preserve">from hospital </w:t>
      </w:r>
      <w:r w:rsidR="00B8146A" w:rsidRPr="0095256E">
        <w:t xml:space="preserve">after </w:t>
      </w:r>
      <w:r w:rsidR="00A8170A">
        <w:t>radionuclide</w:t>
      </w:r>
      <w:r w:rsidR="00B8146A" w:rsidRPr="0095256E">
        <w:t xml:space="preserve"> therapy, industrial radiography, </w:t>
      </w:r>
      <w:r w:rsidR="00F34821">
        <w:t xml:space="preserve">the </w:t>
      </w:r>
      <w:r w:rsidR="00B8146A" w:rsidRPr="0095256E">
        <w:t xml:space="preserve">transport of radioactive </w:t>
      </w:r>
      <w:r w:rsidR="00F34821">
        <w:t>material</w:t>
      </w:r>
      <w:r w:rsidR="000947D8">
        <w:t xml:space="preserve">, </w:t>
      </w:r>
      <w:r w:rsidR="00F34821">
        <w:t>the management of</w:t>
      </w:r>
      <w:r w:rsidR="000947D8">
        <w:t xml:space="preserve"> solid</w:t>
      </w:r>
      <w:r w:rsidR="00B8146A" w:rsidRPr="0095256E">
        <w:t xml:space="preserve"> </w:t>
      </w:r>
      <w:r w:rsidR="00F34821">
        <w:t xml:space="preserve">radioactive </w:t>
      </w:r>
      <w:r w:rsidR="00B8146A" w:rsidRPr="0095256E">
        <w:t>waste</w:t>
      </w:r>
      <w:r w:rsidRPr="0095256E">
        <w:t>;</w:t>
      </w:r>
    </w:p>
    <w:p w:rsidR="00C740D8" w:rsidRPr="006C448D" w:rsidRDefault="00735182" w:rsidP="009A77F5">
      <w:pPr>
        <w:pStyle w:val="ListParagraph"/>
        <w:numPr>
          <w:ilvl w:val="0"/>
          <w:numId w:val="47"/>
        </w:numPr>
        <w:tabs>
          <w:tab w:val="left" w:pos="709"/>
        </w:tabs>
        <w:autoSpaceDE w:val="0"/>
        <w:autoSpaceDN w:val="0"/>
        <w:adjustRightInd w:val="0"/>
        <w:spacing w:after="120" w:line="360" w:lineRule="auto"/>
        <w:ind w:left="709" w:hanging="709"/>
        <w:contextualSpacing w:val="0"/>
        <w:jc w:val="both"/>
      </w:pPr>
      <w:r w:rsidRPr="0095256E">
        <w:t>Consumer products</w:t>
      </w:r>
      <w:r w:rsidR="00B8146A" w:rsidRPr="0095256E">
        <w:t xml:space="preserve"> (see </w:t>
      </w:r>
      <w:r w:rsidR="008576A0">
        <w:t>SSG-36</w:t>
      </w:r>
      <w:r w:rsidR="008576A0" w:rsidRPr="0095256E">
        <w:t xml:space="preserve"> </w:t>
      </w:r>
      <w:r w:rsidR="00B8146A">
        <w:t>[1</w:t>
      </w:r>
      <w:r w:rsidR="00484DC7">
        <w:t>1</w:t>
      </w:r>
      <w:r w:rsidR="00B8146A">
        <w:t>]</w:t>
      </w:r>
      <w:r w:rsidR="00722D2D">
        <w:t>)</w:t>
      </w:r>
      <w:r w:rsidRPr="006C448D">
        <w:t>.</w:t>
      </w:r>
    </w:p>
    <w:p w:rsidR="00FD4C99" w:rsidRDefault="00AC25C9"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t>P</w:t>
      </w:r>
      <w:r w:rsidRPr="006C448D">
        <w:t>ara</w:t>
      </w:r>
      <w:r>
        <w:t>graph </w:t>
      </w:r>
      <w:r w:rsidRPr="006C448D">
        <w:t>3.78</w:t>
      </w:r>
      <w:r>
        <w:t xml:space="preserve"> of GSR Part 3 [2]</w:t>
      </w:r>
      <w:r w:rsidRPr="006C448D">
        <w:t xml:space="preserve"> </w:t>
      </w:r>
      <w:r>
        <w:t xml:space="preserve">states that </w:t>
      </w:r>
    </w:p>
    <w:p w:rsidR="00FD4C99" w:rsidRDefault="007F19DB" w:rsidP="00BB4496">
      <w:pPr>
        <w:tabs>
          <w:tab w:val="left" w:pos="709"/>
        </w:tabs>
        <w:spacing w:after="120" w:line="360" w:lineRule="auto"/>
        <w:ind w:left="567"/>
      </w:pPr>
      <w:r w:rsidRPr="006C448D">
        <w:t>“</w:t>
      </w:r>
      <w:r w:rsidR="0021270D" w:rsidRPr="006C448D">
        <w:t>Employers, registrants and licensee</w:t>
      </w:r>
      <w:r w:rsidR="0060457A" w:rsidRPr="006C448D">
        <w:t xml:space="preserve">s shall ensure that workers </w:t>
      </w:r>
      <w:r w:rsidR="0021270D" w:rsidRPr="006C448D">
        <w:t>exposed to radiation from sources within a practice that are not required by or directly related to their work have the same level of protection against such exposure as members of the public</w:t>
      </w:r>
      <w:r w:rsidRPr="006C448D">
        <w:t>”</w:t>
      </w:r>
      <w:r w:rsidR="0021270D" w:rsidRPr="006C448D">
        <w:t>.</w:t>
      </w:r>
      <w:r w:rsidR="00473312" w:rsidRPr="006C448D">
        <w:t xml:space="preserve"> </w:t>
      </w:r>
    </w:p>
    <w:p w:rsidR="0021270D" w:rsidRPr="006C448D" w:rsidRDefault="00587A66" w:rsidP="00BB4496">
      <w:pPr>
        <w:tabs>
          <w:tab w:val="left" w:pos="709"/>
        </w:tabs>
        <w:spacing w:after="120" w:line="360" w:lineRule="auto"/>
      </w:pPr>
      <w:r>
        <w:t xml:space="preserve">Therefore the dose limits and </w:t>
      </w:r>
      <w:r w:rsidR="00F34821">
        <w:t xml:space="preserve">dose </w:t>
      </w:r>
      <w:r>
        <w:t xml:space="preserve">constraints for </w:t>
      </w:r>
      <w:r w:rsidR="00F34821">
        <w:t xml:space="preserve">exposure of </w:t>
      </w:r>
      <w:r>
        <w:t xml:space="preserve">members of the public apply </w:t>
      </w:r>
      <w:r w:rsidR="00F34821">
        <w:t xml:space="preserve">for such </w:t>
      </w:r>
      <w:r>
        <w:t>workers.</w:t>
      </w:r>
    </w:p>
    <w:p w:rsidR="00820EDF" w:rsidRPr="0045207A"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rsidRPr="006C448D">
        <w:rPr>
          <w:szCs w:val="20"/>
        </w:rPr>
        <w:t xml:space="preserve">For sources that are included in the regulatory system, appropriate </w:t>
      </w:r>
      <w:r w:rsidR="00120A05">
        <w:rPr>
          <w:szCs w:val="20"/>
        </w:rPr>
        <w:t>tools [?]</w:t>
      </w:r>
      <w:r w:rsidR="00120A05" w:rsidRPr="006C448D">
        <w:rPr>
          <w:szCs w:val="20"/>
        </w:rPr>
        <w:t xml:space="preserve"> </w:t>
      </w:r>
      <w:r w:rsidR="00BC3AD6">
        <w:rPr>
          <w:szCs w:val="20"/>
        </w:rPr>
        <w:t>for</w:t>
      </w:r>
      <w:r w:rsidR="00BC3AD6" w:rsidRPr="006C448D">
        <w:rPr>
          <w:szCs w:val="20"/>
        </w:rPr>
        <w:t xml:space="preserve"> </w:t>
      </w:r>
      <w:r w:rsidR="00120A05">
        <w:rPr>
          <w:szCs w:val="20"/>
        </w:rPr>
        <w:t>application of the requirements for [?]</w:t>
      </w:r>
      <w:r w:rsidR="00120A05" w:rsidRPr="006C448D">
        <w:rPr>
          <w:szCs w:val="20"/>
        </w:rPr>
        <w:t xml:space="preserve"> </w:t>
      </w:r>
      <w:r w:rsidRPr="006C448D">
        <w:rPr>
          <w:szCs w:val="20"/>
        </w:rPr>
        <w:t>radiation</w:t>
      </w:r>
      <w:r w:rsidRPr="0045207A">
        <w:rPr>
          <w:szCs w:val="20"/>
        </w:rPr>
        <w:t xml:space="preserve"> protection and safety, based on </w:t>
      </w:r>
      <w:r w:rsidR="00120A05">
        <w:rPr>
          <w:szCs w:val="20"/>
        </w:rPr>
        <w:t>a</w:t>
      </w:r>
      <w:r w:rsidR="00120A05" w:rsidRPr="0045207A">
        <w:rPr>
          <w:szCs w:val="20"/>
        </w:rPr>
        <w:t xml:space="preserve"> </w:t>
      </w:r>
      <w:r w:rsidRPr="0045207A">
        <w:rPr>
          <w:szCs w:val="20"/>
        </w:rPr>
        <w:t xml:space="preserve">graded approach, </w:t>
      </w:r>
      <w:r w:rsidR="00BC3AD6">
        <w:rPr>
          <w:szCs w:val="20"/>
        </w:rPr>
        <w:t>are</w:t>
      </w:r>
      <w:r w:rsidR="00BC3AD6" w:rsidRPr="0045207A">
        <w:rPr>
          <w:szCs w:val="20"/>
        </w:rPr>
        <w:t xml:space="preserve"> </w:t>
      </w:r>
      <w:r w:rsidR="00D23CC3">
        <w:rPr>
          <w:szCs w:val="20"/>
        </w:rPr>
        <w:t>exemption</w:t>
      </w:r>
      <w:r w:rsidR="005C545D">
        <w:rPr>
          <w:szCs w:val="20"/>
        </w:rPr>
        <w:t xml:space="preserve"> and clearance</w:t>
      </w:r>
      <w:r w:rsidR="00D23CC3">
        <w:rPr>
          <w:szCs w:val="20"/>
        </w:rPr>
        <w:t xml:space="preserve">, </w:t>
      </w:r>
      <w:r w:rsidRPr="0045207A">
        <w:rPr>
          <w:szCs w:val="20"/>
        </w:rPr>
        <w:t>notification</w:t>
      </w:r>
      <w:r w:rsidR="00BC3AD6">
        <w:rPr>
          <w:szCs w:val="20"/>
        </w:rPr>
        <w:t>,</w:t>
      </w:r>
      <w:r w:rsidRPr="0045207A">
        <w:rPr>
          <w:szCs w:val="20"/>
        </w:rPr>
        <w:t xml:space="preserve"> and authorization</w:t>
      </w:r>
      <w:r w:rsidR="00F34821">
        <w:rPr>
          <w:szCs w:val="20"/>
        </w:rPr>
        <w:t>;</w:t>
      </w:r>
      <w:r w:rsidRPr="0045207A">
        <w:rPr>
          <w:szCs w:val="20"/>
        </w:rPr>
        <w:t xml:space="preserve"> </w:t>
      </w:r>
      <w:r w:rsidR="00BC3AD6">
        <w:rPr>
          <w:szCs w:val="20"/>
        </w:rPr>
        <w:t>authorization</w:t>
      </w:r>
      <w:r w:rsidR="00F34821" w:rsidRPr="0045207A">
        <w:rPr>
          <w:szCs w:val="20"/>
        </w:rPr>
        <w:t xml:space="preserve"> </w:t>
      </w:r>
      <w:r w:rsidRPr="0045207A">
        <w:rPr>
          <w:szCs w:val="20"/>
        </w:rPr>
        <w:t xml:space="preserve">may </w:t>
      </w:r>
      <w:r w:rsidR="00BC3AD6">
        <w:rPr>
          <w:szCs w:val="20"/>
        </w:rPr>
        <w:t xml:space="preserve">take </w:t>
      </w:r>
      <w:r w:rsidRPr="0045207A">
        <w:rPr>
          <w:szCs w:val="20"/>
        </w:rPr>
        <w:t>the form of</w:t>
      </w:r>
      <w:r w:rsidR="00BC3AD6">
        <w:rPr>
          <w:szCs w:val="20"/>
        </w:rPr>
        <w:t xml:space="preserve"> either</w:t>
      </w:r>
      <w:r w:rsidRPr="0045207A">
        <w:rPr>
          <w:szCs w:val="20"/>
        </w:rPr>
        <w:t xml:space="preserve"> registration or licensing.  </w:t>
      </w:r>
    </w:p>
    <w:p w:rsidR="000203C7" w:rsidRPr="0045207A" w:rsidRDefault="000203C7" w:rsidP="00477ED7">
      <w:pPr>
        <w:tabs>
          <w:tab w:val="left" w:pos="709"/>
        </w:tabs>
        <w:spacing w:after="120" w:line="360" w:lineRule="auto"/>
        <w:rPr>
          <w:b/>
        </w:rPr>
      </w:pPr>
      <w:r w:rsidRPr="0045207A">
        <w:rPr>
          <w:b/>
        </w:rPr>
        <w:t>Exemption and clearance</w:t>
      </w:r>
    </w:p>
    <w:p w:rsidR="0019795E" w:rsidRPr="002A5710" w:rsidRDefault="00F54490"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F54490">
        <w:t>Exemption is defined as the determination by a regulatory body that a source or practice need not be subject to some or all aspects of regulatory control on the basis that the exposure and the potential exposure due to the source or practice are too small to warrant the application of those aspects or that this is the optimum option for protection irrespective of the actual level of the doses or risks</w:t>
      </w:r>
      <w:r w:rsidR="005C545D">
        <w:t xml:space="preserve"> [</w:t>
      </w:r>
      <w:r w:rsidR="00BC3AD6">
        <w:t>2</w:t>
      </w:r>
      <w:r w:rsidR="005C545D">
        <w:t>]</w:t>
      </w:r>
      <w:r>
        <w:t>.</w:t>
      </w:r>
      <w:r w:rsidR="002A5710">
        <w:t xml:space="preserve"> </w:t>
      </w:r>
      <w:r w:rsidR="0019795E" w:rsidRPr="002A5710">
        <w:rPr>
          <w:rFonts w:eastAsia="Times New Roman"/>
          <w:szCs w:val="20"/>
          <w:lang w:eastAsia="en-US"/>
        </w:rPr>
        <w:t xml:space="preserve">Only justified practices may be exempted. </w:t>
      </w:r>
    </w:p>
    <w:p w:rsidR="0019795E" w:rsidRPr="0045207A"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bookmarkStart w:id="16" w:name="_Ref437125405"/>
      <w:r w:rsidRPr="0045207A">
        <w:rPr>
          <w:rFonts w:eastAsia="Times New Roman"/>
          <w:szCs w:val="20"/>
          <w:lang w:eastAsia="en-US"/>
        </w:rPr>
        <w:t>The general criteria for exemption</w:t>
      </w:r>
      <w:r w:rsidR="00BC3AD6">
        <w:rPr>
          <w:rFonts w:eastAsia="Times New Roman"/>
          <w:szCs w:val="20"/>
          <w:lang w:eastAsia="en-US"/>
        </w:rPr>
        <w:t>,</w:t>
      </w:r>
      <w:r w:rsidRPr="0045207A">
        <w:rPr>
          <w:rFonts w:eastAsia="Times New Roman"/>
          <w:szCs w:val="20"/>
          <w:lang w:eastAsia="en-US"/>
        </w:rPr>
        <w:t xml:space="preserve"> </w:t>
      </w:r>
      <w:r w:rsidR="00BC3AD6">
        <w:rPr>
          <w:rFonts w:eastAsia="Times New Roman"/>
          <w:szCs w:val="20"/>
          <w:lang w:eastAsia="en-US"/>
        </w:rPr>
        <w:t>specified</w:t>
      </w:r>
      <w:r w:rsidR="00BC3AD6" w:rsidRPr="0045207A">
        <w:rPr>
          <w:rFonts w:eastAsia="Times New Roman"/>
          <w:szCs w:val="20"/>
          <w:lang w:eastAsia="en-US"/>
        </w:rPr>
        <w:t xml:space="preserve"> </w:t>
      </w:r>
      <w:r w:rsidRPr="0045207A">
        <w:rPr>
          <w:rFonts w:eastAsia="Times New Roman"/>
          <w:szCs w:val="20"/>
          <w:lang w:eastAsia="en-US"/>
        </w:rPr>
        <w:t xml:space="preserve">in Schedule </w:t>
      </w:r>
      <w:r w:rsidR="00BC3AD6">
        <w:rPr>
          <w:rFonts w:eastAsia="Times New Roman"/>
          <w:szCs w:val="20"/>
          <w:lang w:eastAsia="en-US"/>
        </w:rPr>
        <w:t>I</w:t>
      </w:r>
      <w:r w:rsidRPr="0045207A">
        <w:rPr>
          <w:rFonts w:eastAsia="Times New Roman"/>
          <w:szCs w:val="20"/>
          <w:lang w:eastAsia="en-US"/>
        </w:rPr>
        <w:t xml:space="preserve"> of GSR Part 3 </w:t>
      </w:r>
      <w:r w:rsidR="00C05FFE">
        <w:rPr>
          <w:rFonts w:eastAsia="Times New Roman"/>
          <w:szCs w:val="20"/>
          <w:lang w:eastAsia="en-US"/>
        </w:rPr>
        <w:t>[2]</w:t>
      </w:r>
      <w:r w:rsidR="00BC3AD6">
        <w:rPr>
          <w:rFonts w:eastAsia="Times New Roman"/>
          <w:szCs w:val="20"/>
          <w:lang w:eastAsia="en-US"/>
        </w:rPr>
        <w:t>,</w:t>
      </w:r>
      <w:r w:rsidRPr="0045207A">
        <w:rPr>
          <w:rFonts w:eastAsia="Times New Roman"/>
          <w:szCs w:val="20"/>
          <w:lang w:eastAsia="en-US"/>
        </w:rPr>
        <w:t xml:space="preserve"> are that:</w:t>
      </w:r>
      <w:bookmarkEnd w:id="16"/>
      <w:r w:rsidRPr="0045207A">
        <w:rPr>
          <w:rFonts w:eastAsia="Times New Roman"/>
          <w:szCs w:val="20"/>
          <w:lang w:eastAsia="en-US"/>
        </w:rPr>
        <w:t xml:space="preserve"> </w:t>
      </w:r>
    </w:p>
    <w:p w:rsidR="0019795E" w:rsidRPr="00BB4496" w:rsidRDefault="0019795E" w:rsidP="009A77F5">
      <w:pPr>
        <w:pStyle w:val="ListParagraph"/>
        <w:numPr>
          <w:ilvl w:val="0"/>
          <w:numId w:val="48"/>
        </w:numPr>
        <w:tabs>
          <w:tab w:val="left" w:pos="709"/>
        </w:tabs>
        <w:autoSpaceDE w:val="0"/>
        <w:autoSpaceDN w:val="0"/>
        <w:adjustRightInd w:val="0"/>
        <w:spacing w:after="120" w:line="360" w:lineRule="auto"/>
        <w:ind w:left="709" w:hanging="709"/>
        <w:contextualSpacing w:val="0"/>
        <w:jc w:val="both"/>
        <w:rPr>
          <w:rFonts w:eastAsia="Times New Roman"/>
          <w:szCs w:val="20"/>
          <w:lang w:eastAsia="en-US"/>
        </w:rPr>
      </w:pPr>
      <w:r w:rsidRPr="0045207A">
        <w:rPr>
          <w:rFonts w:eastAsia="Times New Roman"/>
          <w:szCs w:val="20"/>
          <w:lang w:eastAsia="en-US"/>
        </w:rPr>
        <w:t>Radiation risks arising from the practice or</w:t>
      </w:r>
      <w:r w:rsidR="00BC3AD6">
        <w:rPr>
          <w:rFonts w:eastAsia="Times New Roman"/>
          <w:szCs w:val="20"/>
          <w:lang w:eastAsia="en-US"/>
        </w:rPr>
        <w:t xml:space="preserve"> from</w:t>
      </w:r>
      <w:r w:rsidRPr="0045207A">
        <w:rPr>
          <w:rFonts w:eastAsia="Times New Roman"/>
          <w:szCs w:val="20"/>
          <w:lang w:eastAsia="en-US"/>
        </w:rPr>
        <w:t xml:space="preserve"> a source within </w:t>
      </w:r>
      <w:r w:rsidR="00BC3AD6">
        <w:rPr>
          <w:rFonts w:eastAsia="Times New Roman"/>
          <w:szCs w:val="20"/>
          <w:lang w:eastAsia="en-US"/>
        </w:rPr>
        <w:t>the</w:t>
      </w:r>
      <w:r w:rsidRPr="00BB4496">
        <w:rPr>
          <w:rFonts w:eastAsia="Times New Roman"/>
          <w:szCs w:val="20"/>
          <w:lang w:eastAsia="en-US"/>
        </w:rPr>
        <w:t xml:space="preserve"> practice are sufficiently low as not to warrant regulatory control, with no appreciable likelihood of situations that could lead to a failure to meet the general criterion for exemption; or </w:t>
      </w:r>
    </w:p>
    <w:p w:rsidR="0019795E" w:rsidRPr="00E273A0" w:rsidRDefault="00E273A0" w:rsidP="009A77F5">
      <w:pPr>
        <w:pStyle w:val="ListParagraph"/>
        <w:numPr>
          <w:ilvl w:val="0"/>
          <w:numId w:val="48"/>
        </w:numPr>
        <w:tabs>
          <w:tab w:val="left" w:pos="709"/>
        </w:tabs>
        <w:autoSpaceDE w:val="0"/>
        <w:autoSpaceDN w:val="0"/>
        <w:adjustRightInd w:val="0"/>
        <w:spacing w:after="120" w:line="360" w:lineRule="auto"/>
        <w:ind w:left="567" w:hanging="567"/>
        <w:contextualSpacing w:val="0"/>
        <w:jc w:val="both"/>
        <w:rPr>
          <w:rFonts w:eastAsia="Times New Roman"/>
          <w:szCs w:val="20"/>
          <w:lang w:eastAsia="en-US"/>
        </w:rPr>
      </w:pPr>
      <w:r w:rsidRPr="00E273A0">
        <w:rPr>
          <w:rFonts w:eastAsia="Times New Roman"/>
          <w:szCs w:val="20"/>
          <w:lang w:eastAsia="en-US"/>
        </w:rPr>
        <w:lastRenderedPageBreak/>
        <w:t xml:space="preserve">Regulatory </w:t>
      </w:r>
      <w:r w:rsidR="0019795E" w:rsidRPr="00E273A0">
        <w:rPr>
          <w:rFonts w:eastAsia="Times New Roman"/>
          <w:szCs w:val="20"/>
          <w:lang w:eastAsia="en-US"/>
        </w:rPr>
        <w:t xml:space="preserve">control of the practice or the source would yield no net benefit, in that no reasonable control measures would achieve a worthwhile return in terms of reduction of individual doses or of health risks. </w:t>
      </w:r>
    </w:p>
    <w:p w:rsidR="00C812BD" w:rsidRPr="0045207A"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bookmarkStart w:id="17" w:name="_Ref437125525"/>
      <w:r w:rsidRPr="0045207A">
        <w:rPr>
          <w:rFonts w:eastAsia="Times New Roman"/>
          <w:szCs w:val="20"/>
          <w:lang w:eastAsia="en-US"/>
        </w:rPr>
        <w:t xml:space="preserve">Under these criteria, a practice or a source within a practice may be exempted </w:t>
      </w:r>
      <w:r w:rsidR="003F381E">
        <w:rPr>
          <w:rFonts w:eastAsia="Times New Roman"/>
          <w:szCs w:val="20"/>
          <w:lang w:eastAsia="en-US"/>
        </w:rPr>
        <w:t xml:space="preserve">without further consideration </w:t>
      </w:r>
      <w:r w:rsidR="00BC3AD6">
        <w:rPr>
          <w:rFonts w:eastAsia="Times New Roman"/>
          <w:szCs w:val="20"/>
          <w:lang w:eastAsia="en-US"/>
        </w:rPr>
        <w:t>from some or all of the requir</w:t>
      </w:r>
      <w:r w:rsidR="003579DE">
        <w:rPr>
          <w:rFonts w:eastAsia="Times New Roman"/>
          <w:szCs w:val="20"/>
          <w:lang w:eastAsia="en-US"/>
        </w:rPr>
        <w:t>e</w:t>
      </w:r>
      <w:r w:rsidR="00BC3AD6">
        <w:rPr>
          <w:rFonts w:eastAsia="Times New Roman"/>
          <w:szCs w:val="20"/>
          <w:lang w:eastAsia="en-US"/>
        </w:rPr>
        <w:t xml:space="preserve">ments of GSR Part 3 [2] </w:t>
      </w:r>
      <w:r w:rsidRPr="0045207A">
        <w:rPr>
          <w:rFonts w:eastAsia="Times New Roman"/>
          <w:szCs w:val="20"/>
          <w:lang w:eastAsia="en-US"/>
        </w:rPr>
        <w:t xml:space="preserve">provided that </w:t>
      </w:r>
      <w:r w:rsidR="00C812BD" w:rsidRPr="0045207A">
        <w:rPr>
          <w:rFonts w:eastAsia="Times New Roman"/>
          <w:szCs w:val="20"/>
          <w:lang w:eastAsia="en-US"/>
        </w:rPr>
        <w:t xml:space="preserve">the effective dose expected to </w:t>
      </w:r>
      <w:r w:rsidR="00683DB6">
        <w:rPr>
          <w:rFonts w:eastAsia="Times New Roman"/>
          <w:szCs w:val="20"/>
          <w:lang w:eastAsia="en-US"/>
        </w:rPr>
        <w:t xml:space="preserve">be </w:t>
      </w:r>
      <w:r w:rsidR="00C812BD" w:rsidRPr="0045207A">
        <w:rPr>
          <w:rFonts w:eastAsia="Times New Roman"/>
          <w:szCs w:val="20"/>
          <w:lang w:eastAsia="en-US"/>
        </w:rPr>
        <w:t>incurred by any individual</w:t>
      </w:r>
      <w:r w:rsidR="009E2D57">
        <w:rPr>
          <w:rFonts w:eastAsia="Times New Roman"/>
          <w:szCs w:val="20"/>
          <w:lang w:eastAsia="en-US"/>
        </w:rPr>
        <w:t xml:space="preserve"> (para. I</w:t>
      </w:r>
      <w:r w:rsidR="002B6813">
        <w:rPr>
          <w:rFonts w:eastAsia="Times New Roman"/>
          <w:szCs w:val="20"/>
          <w:lang w:eastAsia="en-US"/>
        </w:rPr>
        <w:t>.</w:t>
      </w:r>
      <w:r w:rsidR="009E2D57">
        <w:rPr>
          <w:rFonts w:eastAsia="Times New Roman"/>
          <w:szCs w:val="20"/>
          <w:lang w:eastAsia="en-US"/>
        </w:rPr>
        <w:t xml:space="preserve">2 of </w:t>
      </w:r>
      <w:r w:rsidR="009E2D57" w:rsidRPr="0045207A">
        <w:rPr>
          <w:rFonts w:eastAsia="Times New Roman"/>
          <w:szCs w:val="20"/>
          <w:lang w:eastAsia="en-US"/>
        </w:rPr>
        <w:t>GSR</w:t>
      </w:r>
      <w:r w:rsidR="008B2799">
        <w:rPr>
          <w:rFonts w:eastAsia="Times New Roman"/>
          <w:szCs w:val="20"/>
          <w:lang w:eastAsia="en-US"/>
        </w:rPr>
        <w:t> </w:t>
      </w:r>
      <w:r w:rsidR="009E2D57" w:rsidRPr="0045207A">
        <w:rPr>
          <w:rFonts w:eastAsia="Times New Roman"/>
          <w:szCs w:val="20"/>
          <w:lang w:eastAsia="en-US"/>
        </w:rPr>
        <w:t xml:space="preserve">Part 3 </w:t>
      </w:r>
      <w:r w:rsidR="009E2D57">
        <w:rPr>
          <w:rFonts w:eastAsia="Times New Roman"/>
          <w:szCs w:val="20"/>
          <w:lang w:eastAsia="en-US"/>
        </w:rPr>
        <w:t>[2]</w:t>
      </w:r>
      <w:r w:rsidR="0088315A">
        <w:rPr>
          <w:rFonts w:eastAsia="Times New Roman"/>
          <w:szCs w:val="20"/>
          <w:lang w:eastAsia="en-US"/>
        </w:rPr>
        <w:t>)</w:t>
      </w:r>
      <w:r w:rsidR="00340471">
        <w:rPr>
          <w:rFonts w:eastAsia="Times New Roman"/>
          <w:szCs w:val="20"/>
          <w:lang w:eastAsia="en-US"/>
        </w:rPr>
        <w:t xml:space="preserve"> owing to the exempt practice or the exempt source within the practice</w:t>
      </w:r>
      <w:r w:rsidR="00C812BD" w:rsidRPr="0045207A">
        <w:rPr>
          <w:rFonts w:eastAsia="Times New Roman"/>
          <w:szCs w:val="20"/>
          <w:lang w:eastAsia="en-US"/>
        </w:rPr>
        <w:t>:</w:t>
      </w:r>
      <w:bookmarkEnd w:id="17"/>
    </w:p>
    <w:p w:rsidR="00C812BD" w:rsidRPr="0045207A" w:rsidRDefault="00340471" w:rsidP="00974B83">
      <w:pPr>
        <w:pStyle w:val="ListParagraph"/>
        <w:numPr>
          <w:ilvl w:val="0"/>
          <w:numId w:val="9"/>
        </w:numPr>
        <w:tabs>
          <w:tab w:val="left" w:pos="709"/>
        </w:tabs>
        <w:spacing w:after="120" w:line="360" w:lineRule="auto"/>
        <w:contextualSpacing w:val="0"/>
        <w:jc w:val="both"/>
      </w:pPr>
      <w:r>
        <w:t>I</w:t>
      </w:r>
      <w:r w:rsidR="00C812BD" w:rsidRPr="0045207A">
        <w:t>s of the order of 10 µ</w:t>
      </w:r>
      <w:proofErr w:type="spellStart"/>
      <w:r w:rsidR="00C812BD" w:rsidRPr="0045207A">
        <w:t>Sv</w:t>
      </w:r>
      <w:proofErr w:type="spellEnd"/>
      <w:r w:rsidR="00C812BD" w:rsidRPr="0045207A">
        <w:t xml:space="preserve"> or less in a year </w:t>
      </w:r>
      <w:r w:rsidR="0019795E" w:rsidRPr="0045207A">
        <w:t>under all reasonably foreseeable circumstances</w:t>
      </w:r>
      <w:r>
        <w:t>;</w:t>
      </w:r>
      <w:r w:rsidR="006C1B60" w:rsidRPr="0045207A">
        <w:t xml:space="preserve"> </w:t>
      </w:r>
    </w:p>
    <w:p w:rsidR="005F2077" w:rsidRPr="0045207A" w:rsidRDefault="00340471" w:rsidP="00974B83">
      <w:pPr>
        <w:pStyle w:val="ListParagraph"/>
        <w:numPr>
          <w:ilvl w:val="0"/>
          <w:numId w:val="9"/>
        </w:numPr>
        <w:tabs>
          <w:tab w:val="left" w:pos="709"/>
        </w:tabs>
        <w:spacing w:after="120" w:line="360" w:lineRule="auto"/>
        <w:contextualSpacing w:val="0"/>
        <w:jc w:val="both"/>
      </w:pPr>
      <w:r>
        <w:t>D</w:t>
      </w:r>
      <w:r w:rsidR="00C812BD" w:rsidRPr="0045207A">
        <w:t xml:space="preserve">oes not exceed 1 </w:t>
      </w:r>
      <w:proofErr w:type="spellStart"/>
      <w:r w:rsidR="00C812BD" w:rsidRPr="0045207A">
        <w:t>mSv</w:t>
      </w:r>
      <w:proofErr w:type="spellEnd"/>
      <w:r w:rsidR="00C812BD" w:rsidRPr="0045207A">
        <w:t xml:space="preserve"> in a year </w:t>
      </w:r>
      <w:r w:rsidR="006C1B60" w:rsidRPr="0045207A">
        <w:t>for low probability scenarios</w:t>
      </w:r>
      <w:r w:rsidR="00C26021">
        <w:rPr>
          <w:rStyle w:val="FootnoteReference"/>
        </w:rPr>
        <w:footnoteReference w:id="1"/>
      </w:r>
      <w:r w:rsidR="006C1B60" w:rsidRPr="0045207A">
        <w:t>.</w:t>
      </w:r>
    </w:p>
    <w:p w:rsidR="001033F1" w:rsidRDefault="004B436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Pr>
          <w:rFonts w:eastAsia="Times New Roman"/>
          <w:szCs w:val="20"/>
          <w:lang w:eastAsia="en-US"/>
        </w:rPr>
        <w:t>C</w:t>
      </w:r>
      <w:r w:rsidR="006C1B60" w:rsidRPr="0045207A">
        <w:rPr>
          <w:rFonts w:eastAsia="Times New Roman"/>
          <w:szCs w:val="20"/>
          <w:lang w:eastAsia="en-US"/>
        </w:rPr>
        <w:t>learance</w:t>
      </w:r>
      <w:r>
        <w:rPr>
          <w:rFonts w:eastAsia="Times New Roman"/>
          <w:szCs w:val="20"/>
          <w:lang w:eastAsia="en-US"/>
        </w:rPr>
        <w:t xml:space="preserve"> </w:t>
      </w:r>
      <w:r w:rsidR="006C1B60" w:rsidRPr="0045207A">
        <w:rPr>
          <w:rFonts w:eastAsia="Times New Roman"/>
          <w:szCs w:val="20"/>
          <w:lang w:eastAsia="en-US"/>
        </w:rPr>
        <w:t xml:space="preserve">is defined as the removal of </w:t>
      </w:r>
      <w:r w:rsidR="00340471" w:rsidRPr="0045207A">
        <w:rPr>
          <w:rFonts w:eastAsia="Times New Roman"/>
          <w:szCs w:val="20"/>
          <w:lang w:eastAsia="en-US"/>
        </w:rPr>
        <w:t xml:space="preserve">regulatory control </w:t>
      </w:r>
      <w:r w:rsidR="00340471">
        <w:rPr>
          <w:rFonts w:eastAsia="Times New Roman"/>
          <w:szCs w:val="20"/>
          <w:lang w:eastAsia="en-US"/>
        </w:rPr>
        <w:t xml:space="preserve">by the regulatory body from </w:t>
      </w:r>
      <w:r w:rsidR="006C1B60" w:rsidRPr="0045207A">
        <w:rPr>
          <w:rFonts w:eastAsia="Times New Roman"/>
          <w:szCs w:val="20"/>
          <w:lang w:eastAsia="en-US"/>
        </w:rPr>
        <w:t xml:space="preserve">radioactive material or radioactive objects within </w:t>
      </w:r>
      <w:r w:rsidR="00340471">
        <w:rPr>
          <w:rFonts w:eastAsia="Times New Roman"/>
          <w:szCs w:val="20"/>
          <w:lang w:eastAsia="en-US"/>
        </w:rPr>
        <w:t xml:space="preserve">notified or </w:t>
      </w:r>
      <w:r w:rsidR="006C1B60" w:rsidRPr="0045207A">
        <w:rPr>
          <w:rFonts w:eastAsia="Times New Roman"/>
          <w:szCs w:val="20"/>
          <w:lang w:eastAsia="en-US"/>
        </w:rPr>
        <w:t>authorized practices. The general criteria for clearance parallel those for exemption</w:t>
      </w:r>
      <w:r w:rsidR="001033F1">
        <w:rPr>
          <w:rFonts w:eastAsia="Times New Roman"/>
          <w:szCs w:val="20"/>
          <w:lang w:eastAsia="en-US"/>
        </w:rPr>
        <w:t>, are also provided in</w:t>
      </w:r>
      <w:r w:rsidR="006C1B60" w:rsidRPr="0045207A">
        <w:rPr>
          <w:rFonts w:eastAsia="Times New Roman"/>
          <w:szCs w:val="20"/>
          <w:lang w:eastAsia="en-US"/>
        </w:rPr>
        <w:t xml:space="preserve"> Schedule </w:t>
      </w:r>
      <w:r w:rsidR="00340471">
        <w:rPr>
          <w:rFonts w:eastAsia="Times New Roman"/>
          <w:szCs w:val="20"/>
          <w:lang w:eastAsia="en-US"/>
        </w:rPr>
        <w:t>I</w:t>
      </w:r>
      <w:r w:rsidR="006C1B60" w:rsidRPr="0045207A">
        <w:rPr>
          <w:rFonts w:eastAsia="Times New Roman"/>
          <w:szCs w:val="20"/>
          <w:lang w:eastAsia="en-US"/>
        </w:rPr>
        <w:t xml:space="preserve"> of </w:t>
      </w:r>
      <w:r w:rsidR="00B35543">
        <w:rPr>
          <w:rFonts w:eastAsia="Times New Roman"/>
          <w:szCs w:val="20"/>
          <w:lang w:eastAsia="en-US"/>
        </w:rPr>
        <w:t xml:space="preserve">GSR </w:t>
      </w:r>
      <w:r w:rsidR="008B2799">
        <w:rPr>
          <w:rFonts w:eastAsia="Times New Roman"/>
          <w:szCs w:val="20"/>
          <w:lang w:eastAsia="en-US"/>
        </w:rPr>
        <w:t xml:space="preserve">Part </w:t>
      </w:r>
      <w:r w:rsidR="00B35543">
        <w:rPr>
          <w:rFonts w:eastAsia="Times New Roman"/>
          <w:szCs w:val="20"/>
          <w:lang w:eastAsia="en-US"/>
        </w:rPr>
        <w:t>3</w:t>
      </w:r>
      <w:r w:rsidR="00871F51">
        <w:rPr>
          <w:rFonts w:eastAsia="Times New Roman"/>
          <w:szCs w:val="20"/>
          <w:lang w:eastAsia="en-US"/>
        </w:rPr>
        <w:t xml:space="preserve"> [2]</w:t>
      </w:r>
      <w:r w:rsidR="00340471">
        <w:rPr>
          <w:rFonts w:eastAsia="Times New Roman"/>
          <w:szCs w:val="20"/>
          <w:lang w:eastAsia="en-US"/>
        </w:rPr>
        <w:t xml:space="preserve"> and are that</w:t>
      </w:r>
      <w:r w:rsidR="001033F1">
        <w:rPr>
          <w:rFonts w:eastAsia="Times New Roman"/>
          <w:szCs w:val="20"/>
          <w:lang w:eastAsia="en-US"/>
        </w:rPr>
        <w:t>:</w:t>
      </w:r>
    </w:p>
    <w:p w:rsidR="001033F1" w:rsidRPr="001033F1" w:rsidRDefault="001033F1" w:rsidP="00AE2D09">
      <w:pPr>
        <w:pStyle w:val="ListParagraph"/>
        <w:tabs>
          <w:tab w:val="left" w:pos="709"/>
        </w:tabs>
        <w:autoSpaceDE w:val="0"/>
        <w:autoSpaceDN w:val="0"/>
        <w:adjustRightInd w:val="0"/>
        <w:spacing w:after="120" w:line="360" w:lineRule="auto"/>
        <w:ind w:left="709" w:hanging="709"/>
        <w:contextualSpacing w:val="0"/>
        <w:jc w:val="both"/>
        <w:rPr>
          <w:rFonts w:eastAsia="Times New Roman"/>
          <w:szCs w:val="20"/>
          <w:lang w:eastAsia="en-US"/>
        </w:rPr>
      </w:pPr>
      <w:r w:rsidRPr="00B15DBA">
        <w:t>(a)</w:t>
      </w:r>
      <w:r w:rsidRPr="00B15DBA">
        <w:tab/>
        <w:t xml:space="preserve">Radiation risks arising from the cleared material are sufficiently low as not to warrant regulatory control, </w:t>
      </w:r>
      <w:r>
        <w:t>and there is</w:t>
      </w:r>
      <w:r w:rsidRPr="00B15DBA">
        <w:t xml:space="preserve"> no appreciable likelihood of occurrence for scenarios that could lead to a failure to meet </w:t>
      </w:r>
      <w:r w:rsidRPr="001033F1">
        <w:rPr>
          <w:color w:val="000000"/>
        </w:rPr>
        <w:t>the general</w:t>
      </w:r>
      <w:r w:rsidRPr="00B15DBA">
        <w:t xml:space="preserve"> criterion for clearance; or</w:t>
      </w:r>
    </w:p>
    <w:p w:rsidR="001033F1" w:rsidRPr="001033F1" w:rsidRDefault="001033F1" w:rsidP="00AE2D09">
      <w:pPr>
        <w:tabs>
          <w:tab w:val="left" w:pos="709"/>
        </w:tabs>
        <w:spacing w:after="120" w:line="360" w:lineRule="auto"/>
        <w:ind w:left="709" w:hanging="709"/>
      </w:pPr>
      <w:r w:rsidRPr="00B15DBA">
        <w:t>(b)</w:t>
      </w:r>
      <w:r w:rsidRPr="00B15DBA">
        <w:tab/>
        <w:t>Continued regulatory control of the material would yield no net benefit, in that no reasonable control measures would achieve a worthwhile return in terms of reduction of individual doses or reduction of health risks.</w:t>
      </w:r>
    </w:p>
    <w:p w:rsidR="001033F1" w:rsidRDefault="001033F1"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Pr>
          <w:rFonts w:eastAsia="Times New Roman"/>
          <w:szCs w:val="20"/>
          <w:lang w:eastAsia="en-US"/>
        </w:rPr>
        <w:t xml:space="preserve">Under these criteria, </w:t>
      </w:r>
      <w:r>
        <w:t>m</w:t>
      </w:r>
      <w:r w:rsidRPr="00B15DBA">
        <w:t xml:space="preserve">aterial may be cleared without further consideration under the terms of para. </w:t>
      </w:r>
      <w:r>
        <w:t>3.14</w:t>
      </w:r>
      <w:r w:rsidRPr="00B15DBA">
        <w:t xml:space="preserve">(a) provided that in </w:t>
      </w:r>
      <w:r>
        <w:t xml:space="preserve">reasonably </w:t>
      </w:r>
      <w:r w:rsidRPr="00B15DBA">
        <w:t xml:space="preserve">foreseeable </w:t>
      </w:r>
      <w:r>
        <w:t>circumstances</w:t>
      </w:r>
      <w:r w:rsidRPr="00B15DBA">
        <w:t xml:space="preserve"> the effective dose expected to be incurred by any </w:t>
      </w:r>
      <w:r>
        <w:t>individual</w:t>
      </w:r>
      <w:r w:rsidRPr="00B15DBA">
        <w:t xml:space="preserve"> owing to the cleared material is of the order of 10 </w:t>
      </w:r>
      <w:r w:rsidRPr="00B15DBA">
        <w:rPr>
          <w:rFonts w:ascii="Symbol" w:hAnsi="Symbol"/>
        </w:rPr>
        <w:t></w:t>
      </w:r>
      <w:proofErr w:type="spellStart"/>
      <w:r w:rsidRPr="00B15DBA">
        <w:t>Sv</w:t>
      </w:r>
      <w:proofErr w:type="spellEnd"/>
      <w:r w:rsidRPr="00B15DBA">
        <w:t xml:space="preserve"> or less in a year. To take into account low probability scenarios, a different criterion can be used, namely that the effective dose expected to be incurred by any </w:t>
      </w:r>
      <w:r>
        <w:t>individual</w:t>
      </w:r>
      <w:r w:rsidRPr="00B15DBA">
        <w:t xml:space="preserve"> for such low probability scenarios does not exceed 1 </w:t>
      </w:r>
      <w:proofErr w:type="spellStart"/>
      <w:r w:rsidRPr="00B15DBA">
        <w:t>mSv</w:t>
      </w:r>
      <w:proofErr w:type="spellEnd"/>
      <w:r w:rsidRPr="00B15DBA">
        <w:t xml:space="preserve"> in a year.</w:t>
      </w:r>
    </w:p>
    <w:p w:rsidR="00893690" w:rsidRDefault="002F2F0C"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rPr>
          <w:rFonts w:eastAsia="Times New Roman"/>
          <w:szCs w:val="20"/>
          <w:lang w:eastAsia="en-US"/>
        </w:rPr>
        <w:t xml:space="preserve">Based on the criteria for exemption and clearance, </w:t>
      </w:r>
      <w:r w:rsidR="00351131" w:rsidRPr="0045207A">
        <w:rPr>
          <w:rFonts w:eastAsia="Times New Roman"/>
          <w:szCs w:val="20"/>
          <w:lang w:eastAsia="en-US"/>
        </w:rPr>
        <w:t xml:space="preserve">Schedule </w:t>
      </w:r>
      <w:r w:rsidRPr="0045207A">
        <w:rPr>
          <w:rFonts w:eastAsia="Times New Roman"/>
          <w:szCs w:val="20"/>
          <w:lang w:eastAsia="en-US"/>
        </w:rPr>
        <w:t>I of</w:t>
      </w:r>
      <w:r w:rsidR="008B2799">
        <w:rPr>
          <w:rFonts w:eastAsia="Times New Roman"/>
          <w:szCs w:val="20"/>
          <w:lang w:eastAsia="en-US"/>
        </w:rPr>
        <w:t xml:space="preserve"> GSR Part 3</w:t>
      </w:r>
      <w:r w:rsidRPr="0045207A">
        <w:rPr>
          <w:rFonts w:eastAsia="Times New Roman"/>
          <w:szCs w:val="20"/>
          <w:lang w:eastAsia="en-US"/>
        </w:rPr>
        <w:t xml:space="preserve"> </w:t>
      </w:r>
      <w:r w:rsidR="00871F51">
        <w:rPr>
          <w:rFonts w:eastAsia="Times New Roman"/>
          <w:szCs w:val="20"/>
          <w:lang w:eastAsia="en-US"/>
        </w:rPr>
        <w:t xml:space="preserve">[2] </w:t>
      </w:r>
      <w:r w:rsidRPr="0045207A">
        <w:rPr>
          <w:rFonts w:eastAsia="Times New Roman"/>
          <w:szCs w:val="20"/>
          <w:lang w:eastAsia="en-US"/>
        </w:rPr>
        <w:t>present</w:t>
      </w:r>
      <w:r w:rsidR="00927881">
        <w:rPr>
          <w:rFonts w:eastAsia="Times New Roman"/>
          <w:szCs w:val="20"/>
          <w:lang w:eastAsia="en-US"/>
        </w:rPr>
        <w:t>s</w:t>
      </w:r>
      <w:r w:rsidRPr="0045207A">
        <w:rPr>
          <w:rFonts w:eastAsia="Times New Roman"/>
          <w:szCs w:val="20"/>
          <w:lang w:eastAsia="en-US"/>
        </w:rPr>
        <w:t xml:space="preserve"> activity concentrations and activities of</w:t>
      </w:r>
      <w:r w:rsidR="003F381E">
        <w:rPr>
          <w:rFonts w:eastAsia="Times New Roman"/>
          <w:szCs w:val="20"/>
          <w:lang w:eastAsia="en-US"/>
        </w:rPr>
        <w:t xml:space="preserve"> radionuclides for</w:t>
      </w:r>
      <w:r w:rsidRPr="0045207A">
        <w:rPr>
          <w:rFonts w:eastAsia="Times New Roman"/>
          <w:szCs w:val="20"/>
          <w:lang w:eastAsia="en-US"/>
        </w:rPr>
        <w:t xml:space="preserve"> moderate amounts of material </w:t>
      </w:r>
      <w:r w:rsidR="00340471">
        <w:rPr>
          <w:rFonts w:eastAsia="Times New Roman"/>
          <w:szCs w:val="20"/>
          <w:lang w:eastAsia="en-US"/>
        </w:rPr>
        <w:t>that</w:t>
      </w:r>
      <w:r w:rsidR="00340471" w:rsidRPr="0045207A">
        <w:rPr>
          <w:rFonts w:eastAsia="Times New Roman"/>
          <w:szCs w:val="20"/>
          <w:lang w:eastAsia="en-US"/>
        </w:rPr>
        <w:t xml:space="preserve"> </w:t>
      </w:r>
      <w:r w:rsidR="00351131" w:rsidRPr="0045207A">
        <w:rPr>
          <w:rFonts w:eastAsia="Times New Roman"/>
          <w:szCs w:val="20"/>
          <w:lang w:eastAsia="en-US"/>
        </w:rPr>
        <w:t xml:space="preserve">may be exempted </w:t>
      </w:r>
      <w:r w:rsidRPr="0045207A">
        <w:rPr>
          <w:rFonts w:eastAsia="Times New Roman"/>
          <w:szCs w:val="20"/>
          <w:lang w:eastAsia="en-US"/>
        </w:rPr>
        <w:t>(Table I</w:t>
      </w:r>
      <w:r w:rsidR="00D720E5">
        <w:rPr>
          <w:rFonts w:eastAsia="Times New Roman"/>
          <w:szCs w:val="20"/>
          <w:lang w:eastAsia="en-US"/>
        </w:rPr>
        <w:t>.</w:t>
      </w:r>
      <w:r w:rsidRPr="0045207A">
        <w:rPr>
          <w:rFonts w:eastAsia="Times New Roman"/>
          <w:szCs w:val="20"/>
          <w:lang w:eastAsia="en-US"/>
        </w:rPr>
        <w:t>1</w:t>
      </w:r>
      <w:r w:rsidR="001D7C8E">
        <w:rPr>
          <w:rFonts w:eastAsia="Times New Roman"/>
          <w:szCs w:val="20"/>
          <w:lang w:eastAsia="en-US"/>
        </w:rPr>
        <w:t xml:space="preserve"> of GSR Part 3</w:t>
      </w:r>
      <w:r w:rsidR="00120A05">
        <w:rPr>
          <w:rFonts w:eastAsia="Times New Roman"/>
          <w:szCs w:val="20"/>
          <w:lang w:eastAsia="en-US"/>
        </w:rPr>
        <w:t xml:space="preserve"> [2]</w:t>
      </w:r>
      <w:r w:rsidRPr="0045207A">
        <w:rPr>
          <w:rFonts w:eastAsia="Times New Roman"/>
          <w:szCs w:val="20"/>
          <w:lang w:eastAsia="en-US"/>
        </w:rPr>
        <w:t>)</w:t>
      </w:r>
      <w:r w:rsidR="007F043C" w:rsidRPr="007F043C">
        <w:rPr>
          <w:rFonts w:eastAsia="Times New Roman"/>
          <w:szCs w:val="20"/>
          <w:lang w:eastAsia="en-US"/>
        </w:rPr>
        <w:t xml:space="preserve"> </w:t>
      </w:r>
      <w:r w:rsidR="007F043C">
        <w:rPr>
          <w:rFonts w:eastAsia="Times New Roman"/>
          <w:szCs w:val="20"/>
          <w:lang w:eastAsia="en-US"/>
        </w:rPr>
        <w:t>without further consideration</w:t>
      </w:r>
      <w:r w:rsidR="003F381E">
        <w:rPr>
          <w:rFonts w:eastAsia="Times New Roman"/>
          <w:szCs w:val="20"/>
          <w:lang w:eastAsia="en-US"/>
        </w:rPr>
        <w:t xml:space="preserve"> </w:t>
      </w:r>
      <w:r w:rsidR="003F381E">
        <w:rPr>
          <w:rFonts w:eastAsia="Times New Roman"/>
          <w:szCs w:val="20"/>
          <w:lang w:eastAsia="en-US"/>
        </w:rPr>
        <w:lastRenderedPageBreak/>
        <w:t>from some or all of the requir</w:t>
      </w:r>
      <w:r w:rsidR="0044556B">
        <w:rPr>
          <w:rFonts w:eastAsia="Times New Roman"/>
          <w:szCs w:val="20"/>
          <w:lang w:eastAsia="en-US"/>
        </w:rPr>
        <w:t>e</w:t>
      </w:r>
      <w:r w:rsidR="003F381E">
        <w:rPr>
          <w:rFonts w:eastAsia="Times New Roman"/>
          <w:szCs w:val="20"/>
          <w:lang w:eastAsia="en-US"/>
        </w:rPr>
        <w:t>ments of GSR Part 3 [2]</w:t>
      </w:r>
      <w:r w:rsidR="007F043C" w:rsidRPr="0045207A">
        <w:rPr>
          <w:rFonts w:eastAsia="Times New Roman"/>
          <w:szCs w:val="20"/>
          <w:lang w:eastAsia="en-US"/>
        </w:rPr>
        <w:t xml:space="preserve">, </w:t>
      </w:r>
      <w:r w:rsidR="007F043C">
        <w:rPr>
          <w:rFonts w:eastAsia="Times New Roman"/>
          <w:szCs w:val="20"/>
          <w:lang w:eastAsia="en-US"/>
        </w:rPr>
        <w:t>and</w:t>
      </w:r>
      <w:r w:rsidR="00351131" w:rsidRPr="0045207A">
        <w:rPr>
          <w:rFonts w:eastAsia="Times New Roman"/>
          <w:szCs w:val="20"/>
          <w:lang w:eastAsia="en-US"/>
        </w:rPr>
        <w:t xml:space="preserve"> </w:t>
      </w:r>
      <w:r w:rsidR="00AF1EB8" w:rsidRPr="0045207A">
        <w:rPr>
          <w:rFonts w:eastAsia="Times New Roman"/>
          <w:szCs w:val="20"/>
          <w:lang w:eastAsia="en-US"/>
        </w:rPr>
        <w:t>activity</w:t>
      </w:r>
      <w:r w:rsidRPr="0045207A">
        <w:rPr>
          <w:rFonts w:eastAsia="Times New Roman"/>
          <w:szCs w:val="20"/>
          <w:lang w:eastAsia="en-US"/>
        </w:rPr>
        <w:t xml:space="preserve"> concentrations</w:t>
      </w:r>
      <w:r w:rsidR="0088315A">
        <w:rPr>
          <w:rFonts w:eastAsia="Times New Roman"/>
          <w:szCs w:val="20"/>
          <w:lang w:eastAsia="en-US"/>
        </w:rPr>
        <w:t xml:space="preserve"> of </w:t>
      </w:r>
      <w:r w:rsidR="00D720E5">
        <w:rPr>
          <w:rFonts w:eastAsia="Times New Roman"/>
          <w:szCs w:val="20"/>
          <w:lang w:eastAsia="en-US"/>
        </w:rPr>
        <w:t xml:space="preserve">radionuclides of </w:t>
      </w:r>
      <w:r w:rsidR="0088315A">
        <w:rPr>
          <w:rFonts w:eastAsia="Times New Roman"/>
          <w:szCs w:val="20"/>
          <w:lang w:eastAsia="en-US"/>
        </w:rPr>
        <w:t xml:space="preserve">artificial </w:t>
      </w:r>
      <w:r w:rsidR="00D720E5">
        <w:rPr>
          <w:rFonts w:eastAsia="Times New Roman"/>
          <w:szCs w:val="20"/>
          <w:lang w:eastAsia="en-US"/>
        </w:rPr>
        <w:t xml:space="preserve">origin </w:t>
      </w:r>
      <w:r w:rsidRPr="0045207A">
        <w:rPr>
          <w:rFonts w:eastAsia="Times New Roman"/>
          <w:szCs w:val="20"/>
          <w:lang w:eastAsia="en-US"/>
        </w:rPr>
        <w:t xml:space="preserve">for bulk amounts of </w:t>
      </w:r>
      <w:r w:rsidR="00351131" w:rsidRPr="0045207A">
        <w:rPr>
          <w:rFonts w:eastAsia="Times New Roman"/>
          <w:szCs w:val="20"/>
          <w:lang w:eastAsia="en-US"/>
        </w:rPr>
        <w:t xml:space="preserve">solid </w:t>
      </w:r>
      <w:r w:rsidRPr="0045207A">
        <w:rPr>
          <w:rFonts w:eastAsia="Times New Roman"/>
          <w:szCs w:val="20"/>
          <w:lang w:eastAsia="en-US"/>
        </w:rPr>
        <w:t>material</w:t>
      </w:r>
      <w:r w:rsidR="00351131" w:rsidRPr="0045207A">
        <w:rPr>
          <w:rFonts w:eastAsia="Times New Roman"/>
          <w:szCs w:val="20"/>
          <w:lang w:eastAsia="en-US"/>
        </w:rPr>
        <w:t xml:space="preserve"> </w:t>
      </w:r>
      <w:r w:rsidR="003F381E">
        <w:rPr>
          <w:rFonts w:eastAsia="Times New Roman"/>
          <w:szCs w:val="20"/>
          <w:lang w:eastAsia="en-US"/>
        </w:rPr>
        <w:t>that</w:t>
      </w:r>
      <w:r w:rsidR="003F381E" w:rsidRPr="0045207A">
        <w:rPr>
          <w:rFonts w:eastAsia="Times New Roman"/>
          <w:szCs w:val="20"/>
          <w:lang w:eastAsia="en-US"/>
        </w:rPr>
        <w:t xml:space="preserve"> </w:t>
      </w:r>
      <w:r w:rsidR="00351131" w:rsidRPr="0045207A">
        <w:rPr>
          <w:rFonts w:eastAsia="Times New Roman"/>
          <w:szCs w:val="20"/>
          <w:lang w:eastAsia="en-US"/>
        </w:rPr>
        <w:t xml:space="preserve">may be exempted and </w:t>
      </w:r>
      <w:r w:rsidR="003F381E">
        <w:rPr>
          <w:rFonts w:eastAsia="Times New Roman"/>
          <w:szCs w:val="20"/>
          <w:lang w:eastAsia="en-US"/>
        </w:rPr>
        <w:t xml:space="preserve">solid </w:t>
      </w:r>
      <w:r w:rsidR="00351131" w:rsidRPr="0045207A">
        <w:rPr>
          <w:rFonts w:eastAsia="Times New Roman"/>
          <w:szCs w:val="20"/>
          <w:lang w:eastAsia="en-US"/>
        </w:rPr>
        <w:t xml:space="preserve">material </w:t>
      </w:r>
      <w:r w:rsidR="003F381E">
        <w:rPr>
          <w:rFonts w:eastAsia="Times New Roman"/>
          <w:szCs w:val="20"/>
          <w:lang w:eastAsia="en-US"/>
        </w:rPr>
        <w:t>that</w:t>
      </w:r>
      <w:r w:rsidR="003F381E" w:rsidRPr="0045207A">
        <w:rPr>
          <w:rFonts w:eastAsia="Times New Roman"/>
          <w:szCs w:val="20"/>
          <w:lang w:eastAsia="en-US"/>
        </w:rPr>
        <w:t xml:space="preserve"> </w:t>
      </w:r>
      <w:r w:rsidR="00351131" w:rsidRPr="0045207A">
        <w:rPr>
          <w:rFonts w:eastAsia="Times New Roman"/>
          <w:szCs w:val="20"/>
          <w:lang w:eastAsia="en-US"/>
        </w:rPr>
        <w:t>can be cleared</w:t>
      </w:r>
      <w:r w:rsidRPr="0045207A">
        <w:rPr>
          <w:rFonts w:eastAsia="Times New Roman"/>
          <w:szCs w:val="20"/>
          <w:lang w:eastAsia="en-US"/>
        </w:rPr>
        <w:t xml:space="preserve"> (Table</w:t>
      </w:r>
      <w:r w:rsidR="00920C52">
        <w:rPr>
          <w:rFonts w:eastAsia="Times New Roman"/>
          <w:szCs w:val="20"/>
          <w:lang w:eastAsia="en-US"/>
        </w:rPr>
        <w:t> </w:t>
      </w:r>
      <w:r w:rsidRPr="0045207A">
        <w:rPr>
          <w:rFonts w:eastAsia="Times New Roman"/>
          <w:szCs w:val="20"/>
          <w:lang w:eastAsia="en-US"/>
        </w:rPr>
        <w:t>I</w:t>
      </w:r>
      <w:r w:rsidR="00D720E5">
        <w:rPr>
          <w:rFonts w:eastAsia="Times New Roman"/>
          <w:szCs w:val="20"/>
          <w:lang w:eastAsia="en-US"/>
        </w:rPr>
        <w:t>.</w:t>
      </w:r>
      <w:r w:rsidRPr="0045207A">
        <w:rPr>
          <w:rFonts w:eastAsia="Times New Roman"/>
          <w:szCs w:val="20"/>
          <w:lang w:eastAsia="en-US"/>
        </w:rPr>
        <w:t>2</w:t>
      </w:r>
      <w:r w:rsidR="001D7C8E">
        <w:rPr>
          <w:rFonts w:eastAsia="Times New Roman"/>
          <w:szCs w:val="20"/>
          <w:lang w:eastAsia="en-US"/>
        </w:rPr>
        <w:t xml:space="preserve"> of GSR Part 3</w:t>
      </w:r>
      <w:r w:rsidR="00120A05">
        <w:rPr>
          <w:rFonts w:eastAsia="Times New Roman"/>
          <w:szCs w:val="20"/>
          <w:lang w:eastAsia="en-US"/>
        </w:rPr>
        <w:t xml:space="preserve"> [2]</w:t>
      </w:r>
      <w:r w:rsidRPr="0045207A">
        <w:rPr>
          <w:rFonts w:eastAsia="Times New Roman"/>
          <w:szCs w:val="20"/>
          <w:lang w:eastAsia="en-US"/>
        </w:rPr>
        <w:t xml:space="preserve">) </w:t>
      </w:r>
      <w:r w:rsidR="00893690" w:rsidRPr="0045207A">
        <w:rPr>
          <w:rFonts w:eastAsia="Times New Roman"/>
          <w:szCs w:val="20"/>
          <w:lang w:eastAsia="en-US"/>
        </w:rPr>
        <w:t xml:space="preserve">without further consideration. </w:t>
      </w:r>
    </w:p>
    <w:p w:rsidR="00893690" w:rsidRPr="0045207A" w:rsidRDefault="00893690"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rPr>
          <w:rFonts w:eastAsia="Times New Roman"/>
          <w:szCs w:val="20"/>
          <w:lang w:eastAsia="en-US"/>
        </w:rPr>
        <w:t>Para</w:t>
      </w:r>
      <w:r w:rsidR="008B2799">
        <w:rPr>
          <w:rFonts w:eastAsia="Times New Roman"/>
          <w:szCs w:val="20"/>
          <w:lang w:eastAsia="en-US"/>
        </w:rPr>
        <w:t>graph</w:t>
      </w:r>
      <w:r w:rsidRPr="0045207A">
        <w:rPr>
          <w:rFonts w:eastAsia="Times New Roman"/>
          <w:szCs w:val="20"/>
          <w:lang w:eastAsia="en-US"/>
        </w:rPr>
        <w:t xml:space="preserve"> </w:t>
      </w:r>
      <w:r w:rsidR="00927881">
        <w:rPr>
          <w:rFonts w:eastAsia="Times New Roman"/>
          <w:szCs w:val="20"/>
          <w:lang w:eastAsia="en-US"/>
        </w:rPr>
        <w:t>I</w:t>
      </w:r>
      <w:r w:rsidR="00CF2EA1">
        <w:rPr>
          <w:rFonts w:eastAsia="Times New Roman"/>
          <w:szCs w:val="20"/>
          <w:lang w:eastAsia="en-US"/>
        </w:rPr>
        <w:t>.</w:t>
      </w:r>
      <w:r w:rsidRPr="0045207A">
        <w:rPr>
          <w:rFonts w:eastAsia="Times New Roman"/>
          <w:szCs w:val="20"/>
          <w:lang w:eastAsia="en-US"/>
        </w:rPr>
        <w:t xml:space="preserve">3(c) of GSR Part 3 </w:t>
      </w:r>
      <w:r w:rsidR="00871F51">
        <w:rPr>
          <w:rFonts w:eastAsia="Times New Roman"/>
          <w:szCs w:val="20"/>
          <w:lang w:eastAsia="en-US"/>
        </w:rPr>
        <w:t xml:space="preserve">[2] </w:t>
      </w:r>
      <w:r w:rsidRPr="0045207A">
        <w:rPr>
          <w:rFonts w:eastAsia="Times New Roman"/>
          <w:szCs w:val="20"/>
          <w:lang w:eastAsia="en-US"/>
        </w:rPr>
        <w:t xml:space="preserve">provides for the exemption of </w:t>
      </w:r>
      <w:r w:rsidR="00650709" w:rsidRPr="0045207A">
        <w:rPr>
          <w:rFonts w:eastAsia="Times New Roman"/>
          <w:szCs w:val="20"/>
          <w:lang w:eastAsia="en-US"/>
        </w:rPr>
        <w:t>radiation generators</w:t>
      </w:r>
      <w:r w:rsidRPr="0045207A">
        <w:rPr>
          <w:rFonts w:eastAsia="Times New Roman"/>
          <w:szCs w:val="20"/>
          <w:lang w:eastAsia="en-US"/>
        </w:rPr>
        <w:t xml:space="preserve"> </w:t>
      </w:r>
      <w:r w:rsidR="008B2799">
        <w:rPr>
          <w:rFonts w:eastAsia="Times New Roman"/>
          <w:szCs w:val="20"/>
          <w:lang w:eastAsia="en-US"/>
        </w:rPr>
        <w:t xml:space="preserve">of a </w:t>
      </w:r>
      <w:r w:rsidRPr="0045207A">
        <w:rPr>
          <w:rFonts w:eastAsia="Times New Roman"/>
          <w:szCs w:val="20"/>
          <w:lang w:eastAsia="en-US"/>
        </w:rPr>
        <w:t>type approv</w:t>
      </w:r>
      <w:r w:rsidR="00C4035C">
        <w:rPr>
          <w:rFonts w:eastAsia="Times New Roman"/>
          <w:szCs w:val="20"/>
          <w:lang w:eastAsia="en-US"/>
        </w:rPr>
        <w:t>ed by the regulatory body, and p</w:t>
      </w:r>
      <w:r w:rsidRPr="0045207A">
        <w:rPr>
          <w:rFonts w:eastAsia="Times New Roman"/>
          <w:szCs w:val="20"/>
          <w:lang w:eastAsia="en-US"/>
        </w:rPr>
        <w:t>ara</w:t>
      </w:r>
      <w:r w:rsidR="00C4035C">
        <w:rPr>
          <w:rFonts w:eastAsia="Times New Roman"/>
          <w:szCs w:val="20"/>
          <w:lang w:eastAsia="en-US"/>
        </w:rPr>
        <w:t>.</w:t>
      </w:r>
      <w:r w:rsidRPr="0045207A">
        <w:rPr>
          <w:rFonts w:eastAsia="Times New Roman"/>
          <w:szCs w:val="20"/>
          <w:lang w:eastAsia="en-US"/>
        </w:rPr>
        <w:t xml:space="preserve"> I</w:t>
      </w:r>
      <w:r w:rsidR="003F381E">
        <w:rPr>
          <w:rFonts w:eastAsia="Times New Roman"/>
          <w:szCs w:val="20"/>
          <w:lang w:eastAsia="en-US"/>
        </w:rPr>
        <w:t>.</w:t>
      </w:r>
      <w:r w:rsidRPr="0045207A">
        <w:rPr>
          <w:rFonts w:eastAsia="Times New Roman"/>
          <w:szCs w:val="20"/>
          <w:lang w:eastAsia="en-US"/>
        </w:rPr>
        <w:t xml:space="preserve">6 </w:t>
      </w:r>
      <w:r w:rsidR="00340471" w:rsidRPr="0045207A">
        <w:rPr>
          <w:rFonts w:eastAsia="Times New Roman"/>
          <w:szCs w:val="20"/>
          <w:lang w:eastAsia="en-US"/>
        </w:rPr>
        <w:t xml:space="preserve">of GSR Part 3 </w:t>
      </w:r>
      <w:r w:rsidR="00340471">
        <w:rPr>
          <w:rFonts w:eastAsia="Times New Roman"/>
          <w:szCs w:val="20"/>
          <w:lang w:eastAsia="en-US"/>
        </w:rPr>
        <w:t xml:space="preserve">[2] provides </w:t>
      </w:r>
      <w:r w:rsidRPr="0045207A">
        <w:rPr>
          <w:rFonts w:eastAsia="Times New Roman"/>
          <w:szCs w:val="20"/>
          <w:lang w:eastAsia="en-US"/>
        </w:rPr>
        <w:t>for the exemption of equipment containing radioactive material</w:t>
      </w:r>
      <w:r w:rsidR="00650709" w:rsidRPr="0045207A">
        <w:rPr>
          <w:rFonts w:eastAsia="Times New Roman"/>
          <w:szCs w:val="20"/>
          <w:lang w:eastAsia="en-US"/>
        </w:rPr>
        <w:t xml:space="preserve"> </w:t>
      </w:r>
      <w:r w:rsidR="00CF2EA1">
        <w:rPr>
          <w:rFonts w:eastAsia="Times New Roman"/>
          <w:szCs w:val="20"/>
          <w:lang w:eastAsia="en-US"/>
        </w:rPr>
        <w:t xml:space="preserve">if it </w:t>
      </w:r>
      <w:r w:rsidR="008B2799">
        <w:rPr>
          <w:rFonts w:eastAsia="Times New Roman"/>
          <w:szCs w:val="20"/>
          <w:lang w:eastAsia="en-US"/>
        </w:rPr>
        <w:t xml:space="preserve">is of a </w:t>
      </w:r>
      <w:r w:rsidR="00650709" w:rsidRPr="0045207A">
        <w:rPr>
          <w:rFonts w:eastAsia="Times New Roman"/>
          <w:szCs w:val="20"/>
          <w:lang w:eastAsia="en-US"/>
        </w:rPr>
        <w:t>type approved by the regulatory body</w:t>
      </w:r>
      <w:r w:rsidRPr="0045207A">
        <w:rPr>
          <w:rFonts w:eastAsia="Times New Roman"/>
          <w:szCs w:val="20"/>
          <w:lang w:eastAsia="en-US"/>
        </w:rPr>
        <w:t xml:space="preserve"> </w:t>
      </w:r>
      <w:r w:rsidR="003F381E">
        <w:rPr>
          <w:rFonts w:eastAsia="Times New Roman"/>
          <w:szCs w:val="20"/>
          <w:lang w:eastAsia="en-US"/>
        </w:rPr>
        <w:t xml:space="preserve">and the material </w:t>
      </w:r>
      <w:r w:rsidR="008B2799">
        <w:rPr>
          <w:rFonts w:eastAsia="Times New Roman"/>
          <w:szCs w:val="20"/>
          <w:lang w:eastAsia="en-US"/>
        </w:rPr>
        <w:t>is</w:t>
      </w:r>
      <w:r w:rsidRPr="0045207A">
        <w:rPr>
          <w:rFonts w:eastAsia="Times New Roman"/>
          <w:szCs w:val="20"/>
          <w:lang w:eastAsia="en-US"/>
        </w:rPr>
        <w:t xml:space="preserve"> not otherwise exempted </w:t>
      </w:r>
      <w:r w:rsidR="00120A05">
        <w:rPr>
          <w:rFonts w:eastAsia="Times New Roman"/>
          <w:szCs w:val="20"/>
          <w:lang w:eastAsia="en-US"/>
        </w:rPr>
        <w:t xml:space="preserve">on the basis of </w:t>
      </w:r>
      <w:r w:rsidR="003F381E">
        <w:rPr>
          <w:rFonts w:eastAsia="Times New Roman"/>
          <w:szCs w:val="20"/>
          <w:lang w:eastAsia="en-US"/>
        </w:rPr>
        <w:t>its</w:t>
      </w:r>
      <w:r w:rsidR="003F381E" w:rsidRPr="0045207A">
        <w:rPr>
          <w:rFonts w:eastAsia="Times New Roman"/>
          <w:szCs w:val="20"/>
          <w:lang w:eastAsia="en-US"/>
        </w:rPr>
        <w:t xml:space="preserve"> </w:t>
      </w:r>
      <w:r w:rsidRPr="0045207A">
        <w:rPr>
          <w:rFonts w:eastAsia="Times New Roman"/>
          <w:szCs w:val="20"/>
          <w:lang w:eastAsia="en-US"/>
        </w:rPr>
        <w:t>activity (Table I</w:t>
      </w:r>
      <w:r w:rsidR="00CF2EA1">
        <w:rPr>
          <w:rFonts w:eastAsia="Times New Roman"/>
          <w:szCs w:val="20"/>
          <w:lang w:eastAsia="en-US"/>
        </w:rPr>
        <w:t>.</w:t>
      </w:r>
      <w:r w:rsidR="004468B8">
        <w:rPr>
          <w:rFonts w:eastAsia="Times New Roman"/>
          <w:szCs w:val="20"/>
          <w:lang w:eastAsia="en-US"/>
        </w:rPr>
        <w:t>1</w:t>
      </w:r>
      <w:r w:rsidR="001D7C8E">
        <w:rPr>
          <w:rFonts w:eastAsia="Times New Roman"/>
          <w:szCs w:val="20"/>
          <w:lang w:eastAsia="en-US"/>
        </w:rPr>
        <w:t xml:space="preserve"> of GSR Part 3</w:t>
      </w:r>
      <w:r w:rsidR="003F381E">
        <w:rPr>
          <w:rFonts w:eastAsia="Times New Roman"/>
          <w:szCs w:val="20"/>
          <w:lang w:eastAsia="en-US"/>
        </w:rPr>
        <w:t xml:space="preserve"> [2]</w:t>
      </w:r>
      <w:r w:rsidRPr="0045207A">
        <w:rPr>
          <w:rFonts w:eastAsia="Times New Roman"/>
          <w:szCs w:val="20"/>
          <w:lang w:eastAsia="en-US"/>
        </w:rPr>
        <w:t xml:space="preserve">). </w:t>
      </w:r>
    </w:p>
    <w:p w:rsidR="007F043C" w:rsidRPr="0045207A" w:rsidRDefault="007F043C"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Pr>
          <w:rFonts w:eastAsia="Times New Roman"/>
          <w:szCs w:val="20"/>
          <w:lang w:eastAsia="en-US"/>
        </w:rPr>
        <w:t xml:space="preserve">The provision in GSR Part 3 </w:t>
      </w:r>
      <w:r w:rsidR="00871F51">
        <w:rPr>
          <w:rFonts w:eastAsia="Times New Roman"/>
          <w:szCs w:val="20"/>
          <w:lang w:eastAsia="en-US"/>
        </w:rPr>
        <w:t xml:space="preserve">[2] </w:t>
      </w:r>
      <w:r>
        <w:rPr>
          <w:rFonts w:eastAsia="Times New Roman"/>
          <w:szCs w:val="20"/>
          <w:lang w:eastAsia="en-US"/>
        </w:rPr>
        <w:t xml:space="preserve">for the exemption of equipment containing sealed radioactive sources can be applied to consumer products. While there a limit </w:t>
      </w:r>
      <w:r w:rsidR="003F381E">
        <w:rPr>
          <w:rFonts w:eastAsia="Times New Roman"/>
          <w:szCs w:val="20"/>
          <w:lang w:eastAsia="en-US"/>
        </w:rPr>
        <w:t xml:space="preserve">applies to </w:t>
      </w:r>
      <w:r>
        <w:rPr>
          <w:rFonts w:eastAsia="Times New Roman"/>
          <w:szCs w:val="20"/>
          <w:lang w:eastAsia="en-US"/>
        </w:rPr>
        <w:t xml:space="preserve">dose rate outside the equipment, no limit applies to the activity of the sealed source. Thus, for example, smoke detectors </w:t>
      </w:r>
      <w:r w:rsidR="00CF2EA1">
        <w:rPr>
          <w:rFonts w:eastAsia="Times New Roman"/>
          <w:szCs w:val="20"/>
          <w:lang w:eastAsia="en-US"/>
        </w:rPr>
        <w:t xml:space="preserve">containing ionization chambers </w:t>
      </w:r>
      <w:r>
        <w:rPr>
          <w:rFonts w:eastAsia="Times New Roman"/>
          <w:szCs w:val="20"/>
          <w:lang w:eastAsia="en-US"/>
        </w:rPr>
        <w:t xml:space="preserve">with higher levels of activity than those specified for exemption can </w:t>
      </w:r>
      <w:r w:rsidR="003F381E">
        <w:rPr>
          <w:rFonts w:eastAsia="Times New Roman"/>
          <w:szCs w:val="20"/>
          <w:lang w:eastAsia="en-US"/>
        </w:rPr>
        <w:t xml:space="preserve">still </w:t>
      </w:r>
      <w:r>
        <w:rPr>
          <w:rFonts w:eastAsia="Times New Roman"/>
          <w:szCs w:val="20"/>
          <w:lang w:eastAsia="en-US"/>
        </w:rPr>
        <w:t xml:space="preserve">be exempted </w:t>
      </w:r>
      <w:r w:rsidR="00CF2EA1">
        <w:rPr>
          <w:rFonts w:eastAsia="Times New Roman"/>
          <w:szCs w:val="20"/>
          <w:lang w:eastAsia="en-US"/>
        </w:rPr>
        <w:t xml:space="preserve">without further consideration </w:t>
      </w:r>
      <w:r>
        <w:rPr>
          <w:rFonts w:eastAsia="Times New Roman"/>
          <w:szCs w:val="20"/>
          <w:lang w:eastAsia="en-US"/>
        </w:rPr>
        <w:t>provided that the conditions stipulated by the regulatory body in respect of dose rate and other criteria are met and they are of a type approved by the regulatory body [1</w:t>
      </w:r>
      <w:r w:rsidR="00484DC7">
        <w:rPr>
          <w:rFonts w:eastAsia="Times New Roman"/>
          <w:szCs w:val="20"/>
          <w:lang w:eastAsia="en-US"/>
        </w:rPr>
        <w:t>1</w:t>
      </w:r>
      <w:r>
        <w:rPr>
          <w:rFonts w:eastAsia="Times New Roman"/>
          <w:szCs w:val="20"/>
          <w:lang w:eastAsia="en-US"/>
        </w:rPr>
        <w:t>].</w:t>
      </w:r>
    </w:p>
    <w:p w:rsidR="002F2F0C" w:rsidRPr="00DE46AB" w:rsidRDefault="00AF1EB8"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rPr>
          <w:rFonts w:eastAsia="Times New Roman"/>
          <w:szCs w:val="20"/>
          <w:lang w:eastAsia="en-US"/>
        </w:rPr>
        <w:t>Schedule I of</w:t>
      </w:r>
      <w:r w:rsidR="008B2799">
        <w:rPr>
          <w:rFonts w:eastAsia="Times New Roman"/>
          <w:szCs w:val="20"/>
          <w:lang w:eastAsia="en-US"/>
        </w:rPr>
        <w:t xml:space="preserve"> GSR Part 3</w:t>
      </w:r>
      <w:r w:rsidRPr="0045207A">
        <w:rPr>
          <w:rFonts w:eastAsia="Times New Roman"/>
          <w:szCs w:val="20"/>
          <w:lang w:eastAsia="en-US"/>
        </w:rPr>
        <w:t xml:space="preserve"> </w:t>
      </w:r>
      <w:r w:rsidR="00871F51">
        <w:rPr>
          <w:rFonts w:eastAsia="Times New Roman"/>
          <w:szCs w:val="20"/>
          <w:lang w:eastAsia="en-US"/>
        </w:rPr>
        <w:t xml:space="preserve">[2] </w:t>
      </w:r>
      <w:r w:rsidRPr="0045207A">
        <w:rPr>
          <w:rFonts w:eastAsia="Times New Roman"/>
          <w:szCs w:val="20"/>
          <w:lang w:eastAsia="en-US"/>
        </w:rPr>
        <w:t xml:space="preserve">provides also for </w:t>
      </w:r>
      <w:r w:rsidR="00893690" w:rsidRPr="0045207A">
        <w:rPr>
          <w:rFonts w:eastAsia="Times New Roman"/>
          <w:szCs w:val="20"/>
          <w:lang w:eastAsia="en-US"/>
        </w:rPr>
        <w:t xml:space="preserve">the exemption </w:t>
      </w:r>
      <w:r w:rsidR="00650709" w:rsidRPr="0045207A">
        <w:rPr>
          <w:rFonts w:eastAsia="Times New Roman"/>
          <w:szCs w:val="20"/>
          <w:lang w:eastAsia="en-US"/>
        </w:rPr>
        <w:t xml:space="preserve">and clearance </w:t>
      </w:r>
      <w:r w:rsidR="00893690" w:rsidRPr="0045207A">
        <w:rPr>
          <w:rFonts w:eastAsia="Times New Roman"/>
          <w:szCs w:val="20"/>
          <w:lang w:eastAsia="en-US"/>
        </w:rPr>
        <w:t>of</w:t>
      </w:r>
      <w:r w:rsidR="00650709" w:rsidRPr="0045207A">
        <w:rPr>
          <w:rFonts w:eastAsia="Times New Roman"/>
          <w:szCs w:val="20"/>
          <w:lang w:eastAsia="en-US"/>
        </w:rPr>
        <w:t xml:space="preserve"> material containing</w:t>
      </w:r>
      <w:r w:rsidR="00351131" w:rsidRPr="0045207A">
        <w:rPr>
          <w:rFonts w:eastAsia="Times New Roman"/>
          <w:szCs w:val="20"/>
          <w:lang w:eastAsia="en-US"/>
        </w:rPr>
        <w:t xml:space="preserve"> </w:t>
      </w:r>
      <w:r w:rsidR="00893690" w:rsidRPr="0045207A">
        <w:rPr>
          <w:rFonts w:eastAsia="Times New Roman"/>
          <w:szCs w:val="20"/>
          <w:lang w:eastAsia="en-US"/>
        </w:rPr>
        <w:t>radionuclides of natural origin</w:t>
      </w:r>
      <w:r w:rsidR="00351131" w:rsidRPr="0045207A">
        <w:rPr>
          <w:rFonts w:eastAsia="Times New Roman"/>
          <w:szCs w:val="20"/>
          <w:lang w:eastAsia="en-US"/>
        </w:rPr>
        <w:t>. Table I</w:t>
      </w:r>
      <w:r w:rsidR="00D720E5">
        <w:rPr>
          <w:rFonts w:eastAsia="Times New Roman"/>
          <w:szCs w:val="20"/>
          <w:lang w:eastAsia="en-US"/>
        </w:rPr>
        <w:t>.</w:t>
      </w:r>
      <w:r w:rsidR="00351131" w:rsidRPr="0045207A">
        <w:rPr>
          <w:rFonts w:eastAsia="Times New Roman"/>
          <w:szCs w:val="20"/>
          <w:lang w:eastAsia="en-US"/>
        </w:rPr>
        <w:t xml:space="preserve">3 </w:t>
      </w:r>
      <w:r w:rsidR="001D7C8E">
        <w:rPr>
          <w:rFonts w:eastAsia="Times New Roman"/>
          <w:szCs w:val="20"/>
          <w:lang w:eastAsia="en-US"/>
        </w:rPr>
        <w:t xml:space="preserve">of GSR Part 3 </w:t>
      </w:r>
      <w:r w:rsidR="00A85941">
        <w:rPr>
          <w:rFonts w:eastAsia="Times New Roman"/>
          <w:szCs w:val="20"/>
          <w:lang w:eastAsia="en-US"/>
        </w:rPr>
        <w:t xml:space="preserve">[2] </w:t>
      </w:r>
      <w:r w:rsidR="00351131" w:rsidRPr="0045207A">
        <w:t xml:space="preserve">establishes activity concentration levels for material containing natural radionuclides </w:t>
      </w:r>
      <w:r w:rsidR="00771390">
        <w:t>that</w:t>
      </w:r>
      <w:r w:rsidR="00771390" w:rsidRPr="0045207A">
        <w:t xml:space="preserve"> </w:t>
      </w:r>
      <w:r w:rsidR="00351131" w:rsidRPr="0045207A">
        <w:t xml:space="preserve">may be cleared without further consideration. </w:t>
      </w:r>
      <w:r w:rsidR="00351131" w:rsidRPr="0045207A">
        <w:rPr>
          <w:rFonts w:eastAsia="Times New Roman"/>
          <w:szCs w:val="20"/>
          <w:lang w:eastAsia="en-US"/>
        </w:rPr>
        <w:t>B</w:t>
      </w:r>
      <w:r w:rsidRPr="0045207A">
        <w:rPr>
          <w:rFonts w:eastAsia="Times New Roman"/>
          <w:szCs w:val="20"/>
          <w:lang w:eastAsia="en-US"/>
        </w:rPr>
        <w:t xml:space="preserve">ased on a dose criterion of the order of 1 </w:t>
      </w:r>
      <w:proofErr w:type="spellStart"/>
      <w:r w:rsidRPr="0045207A">
        <w:rPr>
          <w:rFonts w:eastAsia="Times New Roman"/>
          <w:szCs w:val="20"/>
          <w:lang w:eastAsia="en-US"/>
        </w:rPr>
        <w:t>mSv</w:t>
      </w:r>
      <w:proofErr w:type="spellEnd"/>
      <w:r w:rsidRPr="0045207A">
        <w:rPr>
          <w:rFonts w:eastAsia="Times New Roman"/>
          <w:szCs w:val="20"/>
          <w:lang w:eastAsia="en-US"/>
        </w:rPr>
        <w:t xml:space="preserve">, commensurate with typical doses </w:t>
      </w:r>
      <w:r w:rsidRPr="00F543D6">
        <w:rPr>
          <w:rFonts w:eastAsia="Times New Roman"/>
          <w:szCs w:val="20"/>
          <w:lang w:eastAsia="en-US"/>
        </w:rPr>
        <w:t>due to natural background levels of radiation</w:t>
      </w:r>
      <w:r w:rsidR="00351131" w:rsidRPr="00DE46AB">
        <w:rPr>
          <w:rFonts w:eastAsia="Times New Roman"/>
          <w:szCs w:val="20"/>
          <w:lang w:eastAsia="en-US"/>
        </w:rPr>
        <w:t>, p</w:t>
      </w:r>
      <w:r w:rsidR="00893690" w:rsidRPr="00DE46AB">
        <w:rPr>
          <w:rFonts w:eastAsia="Times New Roman"/>
          <w:szCs w:val="20"/>
          <w:lang w:eastAsia="en-US"/>
        </w:rPr>
        <w:t>ara</w:t>
      </w:r>
      <w:r w:rsidR="00C4035C">
        <w:rPr>
          <w:rFonts w:eastAsia="Times New Roman"/>
          <w:szCs w:val="20"/>
          <w:lang w:eastAsia="en-US"/>
        </w:rPr>
        <w:t>.</w:t>
      </w:r>
      <w:r w:rsidR="00893690" w:rsidRPr="00DE46AB">
        <w:rPr>
          <w:rFonts w:eastAsia="Times New Roman"/>
          <w:szCs w:val="20"/>
          <w:lang w:eastAsia="en-US"/>
        </w:rPr>
        <w:t xml:space="preserve"> I</w:t>
      </w:r>
      <w:r w:rsidR="005418B4">
        <w:rPr>
          <w:rFonts w:eastAsia="Times New Roman"/>
          <w:szCs w:val="20"/>
          <w:lang w:eastAsia="en-US"/>
        </w:rPr>
        <w:t>.</w:t>
      </w:r>
      <w:r w:rsidR="00893690" w:rsidRPr="00DE46AB">
        <w:rPr>
          <w:rFonts w:eastAsia="Times New Roman"/>
          <w:szCs w:val="20"/>
          <w:lang w:eastAsia="en-US"/>
        </w:rPr>
        <w:t xml:space="preserve">4 </w:t>
      </w:r>
      <w:r w:rsidR="00A85941">
        <w:rPr>
          <w:rFonts w:eastAsia="Times New Roman"/>
          <w:szCs w:val="20"/>
          <w:lang w:eastAsia="en-US"/>
        </w:rPr>
        <w:t xml:space="preserve">of GSR Part 3 [2] </w:t>
      </w:r>
      <w:r w:rsidRPr="00DE46AB">
        <w:t xml:space="preserve">provides for </w:t>
      </w:r>
      <w:r w:rsidR="00A85941">
        <w:t xml:space="preserve">the </w:t>
      </w:r>
      <w:r w:rsidR="00650709" w:rsidRPr="00DE46AB">
        <w:t>exemption of bulk amounts of material</w:t>
      </w:r>
      <w:r w:rsidR="00351131" w:rsidRPr="00DE46AB">
        <w:t xml:space="preserve"> </w:t>
      </w:r>
      <w:r w:rsidR="00A85941">
        <w:t xml:space="preserve">on a case by case basis </w:t>
      </w:r>
      <w:r w:rsidR="00351131" w:rsidRPr="00DE46AB">
        <w:t xml:space="preserve">and </w:t>
      </w:r>
      <w:r w:rsidR="00351131" w:rsidRPr="00DE46AB">
        <w:rPr>
          <w:rFonts w:eastAsia="Times New Roman"/>
          <w:szCs w:val="20"/>
          <w:lang w:eastAsia="en-US"/>
        </w:rPr>
        <w:t>p</w:t>
      </w:r>
      <w:r w:rsidRPr="00DE46AB">
        <w:rPr>
          <w:rFonts w:eastAsia="Times New Roman"/>
          <w:szCs w:val="20"/>
          <w:lang w:eastAsia="en-US"/>
        </w:rPr>
        <w:t>ara</w:t>
      </w:r>
      <w:r w:rsidR="00C4035C">
        <w:rPr>
          <w:rFonts w:eastAsia="Times New Roman"/>
          <w:szCs w:val="20"/>
          <w:lang w:eastAsia="en-US"/>
        </w:rPr>
        <w:t>.</w:t>
      </w:r>
      <w:r w:rsidRPr="00DE46AB">
        <w:rPr>
          <w:rFonts w:eastAsia="Times New Roman"/>
          <w:szCs w:val="20"/>
          <w:lang w:eastAsia="en-US"/>
        </w:rPr>
        <w:t xml:space="preserve"> I</w:t>
      </w:r>
      <w:r w:rsidR="00CF2EA1">
        <w:rPr>
          <w:rFonts w:eastAsia="Times New Roman"/>
          <w:szCs w:val="20"/>
          <w:lang w:eastAsia="en-US"/>
        </w:rPr>
        <w:t>.</w:t>
      </w:r>
      <w:r w:rsidRPr="00DE46AB">
        <w:rPr>
          <w:rFonts w:eastAsia="Times New Roman"/>
          <w:szCs w:val="20"/>
          <w:lang w:eastAsia="en-US"/>
        </w:rPr>
        <w:t xml:space="preserve">12(c) </w:t>
      </w:r>
      <w:r w:rsidR="00A85941">
        <w:rPr>
          <w:rFonts w:eastAsia="Times New Roman"/>
          <w:szCs w:val="20"/>
          <w:lang w:eastAsia="en-US"/>
        </w:rPr>
        <w:t xml:space="preserve">of GSR Part 3 [2] </w:t>
      </w:r>
      <w:r w:rsidRPr="00DE46AB">
        <w:rPr>
          <w:rFonts w:eastAsia="Times New Roman"/>
          <w:szCs w:val="20"/>
          <w:lang w:eastAsia="en-US"/>
        </w:rPr>
        <w:t xml:space="preserve">provides for the clearance </w:t>
      </w:r>
      <w:r w:rsidR="000203C7" w:rsidRPr="00DE46AB">
        <w:rPr>
          <w:rFonts w:eastAsia="Times New Roman"/>
          <w:szCs w:val="20"/>
          <w:lang w:eastAsia="en-US"/>
        </w:rPr>
        <w:t>of residues</w:t>
      </w:r>
      <w:r w:rsidRPr="00DE46AB">
        <w:rPr>
          <w:rFonts w:eastAsia="Times New Roman"/>
          <w:szCs w:val="20"/>
          <w:lang w:eastAsia="en-US"/>
        </w:rPr>
        <w:t xml:space="preserve"> for recycling into construction materials or </w:t>
      </w:r>
      <w:r w:rsidRPr="00DE46AB">
        <w:t xml:space="preserve">for </w:t>
      </w:r>
      <w:r w:rsidR="00A85941">
        <w:t xml:space="preserve">which </w:t>
      </w:r>
      <w:r w:rsidRPr="00DE46AB">
        <w:t xml:space="preserve">disposal </w:t>
      </w:r>
      <w:r w:rsidR="00A85941">
        <w:t xml:space="preserve">is </w:t>
      </w:r>
      <w:r w:rsidRPr="00DE46AB">
        <w:t>liable to cause the contamination of drinking water</w:t>
      </w:r>
      <w:r w:rsidR="00A85941">
        <w:t xml:space="preserve"> supplies</w:t>
      </w:r>
      <w:r w:rsidRPr="00DE46AB">
        <w:t xml:space="preserve">. </w:t>
      </w:r>
    </w:p>
    <w:p w:rsidR="0019795E" w:rsidRPr="00DE46AB"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Further guidance on exemption</w:t>
      </w:r>
      <w:r w:rsidR="00351131" w:rsidRPr="00DE46AB">
        <w:rPr>
          <w:rFonts w:eastAsia="Times New Roman"/>
          <w:szCs w:val="20"/>
          <w:lang w:eastAsia="en-US"/>
        </w:rPr>
        <w:t xml:space="preserve"> and clearance</w:t>
      </w:r>
      <w:r w:rsidRPr="00DE46AB">
        <w:rPr>
          <w:rFonts w:eastAsia="Times New Roman"/>
          <w:szCs w:val="20"/>
          <w:lang w:eastAsia="en-US"/>
        </w:rPr>
        <w:t xml:space="preserve"> may be found in RS-G-1.7 [</w:t>
      </w:r>
      <w:r w:rsidR="008576A0">
        <w:rPr>
          <w:rFonts w:eastAsia="Times New Roman"/>
          <w:szCs w:val="20"/>
          <w:lang w:eastAsia="en-US"/>
        </w:rPr>
        <w:t>2</w:t>
      </w:r>
      <w:r w:rsidR="003579DE">
        <w:rPr>
          <w:rFonts w:eastAsia="Times New Roman"/>
          <w:szCs w:val="20"/>
          <w:lang w:eastAsia="en-US"/>
        </w:rPr>
        <w:t>2</w:t>
      </w:r>
      <w:r w:rsidRPr="00DE46AB">
        <w:rPr>
          <w:rFonts w:eastAsia="Times New Roman"/>
          <w:szCs w:val="20"/>
          <w:lang w:eastAsia="en-US"/>
        </w:rPr>
        <w:t>].</w:t>
      </w:r>
      <w:r w:rsidR="00025401" w:rsidRPr="00DE46AB">
        <w:rPr>
          <w:rFonts w:eastAsia="Times New Roman"/>
          <w:szCs w:val="20"/>
          <w:lang w:eastAsia="en-US"/>
        </w:rPr>
        <w:t xml:space="preserve"> </w:t>
      </w:r>
    </w:p>
    <w:p w:rsidR="000203C7" w:rsidRPr="00DE46AB" w:rsidRDefault="000203C7" w:rsidP="00477ED7">
      <w:pPr>
        <w:pStyle w:val="ListParagraph"/>
        <w:tabs>
          <w:tab w:val="left" w:pos="709"/>
        </w:tabs>
        <w:autoSpaceDE w:val="0"/>
        <w:autoSpaceDN w:val="0"/>
        <w:adjustRightInd w:val="0"/>
        <w:spacing w:after="120" w:line="360" w:lineRule="auto"/>
        <w:ind w:left="0"/>
        <w:contextualSpacing w:val="0"/>
        <w:jc w:val="both"/>
        <w:rPr>
          <w:rFonts w:eastAsia="Times New Roman"/>
          <w:szCs w:val="20"/>
          <w:lang w:eastAsia="en-US"/>
        </w:rPr>
      </w:pPr>
      <w:r w:rsidRPr="00DE46AB">
        <w:rPr>
          <w:b/>
        </w:rPr>
        <w:t>Notification and authorization</w:t>
      </w:r>
    </w:p>
    <w:p w:rsidR="00A85941"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Within a graded approach for protection of the public and the environment, notification to the regulatory body</w:t>
      </w:r>
      <w:r w:rsidR="00A85941">
        <w:rPr>
          <w:rFonts w:eastAsia="Times New Roman"/>
          <w:szCs w:val="20"/>
          <w:lang w:eastAsia="en-US"/>
        </w:rPr>
        <w:t xml:space="preserve"> alone</w:t>
      </w:r>
      <w:r w:rsidR="003544D3" w:rsidRPr="00DE46AB">
        <w:rPr>
          <w:rFonts w:eastAsia="Times New Roman"/>
          <w:szCs w:val="20"/>
          <w:lang w:eastAsia="en-US"/>
        </w:rPr>
        <w:t xml:space="preserve"> </w:t>
      </w:r>
    </w:p>
    <w:p w:rsidR="00824990" w:rsidRPr="003579DE" w:rsidRDefault="007F19DB" w:rsidP="00BB4496">
      <w:pPr>
        <w:tabs>
          <w:tab w:val="left" w:pos="709"/>
        </w:tabs>
        <w:spacing w:after="120" w:line="360" w:lineRule="auto"/>
        <w:ind w:left="567"/>
      </w:pPr>
      <w:r w:rsidRPr="00392E6D">
        <w:t>“</w:t>
      </w:r>
      <w:r w:rsidR="003544D3" w:rsidRPr="00392E6D">
        <w:t xml:space="preserve">is sufficient provided that </w:t>
      </w:r>
      <w:r w:rsidR="0019795E" w:rsidRPr="00392E6D">
        <w:t xml:space="preserve">the exposures expected to be associated with the practice or action are </w:t>
      </w:r>
      <w:r w:rsidR="0019795E" w:rsidRPr="00E36DB1">
        <w:t>unli</w:t>
      </w:r>
      <w:r w:rsidR="0019795E" w:rsidRPr="00CD6638">
        <w:t>kely to exceed a small fraction, as specified by the regulatory body, of the relevant limits, and that the likelihood and magnitude of potential exposures and any other potential detrimental consequences are negligible</w:t>
      </w:r>
      <w:r w:rsidRPr="00CD6638">
        <w:t>”</w:t>
      </w:r>
      <w:r w:rsidR="008576A0" w:rsidRPr="00FF3614">
        <w:t xml:space="preserve"> </w:t>
      </w:r>
      <w:r w:rsidR="003544D3" w:rsidRPr="0044556B">
        <w:t>(</w:t>
      </w:r>
      <w:r w:rsidR="00CF2EA1" w:rsidRPr="008570BA">
        <w:t>para. 3.7 of GSR Part 3</w:t>
      </w:r>
      <w:r w:rsidR="003544D3" w:rsidRPr="00735119">
        <w:t xml:space="preserve"> </w:t>
      </w:r>
      <w:r w:rsidR="00C05FFE" w:rsidRPr="00735119">
        <w:t>[2]</w:t>
      </w:r>
      <w:r w:rsidR="003544D3" w:rsidRPr="00E560A5">
        <w:t>)</w:t>
      </w:r>
      <w:r w:rsidR="008576A0" w:rsidRPr="00E560A5">
        <w:t>.</w:t>
      </w:r>
      <w:r w:rsidR="0019795E" w:rsidRPr="00DB7ABE">
        <w:t xml:space="preserve"> </w:t>
      </w:r>
    </w:p>
    <w:p w:rsidR="00824990" w:rsidRPr="00DE46AB"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lastRenderedPageBreak/>
        <w:t xml:space="preserve">The exposure and risk </w:t>
      </w:r>
      <w:r w:rsidR="00A85941">
        <w:rPr>
          <w:rFonts w:eastAsia="Times New Roman"/>
          <w:szCs w:val="20"/>
          <w:lang w:eastAsia="en-US"/>
        </w:rPr>
        <w:t xml:space="preserve">associated with </w:t>
      </w:r>
      <w:r w:rsidRPr="00DE46AB">
        <w:rPr>
          <w:rFonts w:eastAsia="Times New Roman"/>
          <w:szCs w:val="20"/>
          <w:lang w:eastAsia="en-US"/>
        </w:rPr>
        <w:t xml:space="preserve">activities subject to notification is, by definition, so small as not to warrant many or sometimes any additional control measures to ensure protection of the public and </w:t>
      </w:r>
      <w:r w:rsidR="00A85941" w:rsidRPr="00DE46AB">
        <w:rPr>
          <w:rFonts w:eastAsia="Times New Roman"/>
          <w:szCs w:val="20"/>
          <w:lang w:eastAsia="en-US"/>
        </w:rPr>
        <w:t xml:space="preserve">protection of </w:t>
      </w:r>
      <w:r w:rsidRPr="00DE46AB">
        <w:rPr>
          <w:rFonts w:eastAsia="Times New Roman"/>
          <w:szCs w:val="20"/>
          <w:lang w:eastAsia="en-US"/>
        </w:rPr>
        <w:t xml:space="preserve">the environment. Decisions regarding the use of notification alone </w:t>
      </w:r>
      <w:r w:rsidR="00CA2DB2" w:rsidRPr="00DE46AB">
        <w:rPr>
          <w:rFonts w:eastAsia="Times New Roman"/>
          <w:szCs w:val="20"/>
          <w:lang w:eastAsia="en-US"/>
        </w:rPr>
        <w:t>should</w:t>
      </w:r>
      <w:r w:rsidRPr="00F543D6">
        <w:rPr>
          <w:rFonts w:eastAsia="Times New Roman"/>
          <w:szCs w:val="20"/>
          <w:lang w:eastAsia="en-US"/>
        </w:rPr>
        <w:t xml:space="preserve"> be based on a generic assessment of safety. The doses </w:t>
      </w:r>
      <w:r w:rsidR="00800CF7" w:rsidRPr="00F543D6">
        <w:rPr>
          <w:rFonts w:eastAsia="Times New Roman"/>
          <w:szCs w:val="20"/>
          <w:lang w:eastAsia="en-US"/>
        </w:rPr>
        <w:t xml:space="preserve">expected </w:t>
      </w:r>
      <w:r w:rsidRPr="00F543D6">
        <w:rPr>
          <w:rFonts w:eastAsia="Times New Roman"/>
          <w:szCs w:val="20"/>
          <w:lang w:eastAsia="en-US"/>
        </w:rPr>
        <w:t xml:space="preserve">from notified activities </w:t>
      </w:r>
      <w:r w:rsidR="00CA2DB2" w:rsidRPr="00DE46AB">
        <w:rPr>
          <w:rFonts w:eastAsia="Times New Roman"/>
          <w:szCs w:val="20"/>
          <w:lang w:eastAsia="en-US"/>
        </w:rPr>
        <w:t>should</w:t>
      </w:r>
      <w:r w:rsidRPr="00F543D6">
        <w:rPr>
          <w:rFonts w:eastAsia="Times New Roman"/>
          <w:szCs w:val="20"/>
          <w:lang w:eastAsia="en-US"/>
        </w:rPr>
        <w:t xml:space="preserve"> be </w:t>
      </w:r>
      <w:r w:rsidR="000D65BC">
        <w:rPr>
          <w:rFonts w:eastAsia="Times New Roman"/>
          <w:szCs w:val="20"/>
          <w:lang w:eastAsia="en-US"/>
        </w:rPr>
        <w:t xml:space="preserve">sufficiently </w:t>
      </w:r>
      <w:r w:rsidRPr="00F543D6">
        <w:rPr>
          <w:rFonts w:eastAsia="Times New Roman"/>
          <w:szCs w:val="20"/>
          <w:lang w:eastAsia="en-US"/>
        </w:rPr>
        <w:t>low that there is no need for furt</w:t>
      </w:r>
      <w:r w:rsidRPr="00DE46AB">
        <w:rPr>
          <w:rFonts w:eastAsia="Times New Roman"/>
          <w:szCs w:val="20"/>
          <w:lang w:eastAsia="en-US"/>
        </w:rPr>
        <w:t xml:space="preserve">her consideration regarding public exposures or </w:t>
      </w:r>
      <w:r w:rsidR="000D65BC">
        <w:rPr>
          <w:rFonts w:eastAsia="Times New Roman"/>
          <w:szCs w:val="20"/>
          <w:lang w:eastAsia="en-US"/>
        </w:rPr>
        <w:t xml:space="preserve">for </w:t>
      </w:r>
      <w:r w:rsidRPr="00DE46AB">
        <w:rPr>
          <w:rFonts w:eastAsia="Times New Roman"/>
          <w:szCs w:val="20"/>
          <w:lang w:eastAsia="en-US"/>
        </w:rPr>
        <w:t xml:space="preserve">investigations or assessments with respect to environmental protection. </w:t>
      </w:r>
      <w:r w:rsidR="00E06BC5">
        <w:rPr>
          <w:rFonts w:eastAsia="Times New Roman"/>
          <w:szCs w:val="20"/>
          <w:lang w:eastAsia="en-US"/>
        </w:rPr>
        <w:t>Notification is not required for exempt</w:t>
      </w:r>
      <w:r w:rsidR="00CF2EA1">
        <w:rPr>
          <w:rFonts w:eastAsia="Times New Roman"/>
          <w:szCs w:val="20"/>
          <w:lang w:eastAsia="en-US"/>
        </w:rPr>
        <w:t>ed</w:t>
      </w:r>
      <w:r w:rsidR="00E06BC5">
        <w:rPr>
          <w:rFonts w:eastAsia="Times New Roman"/>
          <w:szCs w:val="20"/>
          <w:lang w:eastAsia="en-US"/>
        </w:rPr>
        <w:t xml:space="preserve"> sources or practices.</w:t>
      </w:r>
      <w:r w:rsidRPr="00DE46AB">
        <w:rPr>
          <w:rFonts w:eastAsia="Times New Roman"/>
          <w:szCs w:val="20"/>
          <w:lang w:eastAsia="en-US"/>
        </w:rPr>
        <w:t xml:space="preserve"> </w:t>
      </w:r>
    </w:p>
    <w:p w:rsidR="00FD4C99" w:rsidRDefault="00550DD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Para</w:t>
      </w:r>
      <w:r w:rsidR="008B2799">
        <w:rPr>
          <w:rFonts w:eastAsia="Times New Roman"/>
          <w:szCs w:val="20"/>
          <w:lang w:eastAsia="en-US"/>
        </w:rPr>
        <w:t>graph</w:t>
      </w:r>
      <w:r w:rsidRPr="00DE46AB">
        <w:rPr>
          <w:rFonts w:eastAsia="Times New Roman"/>
          <w:szCs w:val="20"/>
          <w:lang w:eastAsia="en-US"/>
        </w:rPr>
        <w:t xml:space="preserve"> 3.8 of </w:t>
      </w:r>
      <w:r w:rsidR="001F45D8">
        <w:rPr>
          <w:rFonts w:eastAsia="Times New Roman"/>
          <w:szCs w:val="20"/>
          <w:lang w:eastAsia="en-US"/>
        </w:rPr>
        <w:t>GSR Part 3</w:t>
      </w:r>
      <w:r w:rsidRPr="00DE46AB">
        <w:rPr>
          <w:rFonts w:eastAsia="Times New Roman"/>
          <w:szCs w:val="20"/>
          <w:lang w:eastAsia="en-US"/>
        </w:rPr>
        <w:t xml:space="preserve"> </w:t>
      </w:r>
      <w:r w:rsidR="00871F51">
        <w:rPr>
          <w:rFonts w:eastAsia="Times New Roman"/>
          <w:szCs w:val="20"/>
          <w:lang w:eastAsia="en-US"/>
        </w:rPr>
        <w:t xml:space="preserve">[2] </w:t>
      </w:r>
      <w:r w:rsidR="00FD4C99">
        <w:rPr>
          <w:rFonts w:eastAsia="Times New Roman"/>
          <w:szCs w:val="20"/>
          <w:lang w:eastAsia="en-US"/>
        </w:rPr>
        <w:t>states</w:t>
      </w:r>
      <w:r w:rsidR="00FD4C99" w:rsidRPr="00DE46AB">
        <w:rPr>
          <w:rFonts w:eastAsia="Times New Roman"/>
          <w:szCs w:val="20"/>
          <w:lang w:eastAsia="en-US"/>
        </w:rPr>
        <w:t xml:space="preserve"> </w:t>
      </w:r>
      <w:r w:rsidRPr="00DE46AB">
        <w:rPr>
          <w:rFonts w:eastAsia="Times New Roman"/>
          <w:szCs w:val="20"/>
          <w:lang w:eastAsia="en-US"/>
        </w:rPr>
        <w:t xml:space="preserve">that </w:t>
      </w:r>
    </w:p>
    <w:p w:rsidR="00824990" w:rsidRPr="00392E6D" w:rsidRDefault="007F19DB" w:rsidP="00BB4496">
      <w:pPr>
        <w:tabs>
          <w:tab w:val="left" w:pos="709"/>
        </w:tabs>
        <w:spacing w:after="120" w:line="360" w:lineRule="auto"/>
        <w:ind w:left="567"/>
      </w:pPr>
      <w:r w:rsidRPr="00392E6D">
        <w:t>“</w:t>
      </w:r>
      <w:r w:rsidR="00550DD2" w:rsidRPr="00DE46AB">
        <w:t>Any person or organization intending to carry out any of the actions specified in para. 3.5</w:t>
      </w:r>
      <w:r w:rsidR="000D65BC">
        <w:t xml:space="preserve"> [of GSR Part 3 [2]]</w:t>
      </w:r>
      <w:r w:rsidR="005418B4">
        <w:rPr>
          <w:rStyle w:val="FootnoteReference"/>
        </w:rPr>
        <w:footnoteReference w:id="2"/>
      </w:r>
      <w:r w:rsidR="00550DD2" w:rsidRPr="00DE46AB">
        <w:t xml:space="preserve"> shall, unless notification alone is sufficient, apply to the regulatory body for authorization, which shall take the form of either registration or licensing.</w:t>
      </w:r>
      <w:r w:rsidRPr="00DE46AB">
        <w:t>”</w:t>
      </w:r>
    </w:p>
    <w:p w:rsidR="00BB2A3B" w:rsidRDefault="0019795E" w:rsidP="00BB2A3B">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 xml:space="preserve">The acceptance </w:t>
      </w:r>
      <w:r w:rsidR="008730E8">
        <w:rPr>
          <w:rFonts w:eastAsia="Times New Roman"/>
          <w:szCs w:val="20"/>
          <w:lang w:eastAsia="en-US"/>
        </w:rPr>
        <w:t>that</w:t>
      </w:r>
      <w:r w:rsidRPr="00DE46AB">
        <w:rPr>
          <w:rFonts w:eastAsia="Times New Roman"/>
          <w:szCs w:val="20"/>
          <w:lang w:eastAsia="en-US"/>
        </w:rPr>
        <w:t xml:space="preserve"> a certain kind of practice </w:t>
      </w:r>
      <w:r w:rsidR="008730E8">
        <w:rPr>
          <w:rFonts w:eastAsia="Times New Roman"/>
          <w:szCs w:val="20"/>
          <w:lang w:eastAsia="en-US"/>
        </w:rPr>
        <w:t xml:space="preserve">is suitable for registration </w:t>
      </w:r>
      <w:r w:rsidRPr="00DE46AB">
        <w:rPr>
          <w:rFonts w:eastAsia="Times New Roman"/>
          <w:szCs w:val="20"/>
          <w:lang w:eastAsia="en-US"/>
        </w:rPr>
        <w:t xml:space="preserve">is determined by the regulatory body, </w:t>
      </w:r>
      <w:r w:rsidR="009E6C38">
        <w:rPr>
          <w:rFonts w:eastAsia="Times New Roman"/>
          <w:szCs w:val="20"/>
          <w:lang w:eastAsia="en-US"/>
        </w:rPr>
        <w:t>which also determines</w:t>
      </w:r>
      <w:r w:rsidR="009E6C38" w:rsidRPr="00DE46AB">
        <w:rPr>
          <w:rFonts w:eastAsia="Times New Roman"/>
          <w:szCs w:val="20"/>
          <w:lang w:eastAsia="en-US"/>
        </w:rPr>
        <w:t xml:space="preserve"> </w:t>
      </w:r>
      <w:r w:rsidRPr="00DE46AB">
        <w:rPr>
          <w:rFonts w:eastAsia="Times New Roman"/>
          <w:szCs w:val="20"/>
          <w:lang w:eastAsia="en-US"/>
        </w:rPr>
        <w:t xml:space="preserve">the accompanying conditions </w:t>
      </w:r>
      <w:r w:rsidR="005418B4">
        <w:rPr>
          <w:rFonts w:eastAsia="Times New Roman"/>
          <w:szCs w:val="20"/>
          <w:lang w:eastAsia="en-US"/>
        </w:rPr>
        <w:t>(</w:t>
      </w:r>
      <w:r w:rsidRPr="00DE46AB">
        <w:rPr>
          <w:rFonts w:eastAsia="Times New Roman"/>
          <w:szCs w:val="20"/>
          <w:lang w:eastAsia="en-US"/>
        </w:rPr>
        <w:t xml:space="preserve">e.g. provision of working procedures, training of personnel, </w:t>
      </w:r>
      <w:proofErr w:type="gramStart"/>
      <w:r w:rsidRPr="00DE46AB">
        <w:rPr>
          <w:rFonts w:eastAsia="Times New Roman"/>
          <w:szCs w:val="20"/>
          <w:lang w:eastAsia="en-US"/>
        </w:rPr>
        <w:t>design</w:t>
      </w:r>
      <w:proofErr w:type="gramEnd"/>
      <w:r w:rsidRPr="00DE46AB">
        <w:rPr>
          <w:rFonts w:eastAsia="Times New Roman"/>
          <w:szCs w:val="20"/>
          <w:lang w:eastAsia="en-US"/>
        </w:rPr>
        <w:t xml:space="preserve"> of the equipment</w:t>
      </w:r>
      <w:r w:rsidR="005418B4">
        <w:rPr>
          <w:rFonts w:eastAsia="Times New Roman"/>
          <w:szCs w:val="20"/>
          <w:lang w:eastAsia="en-US"/>
        </w:rPr>
        <w:t>)</w:t>
      </w:r>
      <w:r w:rsidRPr="00DE46AB">
        <w:rPr>
          <w:rFonts w:eastAsia="Times New Roman"/>
          <w:szCs w:val="20"/>
          <w:lang w:eastAsia="en-US"/>
        </w:rPr>
        <w:t xml:space="preserve">. The </w:t>
      </w:r>
      <w:r w:rsidR="000203C7" w:rsidRPr="00DE46AB">
        <w:rPr>
          <w:rFonts w:eastAsia="Times New Roman"/>
          <w:szCs w:val="20"/>
          <w:lang w:eastAsia="en-US"/>
        </w:rPr>
        <w:t xml:space="preserve">exposures, </w:t>
      </w:r>
      <w:r w:rsidR="00C65110" w:rsidRPr="00DE46AB">
        <w:rPr>
          <w:rFonts w:eastAsia="Times New Roman"/>
          <w:szCs w:val="20"/>
          <w:lang w:eastAsia="en-US"/>
        </w:rPr>
        <w:t>and</w:t>
      </w:r>
      <w:r w:rsidR="000203C7" w:rsidRPr="00DE46AB">
        <w:rPr>
          <w:rFonts w:eastAsia="Times New Roman"/>
          <w:szCs w:val="20"/>
          <w:lang w:eastAsia="en-US"/>
        </w:rPr>
        <w:t xml:space="preserve"> potential exposures,</w:t>
      </w:r>
      <w:r w:rsidRPr="00DE46AB">
        <w:rPr>
          <w:rFonts w:eastAsia="Times New Roman"/>
          <w:szCs w:val="20"/>
          <w:lang w:eastAsia="en-US"/>
        </w:rPr>
        <w:t xml:space="preserve"> of the public </w:t>
      </w:r>
      <w:r w:rsidR="00450438" w:rsidRPr="00DE46AB">
        <w:rPr>
          <w:rFonts w:eastAsia="Times New Roman"/>
          <w:szCs w:val="20"/>
          <w:lang w:eastAsia="en-US"/>
        </w:rPr>
        <w:t>and</w:t>
      </w:r>
      <w:r w:rsidRPr="00DE46AB">
        <w:rPr>
          <w:rFonts w:eastAsia="Times New Roman"/>
          <w:szCs w:val="20"/>
          <w:lang w:eastAsia="en-US"/>
        </w:rPr>
        <w:t xml:space="preserve"> </w:t>
      </w:r>
      <w:r w:rsidR="00450438" w:rsidRPr="00DE46AB">
        <w:rPr>
          <w:rFonts w:eastAsia="Times New Roman"/>
          <w:szCs w:val="20"/>
          <w:lang w:eastAsia="en-US"/>
        </w:rPr>
        <w:t xml:space="preserve">the </w:t>
      </w:r>
      <w:r w:rsidR="009E6C38">
        <w:rPr>
          <w:rFonts w:eastAsia="Times New Roman"/>
          <w:szCs w:val="20"/>
          <w:lang w:eastAsia="en-US"/>
        </w:rPr>
        <w:t xml:space="preserve">radiological </w:t>
      </w:r>
      <w:r w:rsidRPr="00DE46AB">
        <w:rPr>
          <w:rFonts w:eastAsia="Times New Roman"/>
          <w:szCs w:val="20"/>
          <w:lang w:eastAsia="en-US"/>
        </w:rPr>
        <w:t xml:space="preserve">environmental impact from a source that is registered </w:t>
      </w:r>
      <w:r w:rsidR="00CA2DB2" w:rsidRPr="00DE46AB">
        <w:rPr>
          <w:rFonts w:eastAsia="Times New Roman"/>
          <w:szCs w:val="20"/>
          <w:lang w:eastAsia="en-US"/>
        </w:rPr>
        <w:t>should</w:t>
      </w:r>
      <w:r w:rsidRPr="00DE46AB">
        <w:rPr>
          <w:rFonts w:eastAsia="Times New Roman"/>
          <w:szCs w:val="20"/>
          <w:lang w:eastAsia="en-US"/>
        </w:rPr>
        <w:t xml:space="preserve"> be </w:t>
      </w:r>
      <w:r w:rsidR="000203C7" w:rsidRPr="00DE46AB">
        <w:rPr>
          <w:rFonts w:eastAsia="Times New Roman"/>
          <w:szCs w:val="20"/>
          <w:lang w:eastAsia="en-US"/>
        </w:rPr>
        <w:t>inherently</w:t>
      </w:r>
      <w:r w:rsidRPr="00DE46AB">
        <w:rPr>
          <w:rFonts w:eastAsia="Times New Roman"/>
          <w:szCs w:val="20"/>
          <w:lang w:eastAsia="en-US"/>
        </w:rPr>
        <w:t xml:space="preserve"> small</w:t>
      </w:r>
      <w:r w:rsidR="000203C7" w:rsidRPr="00DE46AB">
        <w:rPr>
          <w:rFonts w:eastAsia="Times New Roman"/>
          <w:szCs w:val="20"/>
          <w:lang w:eastAsia="en-US"/>
        </w:rPr>
        <w:t>, so that</w:t>
      </w:r>
      <w:r w:rsidR="00450438" w:rsidRPr="00DE46AB">
        <w:rPr>
          <w:rFonts w:eastAsia="Times New Roman"/>
          <w:szCs w:val="20"/>
          <w:lang w:eastAsia="en-US"/>
        </w:rPr>
        <w:t xml:space="preserve"> separate</w:t>
      </w:r>
      <w:r w:rsidR="000203C7" w:rsidRPr="00DE46AB">
        <w:rPr>
          <w:rFonts w:eastAsia="Times New Roman"/>
          <w:szCs w:val="20"/>
          <w:lang w:eastAsia="en-US"/>
        </w:rPr>
        <w:t xml:space="preserve"> </w:t>
      </w:r>
      <w:r w:rsidRPr="00DE46AB">
        <w:rPr>
          <w:rFonts w:eastAsia="Times New Roman"/>
          <w:szCs w:val="20"/>
          <w:lang w:eastAsia="en-US"/>
        </w:rPr>
        <w:t xml:space="preserve">investigations or assessments by the registrants </w:t>
      </w:r>
      <w:r w:rsidR="00450438" w:rsidRPr="00DE46AB">
        <w:rPr>
          <w:rFonts w:eastAsia="Times New Roman"/>
          <w:szCs w:val="20"/>
          <w:lang w:eastAsia="en-US"/>
        </w:rPr>
        <w:t xml:space="preserve">for demonstrating safety </w:t>
      </w:r>
      <w:r w:rsidRPr="00DE46AB">
        <w:rPr>
          <w:rFonts w:eastAsia="Times New Roman"/>
          <w:szCs w:val="20"/>
          <w:lang w:eastAsia="en-US"/>
        </w:rPr>
        <w:t>are not needed</w:t>
      </w:r>
      <w:r w:rsidR="00450438" w:rsidRPr="00DE46AB">
        <w:rPr>
          <w:rFonts w:eastAsia="Times New Roman"/>
          <w:szCs w:val="20"/>
          <w:lang w:eastAsia="en-US"/>
        </w:rPr>
        <w:t xml:space="preserve">. </w:t>
      </w:r>
    </w:p>
    <w:p w:rsidR="00824990" w:rsidRPr="00BB2A3B" w:rsidRDefault="0019795E" w:rsidP="00BB2A3B">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BB2A3B">
        <w:rPr>
          <w:rFonts w:eastAsia="Times New Roman"/>
          <w:lang w:eastAsia="en-US"/>
        </w:rPr>
        <w:t xml:space="preserve">Licensing is the most complete and sophisticated form of authorization. </w:t>
      </w:r>
      <w:r w:rsidR="00BB2A3B" w:rsidRPr="00BB2A3B">
        <w:t xml:space="preserve"> In principle, a licence should be required for higher risk or more complex practices, including those for which radiation protection </w:t>
      </w:r>
      <w:r w:rsidR="009E6C38">
        <w:t xml:space="preserve">and safety </w:t>
      </w:r>
      <w:r w:rsidR="00BB2A3B" w:rsidRPr="00BB2A3B">
        <w:t>depend significantly or largely on human performance,</w:t>
      </w:r>
    </w:p>
    <w:p w:rsidR="00824990" w:rsidRPr="00DE46AB" w:rsidRDefault="0019795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 xml:space="preserve">The applicant for an authorization is required by </w:t>
      </w:r>
      <w:r w:rsidR="001F45D8">
        <w:rPr>
          <w:rFonts w:eastAsia="Times New Roman"/>
          <w:szCs w:val="20"/>
          <w:lang w:eastAsia="en-US"/>
        </w:rPr>
        <w:t>GSR Part 3</w:t>
      </w:r>
      <w:r w:rsidRPr="00DE46AB">
        <w:rPr>
          <w:rFonts w:eastAsia="Times New Roman"/>
          <w:szCs w:val="20"/>
          <w:lang w:eastAsia="en-US"/>
        </w:rPr>
        <w:t xml:space="preserve"> </w:t>
      </w:r>
      <w:r w:rsidR="00871F51">
        <w:rPr>
          <w:rFonts w:eastAsia="Times New Roman"/>
          <w:szCs w:val="20"/>
          <w:lang w:eastAsia="en-US"/>
        </w:rPr>
        <w:t xml:space="preserve">[2] </w:t>
      </w:r>
      <w:r w:rsidRPr="00DE46AB">
        <w:rPr>
          <w:rFonts w:eastAsia="Times New Roman"/>
          <w:szCs w:val="20"/>
          <w:lang w:eastAsia="en-US"/>
        </w:rPr>
        <w:t>to provide the regulatory body with relevant information necessary to support the application</w:t>
      </w:r>
      <w:r w:rsidR="009E6C38">
        <w:rPr>
          <w:rFonts w:eastAsia="Times New Roman"/>
          <w:szCs w:val="20"/>
          <w:lang w:eastAsia="en-US"/>
        </w:rPr>
        <w:t>,</w:t>
      </w:r>
      <w:r w:rsidRPr="00DE46AB">
        <w:rPr>
          <w:rFonts w:eastAsia="Times New Roman"/>
          <w:szCs w:val="20"/>
          <w:lang w:eastAsia="en-US"/>
        </w:rPr>
        <w:t xml:space="preserve"> which includes:</w:t>
      </w:r>
    </w:p>
    <w:p w:rsidR="0019795E" w:rsidRDefault="009E6C38" w:rsidP="00974B83">
      <w:pPr>
        <w:pStyle w:val="ListParagraph"/>
        <w:numPr>
          <w:ilvl w:val="0"/>
          <w:numId w:val="16"/>
        </w:numPr>
        <w:tabs>
          <w:tab w:val="left" w:pos="709"/>
        </w:tabs>
        <w:spacing w:after="120" w:line="360" w:lineRule="auto"/>
        <w:ind w:left="567" w:hanging="567"/>
        <w:jc w:val="both"/>
      </w:pPr>
      <w:r>
        <w:t>A</w:t>
      </w:r>
      <w:r w:rsidR="0019795E" w:rsidRPr="00DE46AB">
        <w:t>n assessment of the nature, likelihood and magnitude of the exposures due to the source</w:t>
      </w:r>
      <w:r w:rsidR="00800CF7">
        <w:t xml:space="preserve"> in normal operation</w:t>
      </w:r>
      <w:r w:rsidR="0019795E" w:rsidRPr="00DE46AB">
        <w:t xml:space="preserve"> and a description of all necessary measures for protection and safety</w:t>
      </w:r>
      <w:r w:rsidR="00B14568">
        <w:t>;</w:t>
      </w:r>
    </w:p>
    <w:p w:rsidR="0019795E" w:rsidRDefault="009E6C38" w:rsidP="00974B83">
      <w:pPr>
        <w:pStyle w:val="ListParagraph"/>
        <w:numPr>
          <w:ilvl w:val="0"/>
          <w:numId w:val="16"/>
        </w:numPr>
        <w:tabs>
          <w:tab w:val="left" w:pos="709"/>
        </w:tabs>
        <w:spacing w:after="120" w:line="360" w:lineRule="auto"/>
        <w:ind w:left="567" w:hanging="567"/>
        <w:jc w:val="both"/>
      </w:pPr>
      <w:r>
        <w:t>A</w:t>
      </w:r>
      <w:r w:rsidR="00E273A0">
        <w:t xml:space="preserve"> </w:t>
      </w:r>
      <w:r w:rsidR="0019795E" w:rsidRPr="00DE46AB">
        <w:t>safety assessment</w:t>
      </w:r>
      <w:r w:rsidR="00813B08">
        <w:t>, as required by the regulatory body</w:t>
      </w:r>
      <w:r w:rsidR="00B14568">
        <w:t>;</w:t>
      </w:r>
    </w:p>
    <w:p w:rsidR="007649D9" w:rsidRDefault="009E6C38" w:rsidP="00974B83">
      <w:pPr>
        <w:pStyle w:val="ListParagraph"/>
        <w:numPr>
          <w:ilvl w:val="0"/>
          <w:numId w:val="16"/>
        </w:numPr>
        <w:tabs>
          <w:tab w:val="left" w:pos="709"/>
        </w:tabs>
        <w:spacing w:after="120" w:line="360" w:lineRule="auto"/>
        <w:ind w:left="567" w:hanging="567"/>
        <w:jc w:val="both"/>
      </w:pPr>
      <w:r>
        <w:lastRenderedPageBreak/>
        <w:t>A</w:t>
      </w:r>
      <w:r w:rsidR="00E273A0">
        <w:t xml:space="preserve">n </w:t>
      </w:r>
      <w:r w:rsidR="0019795E" w:rsidRPr="00DE46AB">
        <w:t>appropriate prospective assessment made for radiological environmental impacts, commensurate with the radiation risks associated with the facility or activity, as required by the regulatory body.</w:t>
      </w:r>
      <w:r w:rsidR="007649D9" w:rsidRPr="00DE46AB">
        <w:t xml:space="preserve">   </w:t>
      </w:r>
    </w:p>
    <w:p w:rsidR="00C83160" w:rsidRPr="00DE46AB" w:rsidRDefault="00C83160" w:rsidP="00477ED7">
      <w:pPr>
        <w:tabs>
          <w:tab w:val="left" w:pos="709"/>
        </w:tabs>
        <w:spacing w:after="120" w:line="360" w:lineRule="auto"/>
      </w:pPr>
      <w:r>
        <w:t>DS427 [</w:t>
      </w:r>
      <w:r w:rsidR="00824FD8">
        <w:t>9</w:t>
      </w:r>
      <w:r>
        <w:t xml:space="preserve">] provides guidance on how to evaluate exposures and </w:t>
      </w:r>
      <w:r w:rsidR="009E6C38">
        <w:t xml:space="preserve">on </w:t>
      </w:r>
      <w:r>
        <w:t>the use of criteria for the assessment of radiological environmental impact for planned exposure situations.</w:t>
      </w:r>
    </w:p>
    <w:p w:rsidR="00A20ACE" w:rsidRPr="00F543D6" w:rsidRDefault="00A20AC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 xml:space="preserve">A graded approach </w:t>
      </w:r>
      <w:r w:rsidR="00CA2DB2" w:rsidRPr="00DE46AB">
        <w:rPr>
          <w:rFonts w:eastAsia="Times New Roman"/>
          <w:szCs w:val="20"/>
          <w:lang w:eastAsia="en-US"/>
        </w:rPr>
        <w:t>should</w:t>
      </w:r>
      <w:r w:rsidRPr="00F543D6">
        <w:rPr>
          <w:rFonts w:eastAsia="Times New Roman"/>
          <w:szCs w:val="20"/>
          <w:lang w:eastAsia="en-US"/>
        </w:rPr>
        <w:t xml:space="preserve"> be used within licensing </w:t>
      </w:r>
      <w:r w:rsidR="00362CAA">
        <w:rPr>
          <w:rFonts w:eastAsia="Times New Roman"/>
          <w:szCs w:val="20"/>
          <w:lang w:eastAsia="en-US"/>
        </w:rPr>
        <w:t>that takes into</w:t>
      </w:r>
      <w:r w:rsidRPr="00F543D6">
        <w:rPr>
          <w:rFonts w:eastAsia="Times New Roman"/>
          <w:szCs w:val="20"/>
          <w:lang w:eastAsia="en-US"/>
        </w:rPr>
        <w:t xml:space="preserve"> account the</w:t>
      </w:r>
      <w:r w:rsidR="00362CAA">
        <w:rPr>
          <w:rFonts w:eastAsia="Times New Roman"/>
          <w:szCs w:val="20"/>
          <w:lang w:eastAsia="en-US"/>
        </w:rPr>
        <w:t xml:space="preserve"> </w:t>
      </w:r>
      <w:r w:rsidR="00813B08">
        <w:rPr>
          <w:rFonts w:eastAsia="Times New Roman"/>
          <w:szCs w:val="20"/>
          <w:lang w:eastAsia="en-US"/>
        </w:rPr>
        <w:t xml:space="preserve">expected </w:t>
      </w:r>
      <w:r w:rsidR="00362CAA">
        <w:rPr>
          <w:rFonts w:eastAsia="Times New Roman"/>
          <w:szCs w:val="20"/>
          <w:lang w:eastAsia="en-US"/>
        </w:rPr>
        <w:t xml:space="preserve">likelihood </w:t>
      </w:r>
      <w:r w:rsidR="009E6C38">
        <w:rPr>
          <w:rFonts w:eastAsia="Times New Roman"/>
          <w:szCs w:val="20"/>
          <w:lang w:eastAsia="en-US"/>
        </w:rPr>
        <w:t xml:space="preserve">and magnitude </w:t>
      </w:r>
      <w:r w:rsidR="00362CAA">
        <w:rPr>
          <w:rFonts w:eastAsia="Times New Roman"/>
          <w:szCs w:val="20"/>
          <w:lang w:eastAsia="en-US"/>
        </w:rPr>
        <w:t xml:space="preserve">of the </w:t>
      </w:r>
      <w:r w:rsidRPr="00F543D6">
        <w:rPr>
          <w:rFonts w:eastAsia="Times New Roman"/>
          <w:szCs w:val="20"/>
          <w:lang w:eastAsia="en-US"/>
        </w:rPr>
        <w:t xml:space="preserve">exposures </w:t>
      </w:r>
      <w:r w:rsidR="00800CF7">
        <w:rPr>
          <w:rFonts w:eastAsia="Times New Roman"/>
          <w:szCs w:val="20"/>
          <w:lang w:eastAsia="en-US"/>
        </w:rPr>
        <w:t xml:space="preserve">in normal operation </w:t>
      </w:r>
      <w:r w:rsidRPr="00F543D6">
        <w:rPr>
          <w:rFonts w:eastAsia="Times New Roman"/>
          <w:szCs w:val="20"/>
          <w:lang w:eastAsia="en-US"/>
        </w:rPr>
        <w:t xml:space="preserve">and </w:t>
      </w:r>
      <w:r w:rsidR="00362CAA">
        <w:rPr>
          <w:rFonts w:eastAsia="Times New Roman"/>
          <w:szCs w:val="20"/>
          <w:lang w:eastAsia="en-US"/>
        </w:rPr>
        <w:t xml:space="preserve">of the </w:t>
      </w:r>
      <w:r w:rsidRPr="00F543D6">
        <w:rPr>
          <w:rFonts w:eastAsia="Times New Roman"/>
          <w:szCs w:val="20"/>
          <w:lang w:eastAsia="en-US"/>
        </w:rPr>
        <w:t xml:space="preserve">potential exposures, </w:t>
      </w:r>
      <w:r w:rsidR="009E6C38">
        <w:rPr>
          <w:rFonts w:eastAsia="Times New Roman"/>
          <w:szCs w:val="20"/>
          <w:lang w:eastAsia="en-US"/>
        </w:rPr>
        <w:t xml:space="preserve">the </w:t>
      </w:r>
      <w:r w:rsidRPr="00F543D6">
        <w:rPr>
          <w:rFonts w:eastAsia="Times New Roman"/>
          <w:szCs w:val="20"/>
          <w:lang w:eastAsia="en-US"/>
        </w:rPr>
        <w:t xml:space="preserve">complexity of the practice, and </w:t>
      </w:r>
      <w:r w:rsidR="009E6C38">
        <w:rPr>
          <w:rFonts w:eastAsia="Times New Roman"/>
          <w:szCs w:val="20"/>
          <w:lang w:eastAsia="en-US"/>
        </w:rPr>
        <w:t xml:space="preserve">the </w:t>
      </w:r>
      <w:r w:rsidRPr="00F543D6">
        <w:rPr>
          <w:rFonts w:eastAsia="Times New Roman"/>
          <w:szCs w:val="20"/>
          <w:lang w:eastAsia="en-US"/>
        </w:rPr>
        <w:t>protection and control measures needed. Th</w:t>
      </w:r>
      <w:r w:rsidR="009E6C38">
        <w:rPr>
          <w:rFonts w:eastAsia="Times New Roman"/>
          <w:szCs w:val="20"/>
          <w:lang w:eastAsia="en-US"/>
        </w:rPr>
        <w:t>e graded approach</w:t>
      </w:r>
      <w:r w:rsidRPr="00F543D6">
        <w:rPr>
          <w:rFonts w:eastAsia="Times New Roman"/>
          <w:szCs w:val="20"/>
          <w:lang w:eastAsia="en-US"/>
        </w:rPr>
        <w:t xml:space="preserve"> </w:t>
      </w:r>
      <w:r w:rsidR="00CA2DB2" w:rsidRPr="00DE46AB">
        <w:rPr>
          <w:rFonts w:eastAsia="Times New Roman"/>
          <w:szCs w:val="20"/>
          <w:lang w:eastAsia="en-US"/>
        </w:rPr>
        <w:t>should</w:t>
      </w:r>
      <w:r w:rsidRPr="00F543D6">
        <w:rPr>
          <w:rFonts w:eastAsia="Times New Roman"/>
          <w:szCs w:val="20"/>
          <w:lang w:eastAsia="en-US"/>
        </w:rPr>
        <w:t xml:space="preserve"> be reflected in the content and extent o</w:t>
      </w:r>
      <w:r w:rsidRPr="00DE46AB">
        <w:rPr>
          <w:rFonts w:eastAsia="Times New Roman"/>
          <w:szCs w:val="20"/>
          <w:lang w:eastAsia="en-US"/>
        </w:rPr>
        <w:t xml:space="preserve">f the safety assessment and the assessment for radiological </w:t>
      </w:r>
      <w:r w:rsidR="009E6C38">
        <w:t xml:space="preserve">environmental </w:t>
      </w:r>
      <w:r w:rsidRPr="00DE46AB">
        <w:rPr>
          <w:rFonts w:eastAsia="Times New Roman"/>
          <w:szCs w:val="20"/>
          <w:lang w:eastAsia="en-US"/>
        </w:rPr>
        <w:t xml:space="preserve">impact. The regulatory body </w:t>
      </w:r>
      <w:r w:rsidR="00CA2DB2" w:rsidRPr="00DE46AB">
        <w:rPr>
          <w:rFonts w:eastAsia="Times New Roman"/>
          <w:szCs w:val="20"/>
          <w:lang w:eastAsia="en-US"/>
        </w:rPr>
        <w:t>should</w:t>
      </w:r>
      <w:r w:rsidRPr="00F543D6">
        <w:rPr>
          <w:rFonts w:eastAsia="Times New Roman"/>
          <w:szCs w:val="20"/>
          <w:lang w:eastAsia="en-US"/>
        </w:rPr>
        <w:t xml:space="preserve"> evaluate the results of the assessments </w:t>
      </w:r>
      <w:r w:rsidR="009E6C38">
        <w:rPr>
          <w:rFonts w:eastAsia="Times New Roman"/>
          <w:szCs w:val="20"/>
          <w:lang w:eastAsia="en-US"/>
        </w:rPr>
        <w:t>to</w:t>
      </w:r>
      <w:r w:rsidR="009E6C38" w:rsidRPr="00F543D6">
        <w:rPr>
          <w:rFonts w:eastAsia="Times New Roman"/>
          <w:szCs w:val="20"/>
          <w:lang w:eastAsia="en-US"/>
        </w:rPr>
        <w:t xml:space="preserve"> </w:t>
      </w:r>
      <w:r w:rsidRPr="00F543D6">
        <w:rPr>
          <w:rFonts w:eastAsia="Times New Roman"/>
          <w:szCs w:val="20"/>
          <w:lang w:eastAsia="en-US"/>
        </w:rPr>
        <w:t>determin</w:t>
      </w:r>
      <w:r w:rsidR="009E6C38">
        <w:rPr>
          <w:rFonts w:eastAsia="Times New Roman"/>
          <w:szCs w:val="20"/>
          <w:lang w:eastAsia="en-US"/>
        </w:rPr>
        <w:t>e</w:t>
      </w:r>
      <w:r w:rsidRPr="00F543D6">
        <w:rPr>
          <w:rFonts w:eastAsia="Times New Roman"/>
          <w:szCs w:val="20"/>
          <w:lang w:eastAsia="en-US"/>
        </w:rPr>
        <w:t xml:space="preserve"> possible additional conditions on which a license can be granted. </w:t>
      </w:r>
    </w:p>
    <w:p w:rsidR="00B166E6" w:rsidRPr="00DE46AB" w:rsidRDefault="0073518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rPr>
          <w:rFonts w:eastAsia="Times New Roman"/>
          <w:szCs w:val="20"/>
          <w:lang w:eastAsia="en-US"/>
        </w:rPr>
        <w:t xml:space="preserve">A source within a practice could also cause public exposure outside the territory or other area under the jurisdiction or control of the State in which the source is located. </w:t>
      </w:r>
      <w:r w:rsidR="00B07D41" w:rsidRPr="00DE46AB">
        <w:rPr>
          <w:rFonts w:eastAsia="Times New Roman"/>
          <w:szCs w:val="20"/>
          <w:lang w:eastAsia="en-US"/>
        </w:rPr>
        <w:t xml:space="preserve">In such situations, the government or regulatory body is required to </w:t>
      </w:r>
      <w:r w:rsidR="007F19DB" w:rsidRPr="00DE46AB">
        <w:rPr>
          <w:rFonts w:eastAsia="Times New Roman"/>
          <w:szCs w:val="20"/>
          <w:lang w:eastAsia="en-US"/>
        </w:rPr>
        <w:t>“</w:t>
      </w:r>
      <w:r w:rsidR="00B07D41" w:rsidRPr="00F543D6">
        <w:rPr>
          <w:rFonts w:eastAsia="Times New Roman"/>
          <w:szCs w:val="20"/>
          <w:lang w:eastAsia="en-US"/>
        </w:rPr>
        <w:t xml:space="preserve">ensure that the assessment </w:t>
      </w:r>
      <w:r w:rsidR="009E6C38">
        <w:rPr>
          <w:rFonts w:eastAsia="Times New Roman"/>
          <w:szCs w:val="20"/>
          <w:lang w:eastAsia="en-US"/>
        </w:rPr>
        <w:t>for</w:t>
      </w:r>
      <w:r w:rsidR="00B07D41" w:rsidRPr="00F543D6">
        <w:rPr>
          <w:rFonts w:eastAsia="Times New Roman"/>
          <w:szCs w:val="20"/>
          <w:lang w:eastAsia="en-US"/>
        </w:rPr>
        <w:t xml:space="preserve"> radiological im</w:t>
      </w:r>
      <w:r w:rsidR="00B07D41" w:rsidRPr="00DE46AB">
        <w:rPr>
          <w:rFonts w:eastAsia="Times New Roman"/>
          <w:szCs w:val="20"/>
          <w:lang w:eastAsia="en-US"/>
        </w:rPr>
        <w:t>pacts include</w:t>
      </w:r>
      <w:r w:rsidR="009E6C38">
        <w:rPr>
          <w:rFonts w:eastAsia="Times New Roman"/>
          <w:szCs w:val="20"/>
          <w:lang w:eastAsia="en-US"/>
        </w:rPr>
        <w:t>s</w:t>
      </w:r>
      <w:r w:rsidR="00B07D41" w:rsidRPr="00DE46AB">
        <w:rPr>
          <w:rFonts w:eastAsia="Times New Roman"/>
          <w:szCs w:val="20"/>
          <w:lang w:eastAsia="en-US"/>
        </w:rPr>
        <w:t xml:space="preserve"> those impacts outside the territory or other area under the jurisdiction or control of the State; … establish requirements for the control of discharges; </w:t>
      </w:r>
      <w:r w:rsidR="009E6C38">
        <w:rPr>
          <w:rFonts w:eastAsia="Times New Roman"/>
          <w:szCs w:val="20"/>
          <w:lang w:eastAsia="en-US"/>
        </w:rPr>
        <w:t>[</w:t>
      </w:r>
      <w:r w:rsidR="00B07D41" w:rsidRPr="00DE46AB">
        <w:rPr>
          <w:rFonts w:eastAsia="Times New Roman"/>
          <w:szCs w:val="20"/>
          <w:lang w:eastAsia="en-US"/>
        </w:rPr>
        <w:t>and</w:t>
      </w:r>
      <w:r w:rsidR="009E6C38">
        <w:rPr>
          <w:rFonts w:eastAsia="Times New Roman"/>
          <w:szCs w:val="20"/>
          <w:lang w:eastAsia="en-US"/>
        </w:rPr>
        <w:t>]</w:t>
      </w:r>
      <w:r w:rsidR="00B07D41" w:rsidRPr="00DE46AB">
        <w:rPr>
          <w:rFonts w:eastAsia="Times New Roman"/>
          <w:szCs w:val="20"/>
          <w:lang w:eastAsia="en-US"/>
        </w:rPr>
        <w:t xml:space="preserve"> </w:t>
      </w:r>
      <w:r w:rsidR="006A0D17">
        <w:rPr>
          <w:rFonts w:eastAsia="Times New Roman"/>
          <w:szCs w:val="20"/>
          <w:lang w:eastAsia="en-US"/>
        </w:rPr>
        <w:t xml:space="preserve">… </w:t>
      </w:r>
      <w:r w:rsidR="00B07D41" w:rsidRPr="00DE46AB">
        <w:rPr>
          <w:rFonts w:eastAsia="Times New Roman"/>
          <w:szCs w:val="20"/>
          <w:lang w:eastAsia="en-US"/>
        </w:rPr>
        <w:t>arrange with the affected State the means for the exchange of information and consultations</w:t>
      </w:r>
      <w:r w:rsidR="006A0D17">
        <w:rPr>
          <w:rFonts w:eastAsia="Times New Roman"/>
          <w:szCs w:val="20"/>
          <w:lang w:eastAsia="en-US"/>
        </w:rPr>
        <w:t>,</w:t>
      </w:r>
      <w:r w:rsidR="00B07D41" w:rsidRPr="00DE46AB">
        <w:rPr>
          <w:rFonts w:eastAsia="Times New Roman"/>
          <w:szCs w:val="20"/>
          <w:lang w:eastAsia="en-US"/>
        </w:rPr>
        <w:t xml:space="preserve"> as appropriate.</w:t>
      </w:r>
      <w:r w:rsidR="007F19DB" w:rsidRPr="00DE46AB">
        <w:rPr>
          <w:rFonts w:eastAsia="Times New Roman"/>
          <w:szCs w:val="20"/>
          <w:lang w:eastAsia="en-US"/>
        </w:rPr>
        <w:t>”</w:t>
      </w:r>
      <w:r w:rsidR="00B07D41" w:rsidRPr="00F543D6">
        <w:rPr>
          <w:rFonts w:eastAsia="Times New Roman"/>
          <w:szCs w:val="20"/>
          <w:lang w:eastAsia="en-US"/>
        </w:rPr>
        <w:t xml:space="preserve"> (para</w:t>
      </w:r>
      <w:r w:rsidR="00C4035C">
        <w:rPr>
          <w:rFonts w:eastAsia="Times New Roman"/>
          <w:szCs w:val="20"/>
          <w:lang w:eastAsia="en-US"/>
        </w:rPr>
        <w:t>.</w:t>
      </w:r>
      <w:r w:rsidR="00B07D41" w:rsidRPr="00F543D6">
        <w:rPr>
          <w:rFonts w:eastAsia="Times New Roman"/>
          <w:szCs w:val="20"/>
          <w:lang w:eastAsia="en-US"/>
        </w:rPr>
        <w:t xml:space="preserve"> 3.124</w:t>
      </w:r>
      <w:r w:rsidR="00581FB9" w:rsidRPr="00DE46AB">
        <w:rPr>
          <w:rFonts w:eastAsia="Times New Roman"/>
          <w:szCs w:val="20"/>
          <w:lang w:eastAsia="en-US"/>
        </w:rPr>
        <w:t xml:space="preserve"> of </w:t>
      </w:r>
      <w:r w:rsidR="00AD5885">
        <w:rPr>
          <w:rFonts w:eastAsia="Times New Roman"/>
          <w:szCs w:val="20"/>
          <w:lang w:eastAsia="en-US"/>
        </w:rPr>
        <w:t>GSR Part 3</w:t>
      </w:r>
      <w:r w:rsidR="00581FB9" w:rsidRPr="00DE46AB">
        <w:rPr>
          <w:rFonts w:eastAsia="Times New Roman"/>
          <w:szCs w:val="20"/>
          <w:lang w:eastAsia="en-US"/>
        </w:rPr>
        <w:t xml:space="preserve"> </w:t>
      </w:r>
      <w:r w:rsidR="00C05FFE">
        <w:rPr>
          <w:rFonts w:eastAsia="Times New Roman"/>
          <w:szCs w:val="20"/>
          <w:lang w:eastAsia="en-US"/>
        </w:rPr>
        <w:t>[2]</w:t>
      </w:r>
      <w:r w:rsidR="00B07D41" w:rsidRPr="00DE46AB">
        <w:rPr>
          <w:rFonts w:eastAsia="Times New Roman"/>
          <w:szCs w:val="20"/>
          <w:lang w:eastAsia="en-US"/>
        </w:rPr>
        <w:t>)</w:t>
      </w:r>
    </w:p>
    <w:p w:rsidR="00B166E6" w:rsidRPr="00DE46AB" w:rsidRDefault="00721161" w:rsidP="00477ED7">
      <w:pPr>
        <w:pStyle w:val="ListParagraph"/>
        <w:tabs>
          <w:tab w:val="left" w:pos="709"/>
        </w:tabs>
        <w:autoSpaceDE w:val="0"/>
        <w:autoSpaceDN w:val="0"/>
        <w:adjustRightInd w:val="0"/>
        <w:spacing w:after="120" w:line="360" w:lineRule="auto"/>
        <w:ind w:left="0"/>
        <w:contextualSpacing w:val="0"/>
        <w:jc w:val="both"/>
        <w:rPr>
          <w:rFonts w:eastAsia="Times New Roman"/>
          <w:szCs w:val="20"/>
          <w:lang w:eastAsia="en-US"/>
        </w:rPr>
      </w:pPr>
      <w:r w:rsidRPr="00DE46AB">
        <w:rPr>
          <w:b/>
        </w:rPr>
        <w:t>Justification</w:t>
      </w:r>
    </w:p>
    <w:p w:rsidR="00B166E6" w:rsidRPr="00DE46AB" w:rsidRDefault="008E273B"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 xml:space="preserve">Requirement 10 of GSR Part 3 </w:t>
      </w:r>
      <w:r w:rsidR="00C05FFE">
        <w:t>[2]</w:t>
      </w:r>
      <w:r w:rsidRPr="00DE46AB">
        <w:t xml:space="preserve"> requires the government or the regulatory body to ensure that only justified practices are authorized. Justification is implemented as a structured process to determine whether the benefits from a practice outweigh the harm (including radiation detriment) to individuals, society and the environment from the practice. This process </w:t>
      </w:r>
      <w:r w:rsidR="00CA2DB2" w:rsidRPr="00DE46AB">
        <w:t>should</w:t>
      </w:r>
      <w:r w:rsidRPr="00F543D6">
        <w:t xml:space="preserve"> be repeated if necessary when there is new information or experience. </w:t>
      </w:r>
    </w:p>
    <w:p w:rsidR="00B166E6" w:rsidRPr="00DE46AB" w:rsidRDefault="00664463"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t>Para</w:t>
      </w:r>
      <w:r w:rsidR="008B2799">
        <w:t>graph</w:t>
      </w:r>
      <w:r>
        <w:t xml:space="preserve"> 3.17 of </w:t>
      </w:r>
      <w:r w:rsidR="008E273B" w:rsidRPr="00DE46AB">
        <w:t xml:space="preserve">GSR Part 3 </w:t>
      </w:r>
      <w:r w:rsidR="00C05FFE">
        <w:t>[2]</w:t>
      </w:r>
      <w:r w:rsidR="008E273B" w:rsidRPr="00DE46AB">
        <w:t xml:space="preserve"> define</w:t>
      </w:r>
      <w:r w:rsidR="00947152" w:rsidRPr="00DE46AB">
        <w:t>s</w:t>
      </w:r>
      <w:r w:rsidR="008E273B" w:rsidRPr="00DE46AB">
        <w:t xml:space="preserve"> a number of practices that are deemed to be not justified. These are as follows:</w:t>
      </w:r>
    </w:p>
    <w:p w:rsidR="00B166E6" w:rsidRPr="00E273A0" w:rsidRDefault="008E273B" w:rsidP="00974B83">
      <w:pPr>
        <w:pStyle w:val="ListParagraph"/>
        <w:numPr>
          <w:ilvl w:val="0"/>
          <w:numId w:val="17"/>
        </w:numPr>
        <w:tabs>
          <w:tab w:val="left" w:pos="709"/>
        </w:tabs>
        <w:spacing w:after="120" w:line="360" w:lineRule="auto"/>
        <w:ind w:left="567" w:hanging="567"/>
        <w:jc w:val="both"/>
      </w:pPr>
      <w:r w:rsidRPr="00DE46AB">
        <w:t xml:space="preserve">Practices, except for justified practices involving medical exposure, that result in an increase in activity, by the deliberate addition of radioactive substances or </w:t>
      </w:r>
      <w:r w:rsidR="00D27FAB">
        <w:t xml:space="preserve">by </w:t>
      </w:r>
      <w:r w:rsidRPr="00DE46AB">
        <w:t xml:space="preserve">activation, </w:t>
      </w:r>
      <w:r w:rsidR="00D27FAB">
        <w:t>in</w:t>
      </w:r>
      <w:r w:rsidR="00D27FAB" w:rsidRPr="00DE46AB">
        <w:t xml:space="preserve"> </w:t>
      </w:r>
      <w:r w:rsidRPr="00DE46AB">
        <w:t xml:space="preserve">food, feed, beverages, cosmetics or any other commodity or product intended for ingestion, inhalation or percutaneous intake by, or application to, a person; </w:t>
      </w:r>
    </w:p>
    <w:p w:rsidR="00B166E6" w:rsidRPr="0095256E" w:rsidRDefault="008E273B" w:rsidP="00974B83">
      <w:pPr>
        <w:pStyle w:val="ListParagraph"/>
        <w:numPr>
          <w:ilvl w:val="0"/>
          <w:numId w:val="17"/>
        </w:numPr>
        <w:tabs>
          <w:tab w:val="left" w:pos="709"/>
        </w:tabs>
        <w:spacing w:after="120" w:line="360" w:lineRule="auto"/>
        <w:ind w:left="567" w:hanging="567"/>
        <w:jc w:val="both"/>
      </w:pPr>
      <w:r w:rsidRPr="00DE46AB">
        <w:lastRenderedPageBreak/>
        <w:t xml:space="preserve">Practices involving the frivolous use of radiation or radioactive substances in </w:t>
      </w:r>
      <w:r w:rsidRPr="0095256E">
        <w:t xml:space="preserve">commodities or in </w:t>
      </w:r>
      <w:r w:rsidR="00D27FAB">
        <w:t xml:space="preserve">consumer </w:t>
      </w:r>
      <w:r w:rsidRPr="0095256E">
        <w:t>products such as toys and personal jewellery or adornments, which result in an increase of activity</w:t>
      </w:r>
      <w:r w:rsidR="00D27FAB">
        <w:t>,</w:t>
      </w:r>
      <w:r w:rsidRPr="0095256E">
        <w:t xml:space="preserve"> by the deliberate addition of radioactive substances or by activation</w:t>
      </w:r>
      <w:r w:rsidR="00D27FAB">
        <w:t>;</w:t>
      </w:r>
    </w:p>
    <w:p w:rsidR="00D77D1A" w:rsidRPr="0095256E" w:rsidRDefault="00D77D1A" w:rsidP="00AE2D09">
      <w:pPr>
        <w:pStyle w:val="ListParagraph"/>
        <w:numPr>
          <w:ilvl w:val="0"/>
          <w:numId w:val="17"/>
        </w:numPr>
        <w:tabs>
          <w:tab w:val="left" w:pos="709"/>
        </w:tabs>
        <w:spacing w:after="120" w:line="360" w:lineRule="auto"/>
        <w:ind w:left="567" w:hanging="567"/>
        <w:jc w:val="both"/>
      </w:pPr>
      <w:r w:rsidRPr="0095256E">
        <w:t>Human imaging using radiation that is performed as a form of art or for publicity purposes</w:t>
      </w:r>
      <w:r w:rsidR="00A062A2" w:rsidRPr="0095256E">
        <w:t>.</w:t>
      </w:r>
    </w:p>
    <w:p w:rsidR="002B6F4E" w:rsidRPr="002B6F4E" w:rsidRDefault="00045F5F" w:rsidP="002B6F4E">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95256E">
        <w:t xml:space="preserve">One </w:t>
      </w:r>
      <w:r w:rsidR="000A04C2" w:rsidRPr="0095256E">
        <w:t>consideration in justification is the possibility of alternative</w:t>
      </w:r>
      <w:r w:rsidR="00D27FAB">
        <w:t xml:space="preserve"> method</w:t>
      </w:r>
      <w:r w:rsidR="000A04C2" w:rsidRPr="0095256E">
        <w:t xml:space="preserve">s that do not involve </w:t>
      </w:r>
      <w:r w:rsidR="000A04C2" w:rsidRPr="00DE46AB">
        <w:t>the use of radiation or radioactive material. All alternative</w:t>
      </w:r>
      <w:r w:rsidR="00D27FAB">
        <w:t xml:space="preserve"> method</w:t>
      </w:r>
      <w:r w:rsidR="000A04C2" w:rsidRPr="00DE46AB">
        <w:t xml:space="preserve">s </w:t>
      </w:r>
      <w:r w:rsidR="00721161" w:rsidRPr="00DE46AB">
        <w:t xml:space="preserve">will </w:t>
      </w:r>
      <w:r w:rsidR="00D27FAB">
        <w:t>have</w:t>
      </w:r>
      <w:r w:rsidR="00D27FAB" w:rsidRPr="00DE46AB">
        <w:t xml:space="preserve"> </w:t>
      </w:r>
      <w:r w:rsidR="00721161" w:rsidRPr="00DE46AB">
        <w:t>their o</w:t>
      </w:r>
      <w:r w:rsidR="002B6F4E">
        <w:t>wn costs and benefits. Thus t</w:t>
      </w:r>
      <w:r w:rsidR="002B6F4E" w:rsidRPr="002B6F4E">
        <w:rPr>
          <w:color w:val="000000"/>
        </w:rPr>
        <w:t>he mere existence of an alternative method should not be used as a reason for deciding that the type of practice involving the use of radiation is not justified. Nevertheless, if such comparisons with ‘non-radioactive’ alternatives or ‘non-radiation-emitting’ alternatives are necessary, they should be undertaken with appropriate caution. The methods should be judged on the basis of their effectiveness in accomplishing the intended objective.</w:t>
      </w:r>
    </w:p>
    <w:p w:rsidR="004513BD" w:rsidRPr="00DE46AB" w:rsidRDefault="00721161" w:rsidP="002B6F4E">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 xml:space="preserve">Decisions regarding the justification of a particular type of practice </w:t>
      </w:r>
      <w:r w:rsidR="00CA2DB2" w:rsidRPr="00DE46AB">
        <w:t>should</w:t>
      </w:r>
      <w:r w:rsidRPr="00F543D6">
        <w:t xml:space="preserve"> take account of exposures to all of the relevant categories of exposure (occupational</w:t>
      </w:r>
      <w:r w:rsidR="00964F62">
        <w:t xml:space="preserve"> exposures</w:t>
      </w:r>
      <w:r w:rsidRPr="00F543D6">
        <w:t>, public exposures), and</w:t>
      </w:r>
      <w:r w:rsidR="004E2CF3" w:rsidRPr="00DE46AB">
        <w:t xml:space="preserve"> as appropriate, </w:t>
      </w:r>
      <w:r w:rsidR="00D27FAB">
        <w:t xml:space="preserve">the </w:t>
      </w:r>
      <w:r w:rsidR="007649D9" w:rsidRPr="00DE46AB">
        <w:t xml:space="preserve">assessment of the </w:t>
      </w:r>
      <w:r w:rsidR="004E2CF3" w:rsidRPr="00DE46AB">
        <w:t>r</w:t>
      </w:r>
      <w:r w:rsidRPr="00DE46AB">
        <w:t>adiological environmental impact</w:t>
      </w:r>
      <w:r w:rsidR="007649D9" w:rsidRPr="00DE46AB">
        <w:t>.</w:t>
      </w:r>
      <w:r w:rsidRPr="00DE46AB">
        <w:t xml:space="preserve"> </w:t>
      </w:r>
      <w:r w:rsidR="003609C9" w:rsidRPr="00DE46AB">
        <w:t>T</w:t>
      </w:r>
      <w:r w:rsidRPr="00DE46AB">
        <w:t xml:space="preserve">he decision </w:t>
      </w:r>
      <w:r w:rsidR="00CA2DB2" w:rsidRPr="00DE46AB">
        <w:t>should</w:t>
      </w:r>
      <w:r w:rsidRPr="00F543D6">
        <w:t xml:space="preserve"> include </w:t>
      </w:r>
      <w:r w:rsidR="003609C9" w:rsidRPr="00DE46AB">
        <w:t xml:space="preserve">consideration of </w:t>
      </w:r>
      <w:r w:rsidR="000A04C2" w:rsidRPr="00DE46AB">
        <w:t>exposures</w:t>
      </w:r>
      <w:r w:rsidR="003E3E7C">
        <w:t xml:space="preserve"> expected to occur</w:t>
      </w:r>
      <w:r w:rsidR="000A04C2" w:rsidRPr="00F543D6">
        <w:t xml:space="preserve"> </w:t>
      </w:r>
      <w:r w:rsidRPr="00DE46AB">
        <w:t xml:space="preserve">and </w:t>
      </w:r>
      <w:r w:rsidR="000A04C2" w:rsidRPr="00DE46AB">
        <w:t xml:space="preserve">the possibility of </w:t>
      </w:r>
      <w:r w:rsidR="007454FE" w:rsidRPr="00DE46AB">
        <w:t>accidents</w:t>
      </w:r>
      <w:r w:rsidR="000A04C2" w:rsidRPr="00DE46AB">
        <w:t xml:space="preserve"> (</w:t>
      </w:r>
      <w:r w:rsidRPr="00DE46AB">
        <w:t>potential exposures</w:t>
      </w:r>
      <w:r w:rsidR="000A04C2" w:rsidRPr="00DE46AB">
        <w:t>)</w:t>
      </w:r>
      <w:r w:rsidRPr="00DE46AB">
        <w:t xml:space="preserve"> </w:t>
      </w:r>
      <w:r w:rsidR="00D27FAB">
        <w:t>in</w:t>
      </w:r>
      <w:r w:rsidR="00D27FAB" w:rsidRPr="00DE46AB">
        <w:t xml:space="preserve"> </w:t>
      </w:r>
      <w:r w:rsidRPr="00DE46AB">
        <w:t>operations, decommissioning</w:t>
      </w:r>
      <w:r w:rsidR="00D27FAB">
        <w:t xml:space="preserve"> or</w:t>
      </w:r>
      <w:r w:rsidRPr="00DE46AB">
        <w:t xml:space="preserve"> waste management. Justification </w:t>
      </w:r>
      <w:r w:rsidR="00CA2DB2" w:rsidRPr="00DE46AB">
        <w:t>should</w:t>
      </w:r>
      <w:r w:rsidRPr="00F543D6">
        <w:t xml:space="preserve"> not be </w:t>
      </w:r>
      <w:r w:rsidR="000A04C2" w:rsidRPr="00DE46AB">
        <w:t xml:space="preserve">separately </w:t>
      </w:r>
      <w:r w:rsidRPr="00DE46AB">
        <w:t xml:space="preserve">applied to one component </w:t>
      </w:r>
      <w:r w:rsidR="00D27FAB">
        <w:t>part</w:t>
      </w:r>
      <w:r w:rsidR="00D27FAB" w:rsidRPr="00DE46AB">
        <w:t xml:space="preserve"> </w:t>
      </w:r>
      <w:r w:rsidRPr="00DE46AB">
        <w:t>of a practice, such as the management of radioactive waste</w:t>
      </w:r>
      <w:r w:rsidR="0005587B">
        <w:t xml:space="preserve"> at a nuclear power plant</w:t>
      </w:r>
      <w:r w:rsidRPr="00DE46AB">
        <w:t xml:space="preserve">. </w:t>
      </w:r>
    </w:p>
    <w:p w:rsidR="004513BD" w:rsidRPr="00DE46AB" w:rsidRDefault="00977B64"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t xml:space="preserve">In some </w:t>
      </w:r>
      <w:r w:rsidR="00D27FAB">
        <w:t>States</w:t>
      </w:r>
      <w:r w:rsidR="0024152A">
        <w:t>,</w:t>
      </w:r>
      <w:r>
        <w:t xml:space="preserve"> </w:t>
      </w:r>
      <w:r w:rsidR="0024152A">
        <w:t xml:space="preserve">many </w:t>
      </w:r>
      <w:r w:rsidR="00B166E6" w:rsidRPr="00DE46AB">
        <w:t xml:space="preserve">of the facilities and activities </w:t>
      </w:r>
      <w:r w:rsidR="00E57FF2">
        <w:t>that</w:t>
      </w:r>
      <w:r w:rsidR="00E57FF2" w:rsidRPr="00DE46AB">
        <w:t xml:space="preserve"> </w:t>
      </w:r>
      <w:r w:rsidR="00E57FF2">
        <w:t>produce</w:t>
      </w:r>
      <w:r w:rsidR="00E57FF2" w:rsidRPr="00DE46AB">
        <w:t xml:space="preserve"> </w:t>
      </w:r>
      <w:r w:rsidR="00B166E6" w:rsidRPr="00DE46AB">
        <w:t xml:space="preserve">radiation exposures may not have been subject </w:t>
      </w:r>
      <w:r w:rsidR="00E57FF2">
        <w:t>to</w:t>
      </w:r>
      <w:r w:rsidR="00E57FF2" w:rsidRPr="00DE46AB">
        <w:t xml:space="preserve"> </w:t>
      </w:r>
      <w:r w:rsidR="00B166E6" w:rsidRPr="00DE46AB">
        <w:t>a formal justification process. A formal procedure of justification w</w:t>
      </w:r>
      <w:r>
        <w:t>ould</w:t>
      </w:r>
      <w:r w:rsidR="00B166E6" w:rsidRPr="00DE46AB">
        <w:t xml:space="preserve"> normally only take place when new techniques are to be authorized for the first time. Nevertheless, the justification for any particular type of practice </w:t>
      </w:r>
      <w:r w:rsidR="00714FCF">
        <w:t>is required to</w:t>
      </w:r>
      <w:r w:rsidR="00714FCF" w:rsidRPr="00F543D6">
        <w:t xml:space="preserve"> </w:t>
      </w:r>
      <w:r w:rsidR="00B166E6" w:rsidRPr="00F543D6">
        <w:t xml:space="preserve">be subject to review. </w:t>
      </w:r>
    </w:p>
    <w:p w:rsidR="004513BD" w:rsidRPr="00DE46AB" w:rsidRDefault="00E06BC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t>G</w:t>
      </w:r>
      <w:r w:rsidR="00727E15" w:rsidRPr="00DE46AB">
        <w:t xml:space="preserve">uidance on the elements that </w:t>
      </w:r>
      <w:r w:rsidR="00CA2DB2" w:rsidRPr="00DE46AB">
        <w:t>should</w:t>
      </w:r>
      <w:r w:rsidR="00727E15" w:rsidRPr="00F543D6">
        <w:t xml:space="preserve"> be considered and the process that </w:t>
      </w:r>
      <w:r w:rsidR="00CA2DB2" w:rsidRPr="00DE46AB">
        <w:t>should</w:t>
      </w:r>
      <w:r w:rsidR="00727E15" w:rsidRPr="00F543D6">
        <w:t xml:space="preserve"> be followed in determining </w:t>
      </w:r>
      <w:r w:rsidR="00BC0CF6" w:rsidRPr="00DE46AB">
        <w:t>whether</w:t>
      </w:r>
      <w:r w:rsidR="00727E15" w:rsidRPr="00DE46AB">
        <w:t xml:space="preserve"> the introduction of a particular type of practice is justified is provided in </w:t>
      </w:r>
      <w:r w:rsidR="008576A0">
        <w:t>GSG-5</w:t>
      </w:r>
      <w:r w:rsidR="00581FB9" w:rsidRPr="00DE46AB">
        <w:t xml:space="preserve"> [</w:t>
      </w:r>
      <w:r w:rsidR="00824FD8">
        <w:t>8</w:t>
      </w:r>
      <w:r w:rsidR="00727E15" w:rsidRPr="00DE46AB">
        <w:t>].</w:t>
      </w:r>
    </w:p>
    <w:p w:rsidR="004513BD" w:rsidRPr="00DE46AB" w:rsidRDefault="00721161" w:rsidP="00477ED7">
      <w:pPr>
        <w:tabs>
          <w:tab w:val="left" w:pos="709"/>
        </w:tabs>
        <w:spacing w:after="120" w:line="360" w:lineRule="auto"/>
      </w:pPr>
      <w:r w:rsidRPr="00DE46AB">
        <w:rPr>
          <w:b/>
        </w:rPr>
        <w:t>Optimization</w:t>
      </w:r>
      <w:r w:rsidR="00C6333E" w:rsidRPr="00DE46AB">
        <w:rPr>
          <w:b/>
        </w:rPr>
        <w:t xml:space="preserve"> of protection</w:t>
      </w:r>
      <w:r w:rsidR="0019795E" w:rsidRPr="00DE46AB">
        <w:rPr>
          <w:b/>
        </w:rPr>
        <w:t xml:space="preserve"> and safety</w:t>
      </w:r>
    </w:p>
    <w:p w:rsidR="00FD4C99" w:rsidRPr="00BB4496" w:rsidRDefault="0051370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Requirement 11 of</w:t>
      </w:r>
      <w:r w:rsidR="008B2799">
        <w:t xml:space="preserve"> GSR Part 3</w:t>
      </w:r>
      <w:r w:rsidRPr="00DE46AB">
        <w:t xml:space="preserve"> </w:t>
      </w:r>
      <w:r w:rsidR="00871F51">
        <w:t xml:space="preserve">[2] </w:t>
      </w:r>
      <w:r w:rsidRPr="00DE46AB">
        <w:t xml:space="preserve">states that </w:t>
      </w:r>
    </w:p>
    <w:p w:rsidR="004513BD" w:rsidRPr="00392E6D" w:rsidRDefault="007F19DB" w:rsidP="00BB4496">
      <w:pPr>
        <w:tabs>
          <w:tab w:val="left" w:pos="709"/>
        </w:tabs>
        <w:spacing w:after="120" w:line="360" w:lineRule="auto"/>
        <w:ind w:left="567"/>
      </w:pPr>
      <w:r w:rsidRPr="00DE46AB">
        <w:lastRenderedPageBreak/>
        <w:t>“</w:t>
      </w:r>
      <w:r w:rsidR="00FD4C99">
        <w:t>The g</w:t>
      </w:r>
      <w:r w:rsidR="00513702" w:rsidRPr="00F543D6">
        <w:t>overnment or regulatory body shall establish and enforce requirements for the opti</w:t>
      </w:r>
      <w:r w:rsidR="00513702" w:rsidRPr="00DE46AB">
        <w:t>mization of protection and safety, and registrants and licensees shall ensure that protection and safety is optimized.</w:t>
      </w:r>
      <w:r w:rsidRPr="00DE46AB">
        <w:t>”</w:t>
      </w:r>
    </w:p>
    <w:p w:rsidR="005217D7" w:rsidRPr="00DE46AB" w:rsidRDefault="000A04C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 xml:space="preserve">Optimization of protection </w:t>
      </w:r>
      <w:r w:rsidR="00714FCF">
        <w:t xml:space="preserve">and safety </w:t>
      </w:r>
      <w:r w:rsidRPr="00DE46AB">
        <w:t>for a planned exposure situation will include both formal reviews as part of the application and authorization process at the design and construction stage, and reviews during operation.</w:t>
      </w:r>
    </w:p>
    <w:p w:rsidR="005217D7" w:rsidRPr="00DE46AB" w:rsidRDefault="000A04C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Optimization</w:t>
      </w:r>
      <w:r w:rsidR="00721161" w:rsidRPr="00DE46AB">
        <w:t xml:space="preserve"> of protection </w:t>
      </w:r>
      <w:r w:rsidR="00714FCF">
        <w:t xml:space="preserve">and safety </w:t>
      </w:r>
      <w:r w:rsidR="00721161" w:rsidRPr="00DE46AB">
        <w:t xml:space="preserve">can be applied to </w:t>
      </w:r>
      <w:r w:rsidR="00714FCF">
        <w:t xml:space="preserve">the </w:t>
      </w:r>
      <w:r w:rsidR="00721161" w:rsidRPr="00DE46AB">
        <w:t xml:space="preserve">components </w:t>
      </w:r>
      <w:r w:rsidR="00714FCF">
        <w:t>part</w:t>
      </w:r>
      <w:r w:rsidR="00714FCF" w:rsidRPr="00DE46AB">
        <w:t xml:space="preserve"> </w:t>
      </w:r>
      <w:r w:rsidR="00721161" w:rsidRPr="00DE46AB">
        <w:t xml:space="preserve">of a particular practice and </w:t>
      </w:r>
      <w:r w:rsidR="00714FCF">
        <w:t xml:space="preserve">can be </w:t>
      </w:r>
      <w:r w:rsidR="00721161" w:rsidRPr="00DE46AB">
        <w:t>limited to consideration of the doses to particular groups</w:t>
      </w:r>
      <w:r w:rsidR="00FA1CE5">
        <w:t xml:space="preserve"> of people</w:t>
      </w:r>
      <w:r w:rsidR="00721161" w:rsidRPr="00DE46AB">
        <w:t>. However, the boundar</w:t>
      </w:r>
      <w:r w:rsidR="00AD6E68">
        <w:t>y condition</w:t>
      </w:r>
      <w:r w:rsidR="00721161" w:rsidRPr="00DE46AB">
        <w:t xml:space="preserve">s </w:t>
      </w:r>
      <w:r w:rsidR="00FE78FD">
        <w:t>for</w:t>
      </w:r>
      <w:r w:rsidR="00FE78FD" w:rsidRPr="00DE46AB">
        <w:t xml:space="preserve"> </w:t>
      </w:r>
      <w:r w:rsidR="00721161" w:rsidRPr="00DE46AB">
        <w:t xml:space="preserve">any analysis </w:t>
      </w:r>
      <w:r w:rsidR="00714FCF">
        <w:t xml:space="preserve">for the purposes of optimization </w:t>
      </w:r>
      <w:r w:rsidR="00CA2DB2" w:rsidRPr="00DE46AB">
        <w:t>should</w:t>
      </w:r>
      <w:r w:rsidR="00721161" w:rsidRPr="00F543D6">
        <w:t xml:space="preserve"> be carefully chosen since</w:t>
      </w:r>
      <w:r w:rsidR="00721161" w:rsidRPr="00DE46AB">
        <w:t xml:space="preserve"> there may be consequences for other component</w:t>
      </w:r>
      <w:r w:rsidR="00FE78FD">
        <w:t xml:space="preserve"> part</w:t>
      </w:r>
      <w:r w:rsidR="00721161" w:rsidRPr="00DE46AB">
        <w:t xml:space="preserve">s </w:t>
      </w:r>
      <w:r w:rsidR="00FE78FD">
        <w:t>of the practice or other</w:t>
      </w:r>
      <w:r w:rsidR="00721161" w:rsidRPr="00DE46AB">
        <w:t xml:space="preserve"> groups</w:t>
      </w:r>
      <w:r w:rsidR="00FE78FD">
        <w:t xml:space="preserve"> of people</w:t>
      </w:r>
      <w:r w:rsidR="00721161" w:rsidRPr="00DE46AB">
        <w:t xml:space="preserve">. For instance, the costs and benefits of different effluent treatment options </w:t>
      </w:r>
      <w:r w:rsidR="00FA1CE5">
        <w:t>at a nuclear power plant should</w:t>
      </w:r>
      <w:r w:rsidR="00FA1CE5" w:rsidRPr="00DE46AB">
        <w:t xml:space="preserve"> </w:t>
      </w:r>
      <w:r w:rsidR="00721161" w:rsidRPr="00DE46AB">
        <w:t xml:space="preserve">be considered in the optimization of protection of the public and </w:t>
      </w:r>
      <w:r w:rsidR="00FE78FD">
        <w:t xml:space="preserve">protection of </w:t>
      </w:r>
      <w:r w:rsidR="00721161" w:rsidRPr="00DE46AB">
        <w:t xml:space="preserve">the environment </w:t>
      </w:r>
      <w:r w:rsidR="00FE78FD">
        <w:t xml:space="preserve">against </w:t>
      </w:r>
      <w:r w:rsidR="00721161" w:rsidRPr="00DE46AB">
        <w:t>expos</w:t>
      </w:r>
      <w:r w:rsidR="00FE78FD">
        <w:t>ures due to</w:t>
      </w:r>
      <w:r w:rsidR="00721161" w:rsidRPr="00DE46AB">
        <w:t xml:space="preserve"> radioactive discharges to the environment. Some of th</w:t>
      </w:r>
      <w:r w:rsidR="00FA1CE5">
        <w:t>e</w:t>
      </w:r>
      <w:r w:rsidR="00721161" w:rsidRPr="00DE46AB">
        <w:t xml:space="preserve">se options may have significant </w:t>
      </w:r>
      <w:r w:rsidR="00FA1CE5">
        <w:t xml:space="preserve">implications </w:t>
      </w:r>
      <w:r w:rsidR="00721161" w:rsidRPr="00DE46AB">
        <w:t xml:space="preserve">for the </w:t>
      </w:r>
      <w:r w:rsidR="00FA1CE5">
        <w:t xml:space="preserve">way </w:t>
      </w:r>
      <w:r w:rsidR="00721161" w:rsidRPr="00DE46AB">
        <w:t>solid wastes</w:t>
      </w:r>
      <w:r w:rsidR="00FA1CE5">
        <w:t xml:space="preserve"> are stored at the facility</w:t>
      </w:r>
      <w:r w:rsidR="00721161" w:rsidRPr="00DE46AB">
        <w:t xml:space="preserve">, or for the </w:t>
      </w:r>
      <w:r w:rsidR="0099295C" w:rsidRPr="00DE46AB">
        <w:t xml:space="preserve">occupational </w:t>
      </w:r>
      <w:r w:rsidR="00721161" w:rsidRPr="00DE46AB">
        <w:t xml:space="preserve">exposure of workers, which also </w:t>
      </w:r>
      <w:r w:rsidR="00FE78FD">
        <w:t xml:space="preserve">have to </w:t>
      </w:r>
      <w:r w:rsidR="00721161" w:rsidRPr="00DE46AB">
        <w:t xml:space="preserve">be considered </w:t>
      </w:r>
      <w:r w:rsidR="00FA1CE5">
        <w:t>in the optimization process</w:t>
      </w:r>
      <w:r w:rsidR="00721161" w:rsidRPr="00DE46AB">
        <w:t>.</w:t>
      </w:r>
    </w:p>
    <w:p w:rsidR="005217D7" w:rsidRPr="00DE46AB" w:rsidRDefault="000A04C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Optimization decisions involve many different factors, and thus may benefit from consideration in a matrix type of approach</w:t>
      </w:r>
      <w:r w:rsidR="0071171F">
        <w:t xml:space="preserve"> [</w:t>
      </w:r>
      <w:r w:rsidR="009C2E02">
        <w:t>2</w:t>
      </w:r>
      <w:r w:rsidR="008576A0">
        <w:t>3</w:t>
      </w:r>
      <w:r w:rsidR="0071171F">
        <w:t>]</w:t>
      </w:r>
      <w:r w:rsidRPr="00DE46AB">
        <w:t xml:space="preserve">, where the different </w:t>
      </w:r>
      <w:r w:rsidR="00FE78FD">
        <w:t>elements of the matrix</w:t>
      </w:r>
      <w:r w:rsidRPr="00DE46AB">
        <w:t xml:space="preserve">, including protection of the public and of the environment, are considerations contributing to the overall decision. </w:t>
      </w:r>
    </w:p>
    <w:p w:rsidR="005217D7" w:rsidRPr="00DE46AB" w:rsidRDefault="00B42A03" w:rsidP="00477ED7">
      <w:pPr>
        <w:pStyle w:val="ListParagraph"/>
        <w:tabs>
          <w:tab w:val="left" w:pos="709"/>
        </w:tabs>
        <w:autoSpaceDE w:val="0"/>
        <w:autoSpaceDN w:val="0"/>
        <w:adjustRightInd w:val="0"/>
        <w:spacing w:after="120" w:line="360" w:lineRule="auto"/>
        <w:ind w:left="0"/>
        <w:contextualSpacing w:val="0"/>
        <w:jc w:val="both"/>
        <w:rPr>
          <w:rFonts w:eastAsia="Times New Roman"/>
          <w:szCs w:val="20"/>
          <w:lang w:eastAsia="en-US"/>
        </w:rPr>
      </w:pPr>
      <w:r>
        <w:rPr>
          <w:i/>
        </w:rPr>
        <w:t>Dose</w:t>
      </w:r>
      <w:r w:rsidR="006E3800">
        <w:rPr>
          <w:i/>
        </w:rPr>
        <w:t xml:space="preserve"> constraints</w:t>
      </w:r>
      <w:r>
        <w:rPr>
          <w:i/>
        </w:rPr>
        <w:t xml:space="preserve"> and risk c</w:t>
      </w:r>
      <w:r w:rsidR="00B94BA2" w:rsidRPr="00DE46AB">
        <w:rPr>
          <w:i/>
        </w:rPr>
        <w:t xml:space="preserve">onstraints  </w:t>
      </w:r>
    </w:p>
    <w:p w:rsidR="005217D7" w:rsidRPr="00C80AED" w:rsidRDefault="00061554"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t>D</w:t>
      </w:r>
      <w:r w:rsidR="00B94BA2" w:rsidRPr="00DE46AB">
        <w:t>ose constraint</w:t>
      </w:r>
      <w:r>
        <w:t>s</w:t>
      </w:r>
      <w:r w:rsidR="00B94BA2" w:rsidRPr="00DE46AB">
        <w:t xml:space="preserve"> </w:t>
      </w:r>
      <w:r w:rsidR="00092A58">
        <w:t>should be</w:t>
      </w:r>
      <w:r w:rsidR="00B94BA2" w:rsidRPr="00DE46AB">
        <w:t xml:space="preserve"> expressed in terms of effective dose</w:t>
      </w:r>
      <w:r>
        <w:t>.</w:t>
      </w:r>
      <w:r w:rsidR="00B94BA2" w:rsidRPr="00DE46AB">
        <w:t xml:space="preserve"> </w:t>
      </w:r>
      <w:r w:rsidR="00B42A03">
        <w:t xml:space="preserve"> </w:t>
      </w:r>
      <w:r>
        <w:t>T</w:t>
      </w:r>
      <w:r w:rsidR="00B42A03">
        <w:t>he dose calculated for comparison with the dose const</w:t>
      </w:r>
      <w:r w:rsidR="00BE6012">
        <w:t>r</w:t>
      </w:r>
      <w:r w:rsidR="00B42A03">
        <w:t>aint</w:t>
      </w:r>
      <w:r w:rsidR="00B94BA2" w:rsidRPr="00DE46AB">
        <w:t xml:space="preserve"> </w:t>
      </w:r>
      <w:r w:rsidR="00E43343" w:rsidRPr="006C448D">
        <w:t xml:space="preserve">is the sum of the effective dose </w:t>
      </w:r>
      <w:r>
        <w:t>received</w:t>
      </w:r>
      <w:r w:rsidRPr="006C448D">
        <w:t xml:space="preserve"> </w:t>
      </w:r>
      <w:r>
        <w:t>in</w:t>
      </w:r>
      <w:r w:rsidRPr="006C448D">
        <w:t xml:space="preserve"> </w:t>
      </w:r>
      <w:r w:rsidR="00E43343" w:rsidRPr="006C448D">
        <w:t xml:space="preserve">one year from external exposure and the committed effective dose </w:t>
      </w:r>
      <w:r>
        <w:t xml:space="preserve">received in this year </w:t>
      </w:r>
      <w:r w:rsidR="00E43343" w:rsidRPr="006C448D">
        <w:t xml:space="preserve">from </w:t>
      </w:r>
      <w:r w:rsidR="00E43343">
        <w:t>internal exposure</w:t>
      </w:r>
      <w:r w:rsidR="00B94BA2" w:rsidRPr="00F543D6">
        <w:t xml:space="preserve">. </w:t>
      </w:r>
    </w:p>
    <w:p w:rsidR="00C80AED" w:rsidRPr="00DE46AB" w:rsidRDefault="00C80AED"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t xml:space="preserve">The dose constraint for a particular source is intended to ensure that the sum of the doses from planned operations for all sources that may contribute to the exposure of the representative person remains within the dose limit. In this respect, possible future practices at the design </w:t>
      </w:r>
      <w:r w:rsidR="00821F61">
        <w:t xml:space="preserve">stage or </w:t>
      </w:r>
      <w:r>
        <w:t>planning stage should be considered in establishing the dose constraint.</w:t>
      </w:r>
    </w:p>
    <w:p w:rsidR="00E4635C" w:rsidRDefault="001865A3"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rsidRPr="00DE46AB">
        <w:t>Dose constra</w:t>
      </w:r>
      <w:r w:rsidR="001124C4" w:rsidRPr="00DE46AB">
        <w:t>i</w:t>
      </w:r>
      <w:r w:rsidRPr="00DE46AB">
        <w:t xml:space="preserve">nts for public exposure in planned exposure situations are </w:t>
      </w:r>
      <w:r w:rsidR="00E206D7" w:rsidRPr="00DE46AB">
        <w:t xml:space="preserve">required to be </w:t>
      </w:r>
      <w:r w:rsidR="00A85B50">
        <w:t>established or approved</w:t>
      </w:r>
      <w:r w:rsidR="00A85B50" w:rsidRPr="00DE46AB">
        <w:t xml:space="preserve"> </w:t>
      </w:r>
      <w:r w:rsidRPr="00DE46AB">
        <w:t xml:space="preserve">by the government or the regulatory </w:t>
      </w:r>
      <w:r w:rsidR="00821F61">
        <w:t xml:space="preserve">body </w:t>
      </w:r>
      <w:r w:rsidR="00092A58">
        <w:t>(para</w:t>
      </w:r>
      <w:r w:rsidR="00920C52">
        <w:t>.</w:t>
      </w:r>
      <w:r w:rsidR="00092A58">
        <w:t xml:space="preserve"> 3.120 of </w:t>
      </w:r>
      <w:r w:rsidR="007E46C8">
        <w:t>GSR</w:t>
      </w:r>
      <w:r w:rsidR="008B2799">
        <w:t> </w:t>
      </w:r>
      <w:r w:rsidR="007E46C8">
        <w:t xml:space="preserve">Part 3 </w:t>
      </w:r>
      <w:r w:rsidR="00092A58">
        <w:t>[2])</w:t>
      </w:r>
      <w:r w:rsidRPr="00DE46AB">
        <w:t>.</w:t>
      </w:r>
      <w:r w:rsidR="001124C4" w:rsidRPr="00DE46AB">
        <w:t xml:space="preserve"> </w:t>
      </w:r>
      <w:r w:rsidR="006B293A">
        <w:t>The dose constraint can be proposed by the</w:t>
      </w:r>
      <w:r w:rsidR="00821F61">
        <w:t xml:space="preserve"> registrant or licensee or</w:t>
      </w:r>
      <w:r w:rsidR="006B293A">
        <w:t xml:space="preserve"> operating </w:t>
      </w:r>
      <w:r w:rsidR="006B293A">
        <w:lastRenderedPageBreak/>
        <w:t xml:space="preserve">organization </w:t>
      </w:r>
      <w:r w:rsidR="00545CE3">
        <w:t xml:space="preserve">and </w:t>
      </w:r>
      <w:r w:rsidR="00821F61">
        <w:t xml:space="preserve">be </w:t>
      </w:r>
      <w:r w:rsidR="00545CE3">
        <w:t>subject to</w:t>
      </w:r>
      <w:r w:rsidR="006B293A">
        <w:t xml:space="preserve"> review and approval by the regulatory body. </w:t>
      </w:r>
      <w:r w:rsidR="001124C4" w:rsidRPr="00DE46AB">
        <w:t>In setting dose constraints, the characteristics of the site and of the facility or activity</w:t>
      </w:r>
      <w:r w:rsidR="00850340">
        <w:t xml:space="preserve"> that are relevant for public exposure</w:t>
      </w:r>
      <w:r w:rsidR="001124C4" w:rsidRPr="00DE46AB">
        <w:t xml:space="preserve">, </w:t>
      </w:r>
      <w:r w:rsidR="00850340">
        <w:t xml:space="preserve">good practices in the operation of similar sources, the dose contribution from other </w:t>
      </w:r>
      <w:r w:rsidR="00821F61">
        <w:t xml:space="preserve">relevant </w:t>
      </w:r>
      <w:r w:rsidR="00850340">
        <w:t xml:space="preserve">authorized practices, </w:t>
      </w:r>
      <w:r w:rsidR="001124C4" w:rsidRPr="00DE46AB">
        <w:t xml:space="preserve">the scenarios for exposure and the views of interested parties </w:t>
      </w:r>
      <w:r w:rsidR="00CA2DB2" w:rsidRPr="00DE46AB">
        <w:t>should</w:t>
      </w:r>
      <w:r w:rsidR="001124C4" w:rsidRPr="00F543D6">
        <w:t xml:space="preserve"> </w:t>
      </w:r>
      <w:r w:rsidR="00850340">
        <w:t xml:space="preserve">all </w:t>
      </w:r>
      <w:r w:rsidR="001124C4" w:rsidRPr="00F543D6">
        <w:t xml:space="preserve">be considered. </w:t>
      </w:r>
    </w:p>
    <w:p w:rsidR="00850340" w:rsidRPr="00C06782" w:rsidRDefault="00850340"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t>D</w:t>
      </w:r>
      <w:r w:rsidR="0033684B" w:rsidRPr="00DE46AB">
        <w:t>ose constraint</w:t>
      </w:r>
      <w:r>
        <w:t>s</w:t>
      </w:r>
      <w:r w:rsidR="00504019">
        <w:t xml:space="preserve"> are </w:t>
      </w:r>
      <w:r w:rsidR="00821F61">
        <w:t xml:space="preserve">should </w:t>
      </w:r>
      <w:r w:rsidR="00504019">
        <w:t>be</w:t>
      </w:r>
      <w:r w:rsidR="0033684B" w:rsidRPr="00DE46AB">
        <w:t xml:space="preserve"> established </w:t>
      </w:r>
      <w:r w:rsidR="00821F61">
        <w:t>in respect of</w:t>
      </w:r>
      <w:r w:rsidR="00821F61" w:rsidRPr="00DE46AB">
        <w:t xml:space="preserve"> </w:t>
      </w:r>
      <w:r w:rsidR="0033684B" w:rsidRPr="00DE46AB">
        <w:t xml:space="preserve">public exposure </w:t>
      </w:r>
      <w:r w:rsidR="00821F61">
        <w:t>due to</w:t>
      </w:r>
      <w:r w:rsidR="00504019">
        <w:t xml:space="preserve"> all sources for which an application for authorization is made</w:t>
      </w:r>
      <w:r w:rsidR="00A47BD6">
        <w:t xml:space="preserve">, </w:t>
      </w:r>
      <w:r w:rsidR="00821F61">
        <w:t xml:space="preserve">for example, for </w:t>
      </w:r>
      <w:r w:rsidR="00643343">
        <w:t xml:space="preserve">discharges </w:t>
      </w:r>
      <w:r w:rsidR="0033684B" w:rsidRPr="00DE46AB">
        <w:t xml:space="preserve">to the environment </w:t>
      </w:r>
      <w:r w:rsidR="00643343">
        <w:t>during normal operation</w:t>
      </w:r>
      <w:r w:rsidR="00643343" w:rsidRPr="00DE46AB">
        <w:t xml:space="preserve"> </w:t>
      </w:r>
      <w:r>
        <w:t>from</w:t>
      </w:r>
      <w:r w:rsidRPr="00DE46AB">
        <w:t xml:space="preserve"> </w:t>
      </w:r>
      <w:r w:rsidR="0033684B" w:rsidRPr="00DE46AB">
        <w:t>facilit</w:t>
      </w:r>
      <w:r w:rsidR="00643343">
        <w:t>ies</w:t>
      </w:r>
      <w:r w:rsidR="002B5E48">
        <w:t xml:space="preserve"> or activit</w:t>
      </w:r>
      <w:r w:rsidR="00643343">
        <w:t>ies</w:t>
      </w:r>
      <w:r w:rsidR="00821F61">
        <w:t xml:space="preserve"> or</w:t>
      </w:r>
      <w:r w:rsidR="00705F33" w:rsidRPr="00DE46AB">
        <w:t xml:space="preserve"> for </w:t>
      </w:r>
      <w:r w:rsidR="00E83A57" w:rsidRPr="00DE46AB">
        <w:t>optimizing</w:t>
      </w:r>
      <w:r w:rsidR="00705F33" w:rsidRPr="00DE46AB">
        <w:t xml:space="preserve"> the </w:t>
      </w:r>
      <w:r w:rsidR="001124C4" w:rsidRPr="00DE46AB">
        <w:t>shielding</w:t>
      </w:r>
      <w:r w:rsidR="00705F33" w:rsidRPr="00DE46AB">
        <w:t xml:space="preserve"> </w:t>
      </w:r>
      <w:r w:rsidR="00D77D1A">
        <w:t>in the design of facilit</w:t>
      </w:r>
      <w:r w:rsidR="00643343">
        <w:t>ies</w:t>
      </w:r>
      <w:r w:rsidR="00D77D1A">
        <w:t xml:space="preserve"> or activit</w:t>
      </w:r>
      <w:r w:rsidR="00643343">
        <w:t>ies</w:t>
      </w:r>
      <w:r w:rsidR="00D77D1A">
        <w:t xml:space="preserve"> </w:t>
      </w:r>
      <w:r w:rsidR="00936AE2">
        <w:t>(</w:t>
      </w:r>
      <w:r w:rsidR="00D77D1A">
        <w:t>e.g.</w:t>
      </w:r>
      <w:r w:rsidR="001124C4" w:rsidRPr="00DE46AB">
        <w:t xml:space="preserve"> a</w:t>
      </w:r>
      <w:r w:rsidR="00E83A57" w:rsidRPr="00DE46AB">
        <w:t xml:space="preserve"> </w:t>
      </w:r>
      <w:r w:rsidR="00705F33" w:rsidRPr="00DE46AB">
        <w:t xml:space="preserve">room </w:t>
      </w:r>
      <w:r w:rsidR="00E83A57" w:rsidRPr="00DE46AB">
        <w:t xml:space="preserve">used for </w:t>
      </w:r>
      <w:r w:rsidR="00470DE4" w:rsidRPr="00DE46AB">
        <w:t>X</w:t>
      </w:r>
      <w:r w:rsidR="00821F61">
        <w:t xml:space="preserve"> </w:t>
      </w:r>
      <w:r w:rsidR="00E83A57" w:rsidRPr="00DE46AB">
        <w:t xml:space="preserve">ray </w:t>
      </w:r>
      <w:r w:rsidR="00470DE4" w:rsidRPr="00DE46AB">
        <w:t>imaging</w:t>
      </w:r>
      <w:r w:rsidR="00E83A57" w:rsidRPr="00F543D6">
        <w:t xml:space="preserve"> in a hospital </w:t>
      </w:r>
      <w:r w:rsidR="00A47BD6">
        <w:t xml:space="preserve">or in an </w:t>
      </w:r>
      <w:r w:rsidR="00E83A57" w:rsidRPr="00DE46AB">
        <w:t>industrial radiography</w:t>
      </w:r>
      <w:r w:rsidR="00A47BD6">
        <w:t xml:space="preserve"> facility</w:t>
      </w:r>
      <w:r w:rsidR="00E83A57" w:rsidRPr="00DE46AB">
        <w:t xml:space="preserve">). </w:t>
      </w:r>
    </w:p>
    <w:p w:rsidR="00E4635C" w:rsidRPr="004514EF" w:rsidRDefault="00677ADF"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t xml:space="preserve">The value </w:t>
      </w:r>
      <w:r w:rsidR="00821F61">
        <w:t>for the</w:t>
      </w:r>
      <w:r w:rsidRPr="00DE46AB">
        <w:t xml:space="preserve"> dose constraint for public exposure in a planned exposure situation </w:t>
      </w:r>
      <w:r w:rsidR="00CA2DB2" w:rsidRPr="00DE46AB">
        <w:t>should</w:t>
      </w:r>
      <w:r w:rsidR="0033684B" w:rsidRPr="00F543D6">
        <w:t xml:space="preserve"> </w:t>
      </w:r>
      <w:r w:rsidRPr="00DE46AB">
        <w:t>be below the dose limit</w:t>
      </w:r>
      <w:r w:rsidR="00936AE2">
        <w:t xml:space="preserve"> </w:t>
      </w:r>
      <w:r w:rsidR="00936AE2" w:rsidRPr="00DE46AB">
        <w:t>for the effective dose</w:t>
      </w:r>
      <w:r w:rsidR="00936AE2">
        <w:t xml:space="preserve"> of</w:t>
      </w:r>
      <w:r w:rsidRPr="00DE46AB">
        <w:t xml:space="preserve"> 1 </w:t>
      </w:r>
      <w:proofErr w:type="spellStart"/>
      <w:r w:rsidRPr="00DE46AB">
        <w:t>mSv</w:t>
      </w:r>
      <w:proofErr w:type="spellEnd"/>
      <w:r w:rsidRPr="00DE46AB">
        <w:t xml:space="preserve"> </w:t>
      </w:r>
      <w:r w:rsidR="00AF4627">
        <w:t>in a year</w:t>
      </w:r>
      <w:r w:rsidR="00D46DE0">
        <w:t xml:space="preserve">. The dose limit applies to </w:t>
      </w:r>
      <w:r w:rsidR="00AF4627">
        <w:t xml:space="preserve">the </w:t>
      </w:r>
      <w:r w:rsidR="00D46DE0">
        <w:t xml:space="preserve">total </w:t>
      </w:r>
      <w:r w:rsidR="00AF4627">
        <w:t xml:space="preserve">dose </w:t>
      </w:r>
      <w:r w:rsidR="00D46DE0">
        <w:t xml:space="preserve">received by an individual </w:t>
      </w:r>
      <w:r w:rsidR="00AF4627">
        <w:t xml:space="preserve">from </w:t>
      </w:r>
      <w:r w:rsidR="00AF4627" w:rsidRPr="00AF4627">
        <w:t xml:space="preserve">all sources </w:t>
      </w:r>
      <w:r w:rsidR="00821F61">
        <w:t>in</w:t>
      </w:r>
      <w:r w:rsidR="00821F61" w:rsidRPr="00AF4627">
        <w:t xml:space="preserve"> </w:t>
      </w:r>
      <w:r w:rsidR="00AF4627" w:rsidRPr="00AF4627">
        <w:t>planned</w:t>
      </w:r>
      <w:r w:rsidR="00986140">
        <w:t xml:space="preserve"> exposure situations</w:t>
      </w:r>
      <w:r w:rsidRPr="00DE46AB">
        <w:t>. On the other hand</w:t>
      </w:r>
      <w:r w:rsidR="0033684B" w:rsidRPr="00DE46AB">
        <w:t>,</w:t>
      </w:r>
      <w:r w:rsidRPr="00DE46AB">
        <w:t xml:space="preserve"> </w:t>
      </w:r>
      <w:r w:rsidR="00821F61">
        <w:t>the value for the</w:t>
      </w:r>
      <w:r w:rsidRPr="00DE46AB">
        <w:t xml:space="preserve"> dose constrain</w:t>
      </w:r>
      <w:r w:rsidR="001124C4" w:rsidRPr="00DE46AB">
        <w:t>t</w:t>
      </w:r>
      <w:r w:rsidRPr="00DE46AB">
        <w:t xml:space="preserve"> </w:t>
      </w:r>
      <w:r w:rsidR="00493ADE">
        <w:t>should</w:t>
      </w:r>
      <w:r w:rsidRPr="00DE46AB">
        <w:t xml:space="preserve"> be higher than </w:t>
      </w:r>
      <w:r w:rsidR="003541AD">
        <w:t>a</w:t>
      </w:r>
      <w:r w:rsidRPr="00DE46AB">
        <w:t xml:space="preserve"> dose </w:t>
      </w:r>
      <w:r w:rsidR="00AF4627">
        <w:t xml:space="preserve">of the order of </w:t>
      </w:r>
      <w:r w:rsidR="003541AD">
        <w:t>10µSv</w:t>
      </w:r>
      <w:r w:rsidR="00AF4627">
        <w:t xml:space="preserve"> in a year</w:t>
      </w:r>
      <w:r w:rsidR="003964FB" w:rsidRPr="00DE46AB">
        <w:t xml:space="preserve">. Therefore, dose </w:t>
      </w:r>
      <w:r w:rsidR="001124C4" w:rsidRPr="00DE46AB">
        <w:t>constraints</w:t>
      </w:r>
      <w:r w:rsidR="003964FB" w:rsidRPr="00DE46AB">
        <w:t xml:space="preserve"> </w:t>
      </w:r>
      <w:r w:rsidR="00493ADE">
        <w:t>should</w:t>
      </w:r>
      <w:r w:rsidR="003964FB" w:rsidRPr="00DE46AB">
        <w:t xml:space="preserve"> </w:t>
      </w:r>
      <w:r w:rsidR="00493ADE">
        <w:t>be</w:t>
      </w:r>
      <w:r w:rsidR="00493ADE" w:rsidRPr="00DE46AB">
        <w:t xml:space="preserve"> </w:t>
      </w:r>
      <w:r w:rsidR="00D46DE0">
        <w:t>sel</w:t>
      </w:r>
      <w:r w:rsidR="003B399C">
        <w:t>e</w:t>
      </w:r>
      <w:r w:rsidR="00D46DE0">
        <w:t xml:space="preserve">cted </w:t>
      </w:r>
      <w:r w:rsidR="003964FB" w:rsidRPr="00DE46AB">
        <w:t>with</w:t>
      </w:r>
      <w:r w:rsidR="005217D7" w:rsidRPr="00DE46AB">
        <w:t>in the range of 0.</w:t>
      </w:r>
      <w:r w:rsidR="003964FB" w:rsidRPr="00DE46AB">
        <w:t xml:space="preserve">1 </w:t>
      </w:r>
      <w:r w:rsidR="003541AD">
        <w:t>to</w:t>
      </w:r>
      <w:r w:rsidR="003964FB" w:rsidRPr="00DE46AB">
        <w:t xml:space="preserve"> </w:t>
      </w:r>
      <w:r w:rsidR="003541AD">
        <w:t xml:space="preserve">&lt; </w:t>
      </w:r>
      <w:r w:rsidR="003964FB" w:rsidRPr="00DE46AB">
        <w:t xml:space="preserve">1 </w:t>
      </w:r>
      <w:proofErr w:type="spellStart"/>
      <w:r w:rsidR="003964FB" w:rsidRPr="00DE46AB">
        <w:t>mSv</w:t>
      </w:r>
      <w:proofErr w:type="spellEnd"/>
      <w:r w:rsidR="00AF4627">
        <w:t xml:space="preserve"> in a year</w:t>
      </w:r>
      <w:r w:rsidR="003964FB" w:rsidRPr="00DE46AB">
        <w:t xml:space="preserve">. </w:t>
      </w:r>
    </w:p>
    <w:p w:rsidR="00E4635C" w:rsidRPr="00734BEC" w:rsidRDefault="00E4635C"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4514EF">
        <w:t xml:space="preserve">The value for the dose constraint should be selected </w:t>
      </w:r>
      <w:r w:rsidR="00821F61">
        <w:t xml:space="preserve">in </w:t>
      </w:r>
      <w:r w:rsidRPr="004514EF">
        <w:t>accord</w:t>
      </w:r>
      <w:r w:rsidR="00821F61">
        <w:t>ance with</w:t>
      </w:r>
      <w:r w:rsidRPr="004514EF">
        <w:t xml:space="preserve"> the </w:t>
      </w:r>
      <w:r w:rsidR="00850340">
        <w:t>characteristics of the exposure</w:t>
      </w:r>
      <w:r w:rsidRPr="004514EF">
        <w:t xml:space="preserve">. </w:t>
      </w:r>
      <w:r w:rsidR="00A215BC" w:rsidRPr="00307161">
        <w:t xml:space="preserve">In establishing </w:t>
      </w:r>
      <w:r w:rsidR="00686494">
        <w:t>the</w:t>
      </w:r>
      <w:r w:rsidR="00A215BC" w:rsidRPr="00307161">
        <w:t xml:space="preserve"> value</w:t>
      </w:r>
      <w:r w:rsidR="00821F61">
        <w:t>,</w:t>
      </w:r>
      <w:r w:rsidR="00A215BC" w:rsidRPr="00307161">
        <w:t xml:space="preserve"> the regulatory body should consider the</w:t>
      </w:r>
      <w:r w:rsidR="00D46DE0">
        <w:t xml:space="preserve"> typical</w:t>
      </w:r>
      <w:r w:rsidR="00A215BC" w:rsidRPr="00307161">
        <w:t xml:space="preserve"> number and type of radiation sources in use in </w:t>
      </w:r>
      <w:r w:rsidR="00850340">
        <w:t>the</w:t>
      </w:r>
      <w:r w:rsidR="00A215BC" w:rsidRPr="00307161">
        <w:t xml:space="preserve"> </w:t>
      </w:r>
      <w:r w:rsidR="00686494">
        <w:t>State</w:t>
      </w:r>
      <w:r w:rsidR="00686494" w:rsidRPr="00307161">
        <w:t xml:space="preserve"> </w:t>
      </w:r>
      <w:r w:rsidR="00A215BC" w:rsidRPr="00307161">
        <w:t xml:space="preserve">or region. </w:t>
      </w:r>
      <w:r w:rsidR="00A215BC" w:rsidRPr="00A215BC">
        <w:t xml:space="preserve">Some </w:t>
      </w:r>
      <w:r w:rsidR="00686494">
        <w:t>States</w:t>
      </w:r>
      <w:r w:rsidR="00686494" w:rsidRPr="00A215BC">
        <w:t xml:space="preserve"> </w:t>
      </w:r>
      <w:r w:rsidR="00B90F5E">
        <w:t xml:space="preserve">may </w:t>
      </w:r>
      <w:r w:rsidR="00A215BC">
        <w:t>establish</w:t>
      </w:r>
      <w:r w:rsidR="00A215BC" w:rsidRPr="00A215BC">
        <w:t xml:space="preserve"> a </w:t>
      </w:r>
      <w:r w:rsidR="00C93D90">
        <w:t xml:space="preserve">generic </w:t>
      </w:r>
      <w:r w:rsidR="00756C49">
        <w:t xml:space="preserve">value for the </w:t>
      </w:r>
      <w:r w:rsidR="00A215BC" w:rsidRPr="00A215BC">
        <w:t xml:space="preserve">dose constraint </w:t>
      </w:r>
      <w:r w:rsidR="00B90F5E">
        <w:t xml:space="preserve">for all </w:t>
      </w:r>
      <w:r w:rsidR="00EF4ABF">
        <w:t>sources</w:t>
      </w:r>
      <w:r w:rsidR="00C93D90">
        <w:t xml:space="preserve">. However, </w:t>
      </w:r>
      <w:r w:rsidR="004E1251" w:rsidRPr="004E1251">
        <w:t xml:space="preserve">there may be circumstances that could allow for </w:t>
      </w:r>
      <w:r w:rsidR="00C93D90">
        <w:t xml:space="preserve">a specific </w:t>
      </w:r>
      <w:r w:rsidR="00756C49">
        <w:t xml:space="preserve">value for the </w:t>
      </w:r>
      <w:r w:rsidR="00C93D90">
        <w:t xml:space="preserve">dose </w:t>
      </w:r>
      <w:r w:rsidR="004E1251" w:rsidRPr="004E1251">
        <w:t xml:space="preserve">constraint </w:t>
      </w:r>
      <w:r w:rsidR="00C93D90">
        <w:t xml:space="preserve">for a particular </w:t>
      </w:r>
      <w:r w:rsidR="00EF4ABF">
        <w:t>source</w:t>
      </w:r>
      <w:r w:rsidR="00C93D90">
        <w:t xml:space="preserve"> </w:t>
      </w:r>
      <w:r w:rsidR="004E1251" w:rsidRPr="004E1251">
        <w:t xml:space="preserve">to be </w:t>
      </w:r>
      <w:r w:rsidR="00B90F5E">
        <w:t>set by the regulatory body</w:t>
      </w:r>
      <w:r w:rsidR="00C93D90">
        <w:t xml:space="preserve"> </w:t>
      </w:r>
      <w:r w:rsidR="0012046C">
        <w:t>(</w:t>
      </w:r>
      <w:r w:rsidR="00686494">
        <w:t>see para 3.41</w:t>
      </w:r>
      <w:r w:rsidR="0012046C">
        <w:t>)</w:t>
      </w:r>
      <w:r w:rsidRPr="00A143C0">
        <w:t xml:space="preserve">. </w:t>
      </w:r>
    </w:p>
    <w:p w:rsidR="00C93D90" w:rsidRPr="00B108F7" w:rsidRDefault="00C93D90"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Pr>
          <w:rFonts w:eastAsia="Times New Roman"/>
          <w:lang w:eastAsia="en-US"/>
        </w:rPr>
        <w:t xml:space="preserve">In establishing the generic </w:t>
      </w:r>
      <w:r w:rsidR="00756C49">
        <w:rPr>
          <w:rFonts w:eastAsia="Times New Roman"/>
          <w:lang w:eastAsia="en-US"/>
        </w:rPr>
        <w:t xml:space="preserve">value </w:t>
      </w:r>
      <w:r>
        <w:rPr>
          <w:rFonts w:eastAsia="Times New Roman"/>
          <w:lang w:eastAsia="en-US"/>
        </w:rPr>
        <w:t xml:space="preserve">or specific </w:t>
      </w:r>
      <w:r w:rsidR="00756C49">
        <w:rPr>
          <w:rFonts w:eastAsia="Times New Roman"/>
          <w:lang w:eastAsia="en-US"/>
        </w:rPr>
        <w:t xml:space="preserve">value for the </w:t>
      </w:r>
      <w:r>
        <w:rPr>
          <w:rFonts w:eastAsia="Times New Roman"/>
          <w:lang w:eastAsia="en-US"/>
        </w:rPr>
        <w:t xml:space="preserve">dose constraint, the regional contribution to the exposure of the public from existing or planned practices and other existing or planned practices in the vicinity of the source should be considered. </w:t>
      </w:r>
      <w:r w:rsidR="00983032">
        <w:rPr>
          <w:rFonts w:eastAsia="Times New Roman"/>
          <w:lang w:eastAsia="en-US"/>
        </w:rPr>
        <w:t xml:space="preserve">For example, for nuclear installations, other installations on the same site </w:t>
      </w:r>
      <w:r w:rsidR="0012046C">
        <w:rPr>
          <w:rFonts w:eastAsia="Times New Roman"/>
          <w:lang w:eastAsia="en-US"/>
        </w:rPr>
        <w:t>sh</w:t>
      </w:r>
      <w:r w:rsidR="00983032">
        <w:rPr>
          <w:rFonts w:eastAsia="Times New Roman"/>
          <w:lang w:eastAsia="en-US"/>
        </w:rPr>
        <w:t xml:space="preserve">ould be assumed to contribute to the exposure of the representative person. In the case of facilities or activities in an urban environment </w:t>
      </w:r>
      <w:r w:rsidR="0012046C">
        <w:rPr>
          <w:rFonts w:eastAsia="Times New Roman"/>
          <w:lang w:eastAsia="en-US"/>
        </w:rPr>
        <w:t>(</w:t>
      </w:r>
      <w:r w:rsidR="00983032">
        <w:rPr>
          <w:rFonts w:eastAsia="Times New Roman"/>
          <w:lang w:eastAsia="en-US"/>
        </w:rPr>
        <w:t>e.g. hospitals or industrial applications</w:t>
      </w:r>
      <w:r w:rsidR="0012046C">
        <w:rPr>
          <w:rFonts w:eastAsia="Times New Roman"/>
          <w:lang w:eastAsia="en-US"/>
        </w:rPr>
        <w:t>)</w:t>
      </w:r>
      <w:r w:rsidR="00983032">
        <w:rPr>
          <w:rFonts w:eastAsia="Times New Roman"/>
          <w:lang w:eastAsia="en-US"/>
        </w:rPr>
        <w:t xml:space="preserve">, more than one source could be assumed to contribute to the exposure of the representative person. On the other hand, for facilities or activities located in remote areas, e.g. uranium mine in an extremely remote area, the contribution from other local </w:t>
      </w:r>
      <w:r w:rsidR="00983032" w:rsidRPr="00290B70">
        <w:rPr>
          <w:rFonts w:eastAsia="Times New Roman"/>
          <w:lang w:eastAsia="en-US"/>
        </w:rPr>
        <w:t xml:space="preserve">sources </w:t>
      </w:r>
      <w:r w:rsidR="00290B70" w:rsidRPr="00290B70">
        <w:t>is not likely to be significant, and thus</w:t>
      </w:r>
      <w:r w:rsidR="00686494">
        <w:t xml:space="preserve"> should</w:t>
      </w:r>
      <w:r w:rsidR="00290B70" w:rsidRPr="00290B70">
        <w:t xml:space="preserve"> not</w:t>
      </w:r>
      <w:r w:rsidR="00686494">
        <w:t xml:space="preserve"> be</w:t>
      </w:r>
      <w:r w:rsidR="00290B70" w:rsidRPr="00290B70">
        <w:t xml:space="preserve"> included in the assessment.</w:t>
      </w:r>
      <w:r w:rsidR="00983032">
        <w:rPr>
          <w:rFonts w:eastAsia="Times New Roman"/>
          <w:lang w:eastAsia="en-US"/>
        </w:rPr>
        <w:t xml:space="preserve"> </w:t>
      </w:r>
    </w:p>
    <w:p w:rsidR="008D1DC1" w:rsidRPr="00DE46AB" w:rsidRDefault="00B94BA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DE46AB">
        <w:lastRenderedPageBreak/>
        <w:t xml:space="preserve">Dose constraints </w:t>
      </w:r>
      <w:r w:rsidR="00CA2DB2" w:rsidRPr="00DE46AB">
        <w:t>should</w:t>
      </w:r>
      <w:r w:rsidRPr="00F543D6">
        <w:t xml:space="preserve"> not be used as dose limit</w:t>
      </w:r>
      <w:r w:rsidR="00686494">
        <w:t>s</w:t>
      </w:r>
      <w:r w:rsidRPr="00F543D6">
        <w:t xml:space="preserve">. More specifically, exceeding a dose constraint </w:t>
      </w:r>
      <w:r w:rsidR="00CA2DB2" w:rsidRPr="00DE46AB">
        <w:t>should</w:t>
      </w:r>
      <w:r w:rsidRPr="00F543D6">
        <w:t xml:space="preserve"> not represent a regulatory infraction, as wo</w:t>
      </w:r>
      <w:r w:rsidRPr="00DE46AB">
        <w:t xml:space="preserve">uld be the case </w:t>
      </w:r>
      <w:r w:rsidR="00686494">
        <w:t>if a</w:t>
      </w:r>
      <w:r w:rsidRPr="00DE46AB">
        <w:t xml:space="preserve"> dose limit</w:t>
      </w:r>
      <w:r w:rsidR="00686494">
        <w:t xml:space="preserve"> is exceeded</w:t>
      </w:r>
      <w:r w:rsidRPr="00DE46AB">
        <w:t xml:space="preserve">. Given that the </w:t>
      </w:r>
      <w:r w:rsidR="00686494">
        <w:t xml:space="preserve">dose </w:t>
      </w:r>
      <w:r w:rsidRPr="00DE46AB">
        <w:t xml:space="preserve">constraint represents a level of dose for planning </w:t>
      </w:r>
      <w:r w:rsidR="001E793C">
        <w:t xml:space="preserve">measures for </w:t>
      </w:r>
      <w:r w:rsidRPr="00DE46AB">
        <w:t xml:space="preserve">protection and safety, </w:t>
      </w:r>
      <w:r w:rsidR="001E793C">
        <w:t>if</w:t>
      </w:r>
      <w:r w:rsidRPr="00DE46AB">
        <w:t xml:space="preserve"> the </w:t>
      </w:r>
      <w:r w:rsidR="001E793C">
        <w:t xml:space="preserve">dose </w:t>
      </w:r>
      <w:r w:rsidRPr="00DE46AB">
        <w:t xml:space="preserve">constraint </w:t>
      </w:r>
      <w:r w:rsidR="001E793C">
        <w:t xml:space="preserve">is approached or exceeded in the course of operations, this </w:t>
      </w:r>
      <w:r w:rsidR="00CA2DB2" w:rsidRPr="00DE46AB">
        <w:t>should</w:t>
      </w:r>
      <w:r w:rsidRPr="00F543D6">
        <w:t xml:space="preserve"> result in investigation of the situation, and development of modifications or follow-up actions that may be necessary. </w:t>
      </w:r>
    </w:p>
    <w:p w:rsidR="008D1DC1" w:rsidRPr="0045207A" w:rsidRDefault="008D1DC1"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DE46AB">
        <w:t>The risk constraint is a source related value that provides a basic level of protection for the individuals most at risk from a source. This risk is a function of the probability of an unintended event causing a dose and the probability of the detriment due to such a dose. Risk constraints correspond to dose</w:t>
      </w:r>
      <w:r w:rsidRPr="0045207A">
        <w:t xml:space="preserve"> constraints but apply to potential exposure</w:t>
      </w:r>
      <w:r w:rsidR="001C2E7D" w:rsidRPr="0045207A">
        <w:t xml:space="preserve"> </w:t>
      </w:r>
      <w:r w:rsidR="00C05FFE">
        <w:t>[2]</w:t>
      </w:r>
      <w:r w:rsidR="002C1E6B">
        <w:t>.</w:t>
      </w:r>
    </w:p>
    <w:p w:rsidR="0053145B" w:rsidRPr="0045207A" w:rsidRDefault="0053145B"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4136D4">
        <w:rPr>
          <w:rFonts w:eastAsia="Times New Roman"/>
          <w:lang w:eastAsia="en-US"/>
        </w:rPr>
        <w:t xml:space="preserve">Potential exposure </w:t>
      </w:r>
      <w:r w:rsidR="004E7F09" w:rsidRPr="004136D4">
        <w:rPr>
          <w:rFonts w:eastAsia="Times New Roman"/>
          <w:lang w:eastAsia="en-US"/>
        </w:rPr>
        <w:t xml:space="preserve">of the public </w:t>
      </w:r>
      <w:r w:rsidR="00AF3E2C" w:rsidRPr="004136D4">
        <w:rPr>
          <w:rFonts w:eastAsia="Times New Roman"/>
          <w:lang w:eastAsia="en-US"/>
        </w:rPr>
        <w:t>include</w:t>
      </w:r>
      <w:r w:rsidR="00B75414" w:rsidRPr="004136D4">
        <w:rPr>
          <w:rFonts w:eastAsia="Times New Roman"/>
          <w:lang w:eastAsia="en-US"/>
        </w:rPr>
        <w:t xml:space="preserve">s </w:t>
      </w:r>
      <w:r w:rsidR="004E7F09" w:rsidRPr="004136D4">
        <w:rPr>
          <w:rFonts w:eastAsia="Times New Roman"/>
          <w:lang w:eastAsia="en-US"/>
        </w:rPr>
        <w:t xml:space="preserve">events resulting in </w:t>
      </w:r>
      <w:r w:rsidR="002C1E6B">
        <w:rPr>
          <w:rFonts w:eastAsia="Times New Roman"/>
          <w:lang w:eastAsia="en-US"/>
        </w:rPr>
        <w:t xml:space="preserve">an </w:t>
      </w:r>
      <w:r w:rsidR="004E7F09" w:rsidRPr="004136D4">
        <w:rPr>
          <w:rFonts w:eastAsia="Times New Roman"/>
          <w:lang w:eastAsia="en-US"/>
        </w:rPr>
        <w:t>unplanned r</w:t>
      </w:r>
      <w:r w:rsidR="004E7F09" w:rsidRPr="0045207A">
        <w:rPr>
          <w:rFonts w:eastAsia="Times New Roman"/>
          <w:lang w:eastAsia="en-US"/>
        </w:rPr>
        <w:t xml:space="preserve">elease of radioactive material to the environment </w:t>
      </w:r>
      <w:r w:rsidR="0012046C">
        <w:rPr>
          <w:rFonts w:eastAsia="Times New Roman"/>
          <w:lang w:eastAsia="en-US"/>
        </w:rPr>
        <w:t>(</w:t>
      </w:r>
      <w:r w:rsidR="004E7F09" w:rsidRPr="0045207A">
        <w:rPr>
          <w:rFonts w:eastAsia="Times New Roman"/>
          <w:lang w:eastAsia="en-US"/>
        </w:rPr>
        <w:t xml:space="preserve">e.g. </w:t>
      </w:r>
      <w:r w:rsidR="00470DE4">
        <w:rPr>
          <w:rFonts w:eastAsia="Times New Roman"/>
          <w:lang w:eastAsia="en-US"/>
        </w:rPr>
        <w:t xml:space="preserve">a </w:t>
      </w:r>
      <w:r w:rsidR="004E7F09" w:rsidRPr="00B63159">
        <w:rPr>
          <w:rFonts w:eastAsia="Times New Roman"/>
          <w:lang w:eastAsia="en-US"/>
        </w:rPr>
        <w:t>major accident</w:t>
      </w:r>
      <w:r w:rsidR="004E7F09" w:rsidRPr="0045207A">
        <w:rPr>
          <w:rFonts w:eastAsia="Times New Roman"/>
          <w:lang w:eastAsia="en-US"/>
        </w:rPr>
        <w:t xml:space="preserve"> </w:t>
      </w:r>
      <w:r w:rsidR="002C1E6B">
        <w:rPr>
          <w:rFonts w:eastAsia="Times New Roman"/>
          <w:lang w:eastAsia="en-US"/>
        </w:rPr>
        <w:t>at</w:t>
      </w:r>
      <w:r w:rsidR="002C1E6B" w:rsidRPr="0045207A">
        <w:rPr>
          <w:rFonts w:eastAsia="Times New Roman"/>
          <w:lang w:eastAsia="en-US"/>
        </w:rPr>
        <w:t xml:space="preserve"> </w:t>
      </w:r>
      <w:r w:rsidR="004E7F09" w:rsidRPr="0045207A">
        <w:rPr>
          <w:rFonts w:eastAsia="Times New Roman"/>
          <w:lang w:eastAsia="en-US"/>
        </w:rPr>
        <w:t>a nuclear facility or the malicious use of radioactive material</w:t>
      </w:r>
      <w:r w:rsidR="0012046C">
        <w:rPr>
          <w:rFonts w:eastAsia="Times New Roman"/>
          <w:lang w:eastAsia="en-US"/>
        </w:rPr>
        <w:t>)</w:t>
      </w:r>
      <w:r w:rsidR="004E7F09" w:rsidRPr="0045207A">
        <w:rPr>
          <w:rFonts w:eastAsia="Times New Roman"/>
          <w:lang w:eastAsia="en-US"/>
        </w:rPr>
        <w:t xml:space="preserve">; </w:t>
      </w:r>
      <w:r w:rsidR="00C43DEB">
        <w:rPr>
          <w:rFonts w:eastAsia="Times New Roman"/>
          <w:lang w:eastAsia="en-US"/>
        </w:rPr>
        <w:t>events</w:t>
      </w:r>
      <w:r w:rsidR="00B75414" w:rsidRPr="0045207A">
        <w:rPr>
          <w:rFonts w:eastAsia="Times New Roman"/>
          <w:lang w:eastAsia="en-US"/>
        </w:rPr>
        <w:t xml:space="preserve"> </w:t>
      </w:r>
      <w:r w:rsidR="004E7F09" w:rsidRPr="0045207A">
        <w:rPr>
          <w:rFonts w:eastAsia="Times New Roman"/>
          <w:lang w:eastAsia="en-US"/>
        </w:rPr>
        <w:t xml:space="preserve">resulting </w:t>
      </w:r>
      <w:r w:rsidR="00C43DEB">
        <w:rPr>
          <w:rFonts w:eastAsia="Times New Roman"/>
          <w:lang w:eastAsia="en-US"/>
        </w:rPr>
        <w:t>in</w:t>
      </w:r>
      <w:r w:rsidR="00B75414" w:rsidRPr="0045207A">
        <w:rPr>
          <w:rFonts w:eastAsia="Times New Roman"/>
          <w:lang w:eastAsia="en-US"/>
        </w:rPr>
        <w:t xml:space="preserve"> </w:t>
      </w:r>
      <w:r w:rsidR="004E7F09" w:rsidRPr="0045207A">
        <w:rPr>
          <w:rFonts w:eastAsia="Times New Roman"/>
          <w:lang w:eastAsia="en-US"/>
        </w:rPr>
        <w:t xml:space="preserve">the loss of control of </w:t>
      </w:r>
      <w:r w:rsidR="002C1E6B">
        <w:rPr>
          <w:rFonts w:eastAsia="Times New Roman"/>
          <w:lang w:eastAsia="en-US"/>
        </w:rPr>
        <w:t xml:space="preserve">a </w:t>
      </w:r>
      <w:r w:rsidR="004E7F09" w:rsidRPr="0045207A">
        <w:rPr>
          <w:rFonts w:eastAsia="Times New Roman"/>
          <w:lang w:eastAsia="en-US"/>
        </w:rPr>
        <w:t>radiation source; or events in which potential exposures</w:t>
      </w:r>
      <w:r w:rsidR="002C1E6B">
        <w:rPr>
          <w:rFonts w:eastAsia="Times New Roman"/>
          <w:lang w:eastAsia="en-US"/>
        </w:rPr>
        <w:t xml:space="preserve"> </w:t>
      </w:r>
      <w:r w:rsidR="00800CF7">
        <w:rPr>
          <w:rFonts w:eastAsia="Times New Roman"/>
          <w:lang w:eastAsia="en-US"/>
        </w:rPr>
        <w:t>could</w:t>
      </w:r>
      <w:r w:rsidR="004E7F09" w:rsidRPr="0045207A">
        <w:rPr>
          <w:rFonts w:eastAsia="Times New Roman"/>
          <w:lang w:eastAsia="en-US"/>
        </w:rPr>
        <w:t xml:space="preserve"> occur far into the future and doses </w:t>
      </w:r>
      <w:r w:rsidR="00470DE4">
        <w:rPr>
          <w:rFonts w:eastAsia="Times New Roman"/>
          <w:lang w:eastAsia="en-US"/>
        </w:rPr>
        <w:t>would</w:t>
      </w:r>
      <w:r w:rsidR="004E7F09" w:rsidRPr="0045207A">
        <w:rPr>
          <w:rFonts w:eastAsia="Times New Roman"/>
          <w:lang w:eastAsia="en-US"/>
        </w:rPr>
        <w:t xml:space="preserve"> be delivered over long time periods </w:t>
      </w:r>
      <w:r w:rsidR="0012046C">
        <w:rPr>
          <w:rFonts w:eastAsia="Times New Roman"/>
          <w:lang w:eastAsia="en-US"/>
        </w:rPr>
        <w:t>(</w:t>
      </w:r>
      <w:r w:rsidR="004E7F09" w:rsidRPr="0045207A">
        <w:rPr>
          <w:rFonts w:eastAsia="Times New Roman"/>
          <w:lang w:eastAsia="en-US"/>
        </w:rPr>
        <w:t xml:space="preserve">e.g. disposal </w:t>
      </w:r>
      <w:r w:rsidR="00EA57BF">
        <w:rPr>
          <w:rFonts w:eastAsia="Times New Roman"/>
          <w:lang w:eastAsia="en-US"/>
        </w:rPr>
        <w:t>facilities</w:t>
      </w:r>
      <w:r w:rsidR="002C1E6B">
        <w:rPr>
          <w:rFonts w:eastAsia="Times New Roman"/>
          <w:lang w:eastAsia="en-US"/>
        </w:rPr>
        <w:t xml:space="preserve"> for radioactive waste</w:t>
      </w:r>
      <w:r w:rsidR="00EA57BF">
        <w:rPr>
          <w:rFonts w:eastAsia="Times New Roman"/>
          <w:lang w:eastAsia="en-US"/>
        </w:rPr>
        <w:t xml:space="preserve"> after </w:t>
      </w:r>
      <w:r w:rsidR="002C1E6B">
        <w:rPr>
          <w:rFonts w:eastAsia="Times New Roman"/>
          <w:lang w:eastAsia="en-US"/>
        </w:rPr>
        <w:t xml:space="preserve">their </w:t>
      </w:r>
      <w:r w:rsidR="00EA57BF">
        <w:rPr>
          <w:rFonts w:eastAsia="Times New Roman"/>
          <w:lang w:eastAsia="en-US"/>
        </w:rPr>
        <w:t>closure</w:t>
      </w:r>
      <w:r w:rsidR="0012046C">
        <w:rPr>
          <w:rFonts w:eastAsia="Times New Roman"/>
          <w:lang w:eastAsia="en-US"/>
        </w:rPr>
        <w:t>)</w:t>
      </w:r>
      <w:r w:rsidR="004010EE" w:rsidRPr="0045207A">
        <w:rPr>
          <w:rFonts w:eastAsia="Times New Roman"/>
          <w:lang w:eastAsia="en-US"/>
        </w:rPr>
        <w:t xml:space="preserve"> [</w:t>
      </w:r>
      <w:r w:rsidR="00484DC7">
        <w:rPr>
          <w:rFonts w:eastAsia="Times New Roman"/>
          <w:lang w:eastAsia="en-US"/>
        </w:rPr>
        <w:t>5</w:t>
      </w:r>
      <w:r w:rsidR="004010EE" w:rsidRPr="0045207A">
        <w:rPr>
          <w:rFonts w:eastAsia="Times New Roman"/>
          <w:lang w:eastAsia="en-US"/>
        </w:rPr>
        <w:t>]</w:t>
      </w:r>
      <w:r w:rsidR="004E7F09" w:rsidRPr="0045207A">
        <w:rPr>
          <w:rFonts w:eastAsia="Times New Roman"/>
          <w:lang w:eastAsia="en-US"/>
        </w:rPr>
        <w:t>.</w:t>
      </w:r>
      <w:r w:rsidR="004010EE" w:rsidRPr="0045207A">
        <w:rPr>
          <w:rFonts w:eastAsia="Times New Roman"/>
          <w:lang w:eastAsia="en-US"/>
        </w:rPr>
        <w:t xml:space="preserve"> </w:t>
      </w:r>
    </w:p>
    <w:p w:rsidR="00FD4C99" w:rsidRDefault="00DA509B"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Pr>
          <w:rFonts w:eastAsia="Times New Roman"/>
          <w:lang w:eastAsia="en-US"/>
        </w:rPr>
        <w:t>P</w:t>
      </w:r>
      <w:r w:rsidRPr="0045207A">
        <w:rPr>
          <w:rFonts w:eastAsia="Times New Roman"/>
          <w:lang w:eastAsia="en-US"/>
        </w:rPr>
        <w:t>ara</w:t>
      </w:r>
      <w:r w:rsidR="008576A0">
        <w:rPr>
          <w:rFonts w:eastAsia="Times New Roman"/>
          <w:lang w:eastAsia="en-US"/>
        </w:rPr>
        <w:t>graph</w:t>
      </w:r>
      <w:r>
        <w:rPr>
          <w:rFonts w:eastAsia="Times New Roman"/>
          <w:lang w:eastAsia="en-US"/>
        </w:rPr>
        <w:t> </w:t>
      </w:r>
      <w:r w:rsidRPr="0045207A">
        <w:rPr>
          <w:rFonts w:eastAsia="Times New Roman"/>
          <w:lang w:eastAsia="en-US"/>
        </w:rPr>
        <w:t>266</w:t>
      </w:r>
      <w:r>
        <w:rPr>
          <w:rFonts w:eastAsia="Times New Roman"/>
          <w:lang w:eastAsia="en-US"/>
        </w:rPr>
        <w:t xml:space="preserve"> of ICRP </w:t>
      </w:r>
      <w:r w:rsidR="00C43DEB">
        <w:rPr>
          <w:rFonts w:eastAsia="Times New Roman"/>
          <w:lang w:eastAsia="en-US"/>
        </w:rPr>
        <w:t>P</w:t>
      </w:r>
      <w:r>
        <w:rPr>
          <w:rFonts w:eastAsia="Times New Roman"/>
          <w:lang w:eastAsia="en-US"/>
        </w:rPr>
        <w:t xml:space="preserve">ublication 103 [5] states that </w:t>
      </w:r>
    </w:p>
    <w:p w:rsidR="004749F9" w:rsidRPr="00E36DB1" w:rsidRDefault="00DA509B" w:rsidP="00BB4496">
      <w:pPr>
        <w:tabs>
          <w:tab w:val="left" w:pos="709"/>
        </w:tabs>
        <w:spacing w:after="120" w:line="360" w:lineRule="auto"/>
        <w:ind w:left="567"/>
      </w:pPr>
      <w:r w:rsidRPr="00392E6D">
        <w:t>“</w:t>
      </w:r>
      <w:r w:rsidR="004749F9" w:rsidRPr="00E36DB1">
        <w:t>The evaluation of potential exposures</w:t>
      </w:r>
      <w:r w:rsidR="002C1E6B">
        <w:t>,</w:t>
      </w:r>
      <w:r w:rsidR="004749F9" w:rsidRPr="00392E6D">
        <w:t xml:space="preserve"> for the purpose of planning or judging protection measures, is usually based on: </w:t>
      </w:r>
      <w:r w:rsidRPr="00E36DB1">
        <w:t xml:space="preserve">a) </w:t>
      </w:r>
      <w:r w:rsidR="004749F9" w:rsidRPr="00CD6638">
        <w:t>the construction of scenarios</w:t>
      </w:r>
      <w:r w:rsidR="00680CEE" w:rsidRPr="00CD6638">
        <w:t xml:space="preserve"> which are intended to represent the sequence of events leading to the exposures; </w:t>
      </w:r>
      <w:r w:rsidRPr="00FF3614">
        <w:t xml:space="preserve">b) </w:t>
      </w:r>
      <w:r w:rsidR="00680CEE" w:rsidRPr="007E2C6D">
        <w:t xml:space="preserve">the assessment of the probabilities of each of these sequences; </w:t>
      </w:r>
      <w:r w:rsidRPr="0044556B">
        <w:t xml:space="preserve">c) </w:t>
      </w:r>
      <w:r w:rsidR="00680CEE" w:rsidRPr="0044556B">
        <w:t xml:space="preserve">the assessment of the resulting dose; </w:t>
      </w:r>
      <w:r w:rsidRPr="008570BA">
        <w:t xml:space="preserve">d) </w:t>
      </w:r>
      <w:r w:rsidR="00680CEE" w:rsidRPr="00735119">
        <w:t xml:space="preserve">the evaluation of the detriment associated with that dose; </w:t>
      </w:r>
      <w:r w:rsidRPr="00735119">
        <w:t xml:space="preserve">e) </w:t>
      </w:r>
      <w:r w:rsidR="00680CEE" w:rsidRPr="00E560A5">
        <w:t xml:space="preserve">comparison of the results with </w:t>
      </w:r>
      <w:r w:rsidR="002C1E6B">
        <w:t>some criterion of acceptability</w:t>
      </w:r>
      <w:r w:rsidR="00FF3561">
        <w:t xml:space="preserve"> [e.g. risk constraint]</w:t>
      </w:r>
      <w:r w:rsidR="00A5514A" w:rsidRPr="00392E6D">
        <w:t xml:space="preserve">; and </w:t>
      </w:r>
      <w:r w:rsidRPr="00E36DB1">
        <w:t xml:space="preserve">f) </w:t>
      </w:r>
      <w:r w:rsidR="00A5514A" w:rsidRPr="00CD6638">
        <w:t>optimi</w:t>
      </w:r>
      <w:r w:rsidR="002C1E6B">
        <w:t>s</w:t>
      </w:r>
      <w:r w:rsidR="00A5514A" w:rsidRPr="00E36DB1">
        <w:t>ation of</w:t>
      </w:r>
      <w:r w:rsidR="00680CEE" w:rsidRPr="00CD6638">
        <w:t xml:space="preserve"> protection which may require several iterations of the previous steps</w:t>
      </w:r>
      <w:r w:rsidR="008B2799" w:rsidRPr="00CD6638">
        <w:t>.</w:t>
      </w:r>
      <w:r w:rsidR="002C1E6B">
        <w:t>”</w:t>
      </w:r>
      <w:r w:rsidR="001C2E7D" w:rsidRPr="00392E6D">
        <w:t xml:space="preserve"> </w:t>
      </w:r>
    </w:p>
    <w:p w:rsidR="001C2E7D" w:rsidRPr="006C448D" w:rsidRDefault="001C2E7D"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45207A">
        <w:t xml:space="preserve">Risk constraints for public exposure are required to be set by the government or the regulatory </w:t>
      </w:r>
      <w:r w:rsidR="00452AA4">
        <w:t>body</w:t>
      </w:r>
      <w:r w:rsidR="00452AA4" w:rsidRPr="0045207A">
        <w:t xml:space="preserve"> </w:t>
      </w:r>
      <w:r w:rsidR="00C05FFE">
        <w:t>[2]</w:t>
      </w:r>
      <w:r w:rsidRPr="0045207A">
        <w:t xml:space="preserve">. In setting risk constraints, the characteristics of the source and of the practice, good practice in the operation of similar </w:t>
      </w:r>
      <w:r w:rsidRPr="006C448D">
        <w:t xml:space="preserve">sources, and the views of interested parties are required to be considered </w:t>
      </w:r>
      <w:r w:rsidR="00C05FFE">
        <w:t>[2]</w:t>
      </w:r>
      <w:r w:rsidRPr="006C448D">
        <w:t xml:space="preserve">. The government or regulatory body </w:t>
      </w:r>
      <w:r w:rsidR="00CA2DB2" w:rsidRPr="006C448D">
        <w:t>should</w:t>
      </w:r>
      <w:r w:rsidRPr="006C448D">
        <w:t xml:space="preserve"> also take into account the prevailing legal, economic and social conditions in </w:t>
      </w:r>
      <w:r w:rsidR="00BF6FFC">
        <w:t>establishing</w:t>
      </w:r>
      <w:r w:rsidRPr="006C448D">
        <w:t xml:space="preserve"> risk constraint</w:t>
      </w:r>
      <w:r w:rsidR="00BF6FFC">
        <w:t>s</w:t>
      </w:r>
      <w:r w:rsidRPr="006C448D">
        <w:t>.</w:t>
      </w:r>
      <w:r w:rsidRPr="006C448D">
        <w:rPr>
          <w:rFonts w:eastAsia="Times New Roman"/>
          <w:lang w:eastAsia="en-US"/>
        </w:rPr>
        <w:t xml:space="preserve"> </w:t>
      </w:r>
    </w:p>
    <w:p w:rsidR="001C2E7D" w:rsidRPr="0045207A" w:rsidRDefault="00F46649"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6C448D">
        <w:rPr>
          <w:rFonts w:eastAsia="Times New Roman"/>
          <w:lang w:eastAsia="en-US"/>
        </w:rPr>
        <w:t>Th</w:t>
      </w:r>
      <w:r w:rsidR="001C2E7D" w:rsidRPr="006C448D">
        <w:rPr>
          <w:rFonts w:eastAsia="Times New Roman"/>
          <w:lang w:eastAsia="en-US"/>
        </w:rPr>
        <w:t xml:space="preserve">e ICRP recommends that risk constraints for potential exposures </w:t>
      </w:r>
      <w:r w:rsidR="00CA2DB2" w:rsidRPr="006C448D">
        <w:rPr>
          <w:rFonts w:eastAsia="Times New Roman"/>
          <w:lang w:eastAsia="en-US"/>
        </w:rPr>
        <w:t>should</w:t>
      </w:r>
      <w:r w:rsidR="001C2E7D" w:rsidRPr="006C448D">
        <w:rPr>
          <w:rFonts w:eastAsia="Times New Roman"/>
          <w:lang w:eastAsia="en-US"/>
        </w:rPr>
        <w:t xml:space="preserve"> equate to a similar level of health risk to that implied by the corresponding dose constraints used for normal operation of the same source</w:t>
      </w:r>
      <w:r w:rsidR="00C83160">
        <w:rPr>
          <w:rFonts w:eastAsia="Times New Roman"/>
          <w:lang w:eastAsia="en-US"/>
        </w:rPr>
        <w:t xml:space="preserve"> [</w:t>
      </w:r>
      <w:r w:rsidR="00F26039">
        <w:rPr>
          <w:rFonts w:eastAsia="Times New Roman"/>
          <w:lang w:eastAsia="en-US"/>
        </w:rPr>
        <w:t>5</w:t>
      </w:r>
      <w:r w:rsidR="00C83160">
        <w:rPr>
          <w:rFonts w:eastAsia="Times New Roman"/>
          <w:lang w:eastAsia="en-US"/>
        </w:rPr>
        <w:t xml:space="preserve">, </w:t>
      </w:r>
      <w:r w:rsidR="003579DE">
        <w:rPr>
          <w:rFonts w:eastAsia="Times New Roman"/>
          <w:lang w:eastAsia="en-US"/>
        </w:rPr>
        <w:t>20</w:t>
      </w:r>
      <w:r w:rsidR="00C83160">
        <w:rPr>
          <w:rFonts w:eastAsia="Times New Roman"/>
          <w:lang w:eastAsia="en-US"/>
        </w:rPr>
        <w:t>]</w:t>
      </w:r>
      <w:r w:rsidR="001C2E7D" w:rsidRPr="006C448D">
        <w:rPr>
          <w:rFonts w:eastAsia="Times New Roman"/>
          <w:lang w:eastAsia="en-US"/>
        </w:rPr>
        <w:t xml:space="preserve">. However, there can be large uncertainties in </w:t>
      </w:r>
      <w:r w:rsidR="001C2E7D" w:rsidRPr="006C448D">
        <w:rPr>
          <w:rFonts w:eastAsia="Times New Roman"/>
          <w:lang w:eastAsia="en-US"/>
        </w:rPr>
        <w:lastRenderedPageBreak/>
        <w:t xml:space="preserve">estimating the probability of an unintended event causing </w:t>
      </w:r>
      <w:r w:rsidR="00BF6FFC">
        <w:rPr>
          <w:rFonts w:eastAsia="Times New Roman"/>
          <w:lang w:eastAsia="en-US"/>
        </w:rPr>
        <w:t>exposure</w:t>
      </w:r>
      <w:r w:rsidR="001C2E7D" w:rsidRPr="0045207A">
        <w:rPr>
          <w:rFonts w:eastAsia="Times New Roman"/>
          <w:lang w:eastAsia="en-US"/>
        </w:rPr>
        <w:t xml:space="preserve">. It is often sufficient to use a generic value for a risk constraint. </w:t>
      </w:r>
    </w:p>
    <w:p w:rsidR="005217D7" w:rsidRPr="0045207A" w:rsidRDefault="00AE27FE"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t xml:space="preserve">DS427 </w:t>
      </w:r>
      <w:r w:rsidR="009C3C20">
        <w:t>[</w:t>
      </w:r>
      <w:r w:rsidR="00824FD8">
        <w:t>9</w:t>
      </w:r>
      <w:r w:rsidR="009C3C20">
        <w:t xml:space="preserve">] </w:t>
      </w:r>
      <w:r w:rsidRPr="0045207A">
        <w:t xml:space="preserve">presents a general framework </w:t>
      </w:r>
      <w:r w:rsidR="00BF6FFC">
        <w:t>for</w:t>
      </w:r>
      <w:r w:rsidR="00BF6FFC" w:rsidRPr="0045207A">
        <w:t xml:space="preserve"> </w:t>
      </w:r>
      <w:r w:rsidRPr="0045207A">
        <w:t>assess</w:t>
      </w:r>
      <w:r w:rsidR="00BF6FFC">
        <w:t>ing</w:t>
      </w:r>
      <w:r w:rsidRPr="0045207A">
        <w:t xml:space="preserve"> radiological impacts to the public and for the protection of the environment</w:t>
      </w:r>
      <w:r w:rsidR="00BF6FFC">
        <w:t>,</w:t>
      </w:r>
      <w:r w:rsidRPr="0045207A">
        <w:t xml:space="preserve"> which describe</w:t>
      </w:r>
      <w:r w:rsidR="00927881">
        <w:t>s</w:t>
      </w:r>
      <w:r w:rsidRPr="0045207A">
        <w:t xml:space="preserve"> the estimation of risk and the use </w:t>
      </w:r>
      <w:r w:rsidR="00E3366E">
        <w:t xml:space="preserve">of </w:t>
      </w:r>
      <w:r w:rsidRPr="0045207A">
        <w:t>risk constraints</w:t>
      </w:r>
      <w:r w:rsidR="00B75414" w:rsidRPr="0045207A">
        <w:t xml:space="preserve"> for planned exposure situations</w:t>
      </w:r>
      <w:r w:rsidRPr="0045207A">
        <w:t>.</w:t>
      </w:r>
    </w:p>
    <w:p w:rsidR="005217D7" w:rsidRPr="0045207A" w:rsidRDefault="00AB737F" w:rsidP="00477ED7">
      <w:pPr>
        <w:pStyle w:val="ListParagraph"/>
        <w:tabs>
          <w:tab w:val="left" w:pos="709"/>
        </w:tabs>
        <w:autoSpaceDE w:val="0"/>
        <w:autoSpaceDN w:val="0"/>
        <w:adjustRightInd w:val="0"/>
        <w:spacing w:after="120" w:line="360" w:lineRule="auto"/>
        <w:ind w:left="0"/>
        <w:contextualSpacing w:val="0"/>
        <w:jc w:val="both"/>
        <w:rPr>
          <w:rFonts w:eastAsia="Times New Roman"/>
          <w:szCs w:val="20"/>
          <w:lang w:eastAsia="en-US"/>
        </w:rPr>
      </w:pPr>
      <w:r w:rsidRPr="0045207A">
        <w:rPr>
          <w:b/>
        </w:rPr>
        <w:t xml:space="preserve">Dose </w:t>
      </w:r>
      <w:r w:rsidR="00972161" w:rsidRPr="0045207A">
        <w:rPr>
          <w:b/>
        </w:rPr>
        <w:t>limits</w:t>
      </w:r>
    </w:p>
    <w:p w:rsidR="00FD4C99" w:rsidRPr="00BB4496" w:rsidRDefault="0011041C"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t xml:space="preserve">Requirement 12 of GSR Part 3 </w:t>
      </w:r>
      <w:r w:rsidR="00C05FFE">
        <w:t>[2]</w:t>
      </w:r>
      <w:r w:rsidRPr="0045207A">
        <w:t xml:space="preserve"> </w:t>
      </w:r>
      <w:r w:rsidR="00FD4C99">
        <w:t xml:space="preserve">states </w:t>
      </w:r>
      <w:r w:rsidR="008B2799">
        <w:t>that</w:t>
      </w:r>
      <w:r w:rsidRPr="0045207A">
        <w:t xml:space="preserve"> </w:t>
      </w:r>
    </w:p>
    <w:p w:rsidR="005217D7" w:rsidRPr="00392E6D" w:rsidRDefault="009C3C20" w:rsidP="00BB4496">
      <w:pPr>
        <w:tabs>
          <w:tab w:val="left" w:pos="709"/>
        </w:tabs>
        <w:spacing w:after="120" w:line="360" w:lineRule="auto"/>
        <w:ind w:left="567"/>
      </w:pPr>
      <w:r>
        <w:t>“</w:t>
      </w:r>
      <w:r w:rsidR="00FD4C99">
        <w:t>T</w:t>
      </w:r>
      <w:r w:rsidR="0011041C" w:rsidRPr="0045207A">
        <w:t xml:space="preserve">he government or the regulatory body </w:t>
      </w:r>
      <w:r w:rsidR="00FD4C99">
        <w:t xml:space="preserve">shall </w:t>
      </w:r>
      <w:r w:rsidR="0011041C" w:rsidRPr="0045207A">
        <w:t xml:space="preserve">establish dose limits for public exposure in planned exposure situations, and registrants and licensees </w:t>
      </w:r>
      <w:r w:rsidR="00FD4C99">
        <w:t>shall</w:t>
      </w:r>
      <w:r w:rsidR="0011041C" w:rsidRPr="0045207A">
        <w:t xml:space="preserve"> apply these limits.</w:t>
      </w:r>
      <w:r>
        <w:t>”</w:t>
      </w:r>
      <w:r w:rsidR="0011041C" w:rsidRPr="0045207A">
        <w:t xml:space="preserve"> </w:t>
      </w:r>
    </w:p>
    <w:p w:rsidR="005217D7" w:rsidRPr="0045207A" w:rsidRDefault="00E95CF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t>The dose limits for the public a</w:t>
      </w:r>
      <w:r w:rsidR="00B41FBD">
        <w:t>re</w:t>
      </w:r>
      <w:r w:rsidRPr="0045207A">
        <w:t xml:space="preserve"> set out in Schedule III of GSR Part 3</w:t>
      </w:r>
      <w:r w:rsidR="00871F51">
        <w:t xml:space="preserve"> [2]</w:t>
      </w:r>
      <w:r w:rsidRPr="0045207A">
        <w:t>. The dose limits for public exposure are:</w:t>
      </w:r>
    </w:p>
    <w:p w:rsidR="005217D7" w:rsidRPr="001962EA" w:rsidRDefault="00E95CF2" w:rsidP="00DA509B">
      <w:pPr>
        <w:pStyle w:val="ListParagraph"/>
        <w:numPr>
          <w:ilvl w:val="0"/>
          <w:numId w:val="13"/>
        </w:numPr>
        <w:tabs>
          <w:tab w:val="left" w:pos="709"/>
        </w:tabs>
        <w:autoSpaceDE w:val="0"/>
        <w:autoSpaceDN w:val="0"/>
        <w:adjustRightInd w:val="0"/>
        <w:spacing w:after="120" w:line="360" w:lineRule="auto"/>
        <w:ind w:left="567" w:hanging="567"/>
        <w:contextualSpacing w:val="0"/>
        <w:jc w:val="both"/>
        <w:rPr>
          <w:rFonts w:eastAsia="Times New Roman"/>
          <w:szCs w:val="20"/>
          <w:lang w:eastAsia="en-US"/>
        </w:rPr>
      </w:pPr>
      <w:r w:rsidRPr="0045207A">
        <w:t xml:space="preserve">An effective dose of 1 </w:t>
      </w:r>
      <w:proofErr w:type="spellStart"/>
      <w:r w:rsidRPr="0045207A">
        <w:t>mSv</w:t>
      </w:r>
      <w:proofErr w:type="spellEnd"/>
      <w:r w:rsidRPr="0045207A">
        <w:t xml:space="preserve"> in a year;</w:t>
      </w:r>
    </w:p>
    <w:p w:rsidR="001962EA" w:rsidRPr="0045207A" w:rsidRDefault="001962EA" w:rsidP="00E73E6E">
      <w:pPr>
        <w:pStyle w:val="ListParagraph"/>
        <w:numPr>
          <w:ilvl w:val="0"/>
          <w:numId w:val="13"/>
        </w:numPr>
        <w:tabs>
          <w:tab w:val="left" w:pos="709"/>
        </w:tabs>
        <w:autoSpaceDE w:val="0"/>
        <w:autoSpaceDN w:val="0"/>
        <w:adjustRightInd w:val="0"/>
        <w:spacing w:after="120" w:line="360" w:lineRule="auto"/>
        <w:ind w:left="567" w:hanging="567"/>
        <w:contextualSpacing w:val="0"/>
        <w:jc w:val="both"/>
        <w:rPr>
          <w:rFonts w:eastAsia="Times New Roman"/>
          <w:szCs w:val="20"/>
          <w:lang w:eastAsia="en-US"/>
        </w:rPr>
      </w:pPr>
      <w:r w:rsidRPr="00B15DBA">
        <w:t>In special circumstances</w:t>
      </w:r>
      <w:r w:rsidRPr="00B15DBA">
        <w:rPr>
          <w:rStyle w:val="FootnoteReference"/>
        </w:rPr>
        <w:footnoteReference w:id="3"/>
      </w:r>
      <w:r w:rsidRPr="00B15DBA">
        <w:t>, a higher value of effective dose in a single year could apply, provided that the average effective dose over five consecutive years does not exceed 1</w:t>
      </w:r>
      <w:r w:rsidR="00AE2D09">
        <w:t> </w:t>
      </w:r>
      <w:proofErr w:type="spellStart"/>
      <w:r w:rsidRPr="00B15DBA">
        <w:t>mSv</w:t>
      </w:r>
      <w:proofErr w:type="spellEnd"/>
      <w:r w:rsidRPr="00B15DBA">
        <w:t xml:space="preserve"> per year;</w:t>
      </w:r>
    </w:p>
    <w:p w:rsidR="005217D7" w:rsidRPr="0045207A" w:rsidRDefault="00E95CF2" w:rsidP="00974B83">
      <w:pPr>
        <w:pStyle w:val="ListParagraph"/>
        <w:numPr>
          <w:ilvl w:val="0"/>
          <w:numId w:val="13"/>
        </w:numPr>
        <w:tabs>
          <w:tab w:val="left" w:pos="709"/>
        </w:tabs>
        <w:autoSpaceDE w:val="0"/>
        <w:autoSpaceDN w:val="0"/>
        <w:adjustRightInd w:val="0"/>
        <w:spacing w:after="120" w:line="360" w:lineRule="auto"/>
        <w:ind w:left="567" w:hanging="567"/>
        <w:contextualSpacing w:val="0"/>
        <w:jc w:val="both"/>
        <w:rPr>
          <w:rFonts w:eastAsia="Times New Roman"/>
          <w:szCs w:val="20"/>
          <w:lang w:eastAsia="en-US"/>
        </w:rPr>
      </w:pPr>
      <w:r w:rsidRPr="0045207A">
        <w:t xml:space="preserve">An equivalent dose to the lens of the eye of 15 </w:t>
      </w:r>
      <w:proofErr w:type="spellStart"/>
      <w:r w:rsidRPr="0045207A">
        <w:t>mSv</w:t>
      </w:r>
      <w:proofErr w:type="spellEnd"/>
      <w:r w:rsidRPr="0045207A">
        <w:t xml:space="preserve"> in a year;</w:t>
      </w:r>
    </w:p>
    <w:p w:rsidR="005217D7" w:rsidRPr="0045207A" w:rsidRDefault="00E95CF2" w:rsidP="00974B83">
      <w:pPr>
        <w:pStyle w:val="ListParagraph"/>
        <w:numPr>
          <w:ilvl w:val="0"/>
          <w:numId w:val="13"/>
        </w:numPr>
        <w:tabs>
          <w:tab w:val="left" w:pos="709"/>
        </w:tabs>
        <w:autoSpaceDE w:val="0"/>
        <w:autoSpaceDN w:val="0"/>
        <w:adjustRightInd w:val="0"/>
        <w:spacing w:after="120" w:line="360" w:lineRule="auto"/>
        <w:ind w:left="567" w:hanging="567"/>
        <w:contextualSpacing w:val="0"/>
        <w:jc w:val="both"/>
        <w:rPr>
          <w:rFonts w:eastAsia="Times New Roman"/>
          <w:szCs w:val="20"/>
          <w:lang w:eastAsia="en-US"/>
        </w:rPr>
      </w:pPr>
      <w:r w:rsidRPr="0045207A">
        <w:t xml:space="preserve">An equivalent dose to the skin of 50 </w:t>
      </w:r>
      <w:proofErr w:type="spellStart"/>
      <w:r w:rsidRPr="0045207A">
        <w:t>mSv</w:t>
      </w:r>
      <w:proofErr w:type="spellEnd"/>
      <w:r w:rsidRPr="0045207A">
        <w:t xml:space="preserve"> in a year. </w:t>
      </w:r>
    </w:p>
    <w:p w:rsidR="005217D7" w:rsidRPr="00F543D6" w:rsidRDefault="0011041C"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45207A">
        <w:t>Although averaging of effective dose over a five</w:t>
      </w:r>
      <w:r w:rsidR="00BF6FFC">
        <w:t xml:space="preserve"> </w:t>
      </w:r>
      <w:r w:rsidRPr="0045207A">
        <w:t>year period is permitted in GSR</w:t>
      </w:r>
      <w:r w:rsidR="00E273A0">
        <w:t> </w:t>
      </w:r>
      <w:r w:rsidRPr="0045207A">
        <w:t>Part</w:t>
      </w:r>
      <w:r w:rsidR="00E273A0">
        <w:t> </w:t>
      </w:r>
      <w:r w:rsidRPr="0045207A">
        <w:t xml:space="preserve">3 </w:t>
      </w:r>
      <w:r w:rsidR="00C05FFE">
        <w:t>[2]</w:t>
      </w:r>
      <w:r w:rsidRPr="0045207A">
        <w:t xml:space="preserve">, this flexibility is generally not needed in the control of public exposure </w:t>
      </w:r>
      <w:r w:rsidR="00BF6FFC">
        <w:t>in</w:t>
      </w:r>
      <w:r w:rsidR="00BF6FFC" w:rsidRPr="0045207A">
        <w:t xml:space="preserve"> </w:t>
      </w:r>
      <w:r w:rsidRPr="0045207A">
        <w:t xml:space="preserve">planned exposure situations. Furthermore, it is not a straightforward matter to apply such averaging, since the dose limits for public exposure are more hypothetical in nature than they are in the case of occupational </w:t>
      </w:r>
      <w:r w:rsidRPr="00F543D6">
        <w:t xml:space="preserve">exposure, where doses to specific individuals are directly assessed. Thus, a regulatory body </w:t>
      </w:r>
      <w:r w:rsidR="006B4353" w:rsidRPr="00F543D6">
        <w:t>should</w:t>
      </w:r>
      <w:r w:rsidRPr="00F543D6">
        <w:t xml:space="preserve"> allow flexibility only upon</w:t>
      </w:r>
      <w:r w:rsidR="005217D7" w:rsidRPr="00F543D6">
        <w:t xml:space="preserve"> application by a </w:t>
      </w:r>
      <w:r w:rsidRPr="00F543D6">
        <w:t xml:space="preserve">licensee, so that the specific circumstances can be properly addressed. If averaging is used, this </w:t>
      </w:r>
      <w:r w:rsidR="00CA2DB2" w:rsidRPr="00F543D6">
        <w:t>should</w:t>
      </w:r>
      <w:r w:rsidRPr="00F543D6">
        <w:t xml:space="preserve"> not be done </w:t>
      </w:r>
      <w:r w:rsidRPr="0053237A">
        <w:t>retrospectively of</w:t>
      </w:r>
      <w:r w:rsidRPr="00F543D6">
        <w:t xml:space="preserve"> the </w:t>
      </w:r>
      <w:r w:rsidR="00C04567">
        <w:t xml:space="preserve">date of </w:t>
      </w:r>
      <w:r w:rsidRPr="00F543D6">
        <w:t xml:space="preserve">implementation of </w:t>
      </w:r>
      <w:r w:rsidR="00C04567">
        <w:t xml:space="preserve">the requirements of </w:t>
      </w:r>
      <w:r w:rsidRPr="00F543D6">
        <w:t>GSR Part 3</w:t>
      </w:r>
      <w:r w:rsidR="00871F51">
        <w:t xml:space="preserve"> [2]</w:t>
      </w:r>
      <w:r w:rsidRPr="00F543D6">
        <w:t>.</w:t>
      </w:r>
    </w:p>
    <w:p w:rsidR="00C04567" w:rsidRPr="00BB4496" w:rsidRDefault="000D300F"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F543D6">
        <w:t xml:space="preserve">Dose limits are individual related </w:t>
      </w:r>
      <w:r w:rsidR="00117CEE">
        <w:t xml:space="preserve">restrictions </w:t>
      </w:r>
      <w:r w:rsidRPr="00F543D6">
        <w:t xml:space="preserve">and apply to the total dose received by an individual from all relevant sources in planned exposure situations. </w:t>
      </w:r>
      <w:r w:rsidR="00AE537D" w:rsidRPr="00F543D6">
        <w:t>Th</w:t>
      </w:r>
      <w:r w:rsidR="006B4353" w:rsidRPr="00F543D6">
        <w:t xml:space="preserve">e calculation of the </w:t>
      </w:r>
      <w:r w:rsidR="006B4353" w:rsidRPr="00F543D6">
        <w:lastRenderedPageBreak/>
        <w:t xml:space="preserve">dose </w:t>
      </w:r>
      <w:r w:rsidR="00C04567">
        <w:t xml:space="preserve">for purposes of comparison with the dose limit </w:t>
      </w:r>
      <w:r w:rsidR="006B4353" w:rsidRPr="00F543D6">
        <w:t xml:space="preserve">should not include the dose due to the </w:t>
      </w:r>
      <w:r w:rsidR="00C04567">
        <w:t>natural</w:t>
      </w:r>
      <w:r w:rsidR="00C04567" w:rsidRPr="00F543D6">
        <w:t xml:space="preserve"> </w:t>
      </w:r>
      <w:r w:rsidR="006B4353" w:rsidRPr="00F543D6">
        <w:t xml:space="preserve">background </w:t>
      </w:r>
      <w:r w:rsidR="00C04567">
        <w:t xml:space="preserve">levels of </w:t>
      </w:r>
      <w:r w:rsidR="006B4353" w:rsidRPr="00F543D6">
        <w:t xml:space="preserve">radiation. </w:t>
      </w:r>
      <w:r w:rsidR="000646A1">
        <w:t>P</w:t>
      </w:r>
      <w:r w:rsidR="009C3C20">
        <w:t>ara</w:t>
      </w:r>
      <w:r w:rsidR="00C04567">
        <w:t>graph</w:t>
      </w:r>
      <w:r w:rsidR="009C3C20">
        <w:t xml:space="preserve"> 3.27 of </w:t>
      </w:r>
      <w:r w:rsidR="001F45D8">
        <w:t>GSR Part 3</w:t>
      </w:r>
      <w:r w:rsidRPr="00F543D6">
        <w:t xml:space="preserve"> </w:t>
      </w:r>
      <w:r w:rsidR="00C05FFE">
        <w:t>[2]</w:t>
      </w:r>
      <w:r w:rsidRPr="00F543D6">
        <w:t xml:space="preserve"> </w:t>
      </w:r>
      <w:r w:rsidR="00C04567">
        <w:t>states that</w:t>
      </w:r>
      <w:r w:rsidR="00C04567" w:rsidRPr="00F543D6">
        <w:t xml:space="preserve"> </w:t>
      </w:r>
    </w:p>
    <w:p w:rsidR="000D300F" w:rsidRPr="00392E6D" w:rsidRDefault="007F19DB" w:rsidP="00BB4496">
      <w:pPr>
        <w:tabs>
          <w:tab w:val="left" w:pos="709"/>
        </w:tabs>
        <w:spacing w:after="120" w:line="360" w:lineRule="auto"/>
        <w:ind w:left="567"/>
      </w:pPr>
      <w:r w:rsidRPr="00F543D6">
        <w:t>“</w:t>
      </w:r>
      <w:r w:rsidR="00C04567">
        <w:t>T</w:t>
      </w:r>
      <w:r w:rsidR="000D300F" w:rsidRPr="00F543D6">
        <w:t xml:space="preserve">he government or the regulatory body </w:t>
      </w:r>
      <w:r w:rsidR="00C04567">
        <w:t>shall</w:t>
      </w:r>
      <w:r w:rsidR="000D300F" w:rsidRPr="00F543D6">
        <w:t xml:space="preserve"> determine what additional restrictions, if any, </w:t>
      </w:r>
      <w:r w:rsidR="006B4353" w:rsidRPr="00F543D6">
        <w:t xml:space="preserve">are required to </w:t>
      </w:r>
      <w:r w:rsidR="000D300F" w:rsidRPr="00F543D6">
        <w:t xml:space="preserve">be complied with by registrants and licensees to ensure that the dose limits … are not exceeded </w:t>
      </w:r>
      <w:r w:rsidR="00C04567">
        <w:t>owing to</w:t>
      </w:r>
      <w:r w:rsidR="00C04567" w:rsidRPr="00F543D6">
        <w:t xml:space="preserve"> </w:t>
      </w:r>
      <w:r w:rsidR="000D300F" w:rsidRPr="00F543D6">
        <w:t xml:space="preserve">possible combinations of </w:t>
      </w:r>
      <w:r w:rsidR="00C04567">
        <w:t xml:space="preserve">doses from </w:t>
      </w:r>
      <w:r w:rsidR="000D300F" w:rsidRPr="00F543D6">
        <w:t xml:space="preserve">exposures </w:t>
      </w:r>
      <w:r w:rsidR="00C04567">
        <w:t>due to</w:t>
      </w:r>
      <w:r w:rsidR="00C04567" w:rsidRPr="00F543D6">
        <w:t xml:space="preserve"> </w:t>
      </w:r>
      <w:r w:rsidR="000D300F" w:rsidRPr="00F543D6">
        <w:t>different authorized practices</w:t>
      </w:r>
      <w:r w:rsidRPr="00F543D6">
        <w:t>”</w:t>
      </w:r>
      <w:r w:rsidR="000D300F" w:rsidRPr="00F543D6">
        <w:t>.</w:t>
      </w:r>
    </w:p>
    <w:p w:rsidR="00CA1A42" w:rsidRPr="006C448D" w:rsidRDefault="00CA1A42" w:rsidP="00CA1A42">
      <w:pPr>
        <w:numPr>
          <w:ilvl w:val="0"/>
          <w:numId w:val="7"/>
        </w:numPr>
        <w:tabs>
          <w:tab w:val="left" w:pos="709"/>
        </w:tabs>
        <w:overflowPunct/>
        <w:autoSpaceDE/>
        <w:autoSpaceDN/>
        <w:adjustRightInd/>
        <w:spacing w:after="120" w:line="360" w:lineRule="auto"/>
        <w:ind w:left="0" w:firstLine="0"/>
        <w:textAlignment w:val="auto"/>
      </w:pPr>
      <w:r w:rsidRPr="0095256E">
        <w:t>The effective dose received by members of the public depends upon a number of factors, such as the behaviour of radionuclides in the environment and th</w:t>
      </w:r>
      <w:r w:rsidRPr="006C448D">
        <w:t xml:space="preserve">eir transfer to people, the duration </w:t>
      </w:r>
      <w:r>
        <w:t xml:space="preserve">and rate </w:t>
      </w:r>
      <w:r w:rsidRPr="006C448D">
        <w:t>of exposure and other relevant factors. These factors cause a wide variation in the effective dose among the exposed population.</w:t>
      </w:r>
      <w:r>
        <w:t xml:space="preserve"> For the purpose of verifying compliance with the annual dose limit for public exposure, the dose to members of the public should be estimated for the representative person. </w:t>
      </w:r>
      <w:r w:rsidRPr="006C448D">
        <w:t xml:space="preserve">All members of the public are considered to be adequately protected if the estimated effective dose to the representative person complies with the dose limit. </w:t>
      </w:r>
      <w:r w:rsidR="00474778">
        <w:t xml:space="preserve">The </w:t>
      </w:r>
      <w:r w:rsidRPr="006C448D">
        <w:t xml:space="preserve">ICRP indicates that the dose to the representative person “is the equivalent of, and replaces, the mean dose </w:t>
      </w:r>
      <w:r w:rsidR="008F289F">
        <w:t>in</w:t>
      </w:r>
      <w:r w:rsidRPr="006C448D">
        <w:t xml:space="preserve"> the </w:t>
      </w:r>
      <w:r>
        <w:t>‘</w:t>
      </w:r>
      <w:r w:rsidRPr="006C448D">
        <w:t>critical</w:t>
      </w:r>
      <w:r>
        <w:t>’</w:t>
      </w:r>
      <w:r w:rsidRPr="006C448D">
        <w:t xml:space="preserve"> group” [</w:t>
      </w:r>
      <w:r w:rsidR="009C2E02">
        <w:t>2</w:t>
      </w:r>
      <w:r w:rsidR="008576A0">
        <w:t>3</w:t>
      </w:r>
      <w:r w:rsidRPr="006C448D">
        <w:t>].</w:t>
      </w:r>
    </w:p>
    <w:p w:rsidR="00CA1A42" w:rsidRPr="00CA1A42" w:rsidRDefault="00CA1A42" w:rsidP="00CA1A42">
      <w:pPr>
        <w:pStyle w:val="CM3"/>
        <w:numPr>
          <w:ilvl w:val="0"/>
          <w:numId w:val="7"/>
        </w:numPr>
        <w:tabs>
          <w:tab w:val="left" w:pos="709"/>
        </w:tabs>
        <w:spacing w:after="120" w:line="360" w:lineRule="auto"/>
        <w:ind w:left="0" w:firstLine="0"/>
        <w:jc w:val="both"/>
        <w:rPr>
          <w:lang w:val="en-GB"/>
        </w:rPr>
      </w:pPr>
      <w:r w:rsidRPr="006C448D">
        <w:rPr>
          <w:lang w:val="en-GB"/>
        </w:rPr>
        <w:t xml:space="preserve">According to </w:t>
      </w:r>
      <w:r>
        <w:rPr>
          <w:lang w:val="en-GB"/>
        </w:rPr>
        <w:t>R</w:t>
      </w:r>
      <w:r w:rsidRPr="006C448D">
        <w:rPr>
          <w:lang w:val="en-GB"/>
        </w:rPr>
        <w:t>equirement 14 of</w:t>
      </w:r>
      <w:r>
        <w:rPr>
          <w:lang w:val="en-GB"/>
        </w:rPr>
        <w:t xml:space="preserve"> GSR Part 3 [2]</w:t>
      </w:r>
      <w:r w:rsidRPr="006C448D">
        <w:rPr>
          <w:lang w:val="en-GB"/>
        </w:rPr>
        <w:t xml:space="preserve"> “</w:t>
      </w:r>
      <w:r w:rsidRPr="006C448D">
        <w:rPr>
          <w:rFonts w:ascii="Times New Roman" w:hAnsi="Times New Roman"/>
          <w:szCs w:val="20"/>
          <w:lang w:val="en-GB"/>
        </w:rPr>
        <w:t>Registrants and licensees and employers shall conduct monitoring to verify</w:t>
      </w:r>
      <w:r w:rsidRPr="006C448D">
        <w:rPr>
          <w:lang w:val="en-GB"/>
        </w:rPr>
        <w:t xml:space="preserve"> </w:t>
      </w:r>
      <w:r w:rsidRPr="006C448D">
        <w:rPr>
          <w:rFonts w:ascii="Times New Roman" w:hAnsi="Times New Roman"/>
          <w:szCs w:val="20"/>
          <w:lang w:val="en-GB"/>
        </w:rPr>
        <w:t>compliance with the requirements for protection and safety</w:t>
      </w:r>
      <w:r w:rsidRPr="006C448D">
        <w:rPr>
          <w:lang w:val="en-GB"/>
        </w:rPr>
        <w:t>”</w:t>
      </w:r>
      <w:r w:rsidRPr="006C448D">
        <w:rPr>
          <w:rFonts w:ascii="Times New Roman" w:hAnsi="Times New Roman"/>
          <w:szCs w:val="20"/>
          <w:lang w:val="en-GB"/>
        </w:rPr>
        <w:t>.</w:t>
      </w:r>
      <w:r w:rsidRPr="006C448D">
        <w:rPr>
          <w:lang w:val="en-GB"/>
        </w:rPr>
        <w:t xml:space="preserve"> Such monitoring should provide sufficient information to determine</w:t>
      </w:r>
      <w:r>
        <w:rPr>
          <w:lang w:val="en-GB"/>
        </w:rPr>
        <w:t xml:space="preserve"> whether</w:t>
      </w:r>
      <w:r w:rsidRPr="006C448D">
        <w:rPr>
          <w:lang w:val="en-GB"/>
        </w:rPr>
        <w:t xml:space="preserve"> the levels of public exposures</w:t>
      </w:r>
      <w:r>
        <w:rPr>
          <w:lang w:val="en-GB"/>
        </w:rPr>
        <w:t xml:space="preserve"> comply with the dose limits</w:t>
      </w:r>
      <w:r w:rsidRPr="006C448D">
        <w:rPr>
          <w:lang w:val="en-GB"/>
        </w:rPr>
        <w:t xml:space="preserve"> and to demonstrate that </w:t>
      </w:r>
      <w:r>
        <w:rPr>
          <w:lang w:val="en-GB"/>
        </w:rPr>
        <w:t>protection and safety is</w:t>
      </w:r>
      <w:r w:rsidRPr="006C448D">
        <w:rPr>
          <w:lang w:val="en-GB"/>
        </w:rPr>
        <w:t xml:space="preserve"> optimized.</w:t>
      </w:r>
    </w:p>
    <w:p w:rsidR="00C763CE" w:rsidRPr="00AD5541" w:rsidRDefault="001A768B" w:rsidP="00477ED7">
      <w:pPr>
        <w:pStyle w:val="Heading2"/>
        <w:numPr>
          <w:ilvl w:val="0"/>
          <w:numId w:val="0"/>
        </w:numPr>
        <w:tabs>
          <w:tab w:val="left" w:pos="709"/>
        </w:tabs>
        <w:spacing w:after="120" w:line="360" w:lineRule="auto"/>
        <w:rPr>
          <w:lang w:val="en-GB"/>
        </w:rPr>
      </w:pPr>
      <w:bookmarkStart w:id="18" w:name="_Toc396137874"/>
      <w:r w:rsidRPr="00AD5541">
        <w:rPr>
          <w:lang w:val="en-GB"/>
        </w:rPr>
        <w:t>EMERGENCY EXPOSURE SITUATIONS</w:t>
      </w:r>
      <w:bookmarkEnd w:id="18"/>
    </w:p>
    <w:p w:rsidR="004229A5" w:rsidRPr="00025401" w:rsidRDefault="004229A5" w:rsidP="00477ED7">
      <w:pPr>
        <w:pStyle w:val="ListParagraph"/>
        <w:tabs>
          <w:tab w:val="left" w:pos="709"/>
        </w:tabs>
        <w:autoSpaceDE w:val="0"/>
        <w:autoSpaceDN w:val="0"/>
        <w:adjustRightInd w:val="0"/>
        <w:spacing w:after="120" w:line="360" w:lineRule="auto"/>
        <w:ind w:left="0"/>
        <w:contextualSpacing w:val="0"/>
        <w:jc w:val="both"/>
        <w:rPr>
          <w:b/>
        </w:rPr>
      </w:pPr>
      <w:r w:rsidRPr="00025401">
        <w:rPr>
          <w:b/>
        </w:rPr>
        <w:t>Introduction</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t xml:space="preserve">The requirements in GSR Part 7 </w:t>
      </w:r>
      <w:r w:rsidR="00A62826">
        <w:t>[</w:t>
      </w:r>
      <w:r w:rsidR="00BB1302">
        <w:t>4</w:t>
      </w:r>
      <w:r w:rsidR="00A62826">
        <w:t xml:space="preserve">] </w:t>
      </w:r>
      <w:r>
        <w:t xml:space="preserve">and in Section 4 of GSR Part 3 </w:t>
      </w:r>
      <w:r w:rsidR="00A62826">
        <w:t xml:space="preserve">[2] </w:t>
      </w:r>
      <w:r>
        <w:t>for emergency exposure situations apply for preparedness and response for a nuclear or radiological emergency. These requirements include those relat</w:t>
      </w:r>
      <w:r w:rsidR="00EA03B4">
        <w:t>ing</w:t>
      </w:r>
      <w:r>
        <w:t xml:space="preserve"> to the transition from an emergency </w:t>
      </w:r>
      <w:r w:rsidR="00EA03B4">
        <w:t xml:space="preserve">exposure situation </w:t>
      </w:r>
      <w:r>
        <w:t>to an existing exposure situation (</w:t>
      </w:r>
      <w:r w:rsidR="00A62826">
        <w:t>Req</w:t>
      </w:r>
      <w:r w:rsidR="0053237A">
        <w:t>uirement</w:t>
      </w:r>
      <w:r w:rsidR="00A62826">
        <w:t xml:space="preserve"> 18</w:t>
      </w:r>
      <w:r>
        <w:t xml:space="preserve"> of </w:t>
      </w:r>
      <w:r w:rsidR="003937E5">
        <w:t>GSR Part 7</w:t>
      </w:r>
      <w:r>
        <w:t xml:space="preserve"> [</w:t>
      </w:r>
      <w:r w:rsidR="00BB1302">
        <w:t>4</w:t>
      </w:r>
      <w:r>
        <w:t>] and Req</w:t>
      </w:r>
      <w:r w:rsidR="0053237A">
        <w:t>uirement</w:t>
      </w:r>
      <w:r>
        <w:t xml:space="preserve"> 46 of </w:t>
      </w:r>
      <w:r w:rsidR="003937E5">
        <w:t>GSR Part 3</w:t>
      </w:r>
      <w:r>
        <w:t xml:space="preserve"> </w:t>
      </w:r>
      <w:r w:rsidR="00C05FFE">
        <w:t>[2]</w:t>
      </w:r>
      <w:r>
        <w:t>).</w:t>
      </w:r>
    </w:p>
    <w:p w:rsidR="004229A5" w:rsidRDefault="004229A5" w:rsidP="00974B83">
      <w:pPr>
        <w:pStyle w:val="ListParagraph"/>
        <w:numPr>
          <w:ilvl w:val="0"/>
          <w:numId w:val="7"/>
        </w:numPr>
        <w:tabs>
          <w:tab w:val="left" w:pos="709"/>
        </w:tabs>
        <w:spacing w:after="120" w:line="360" w:lineRule="auto"/>
        <w:ind w:left="0" w:firstLine="0"/>
        <w:contextualSpacing w:val="0"/>
        <w:jc w:val="both"/>
      </w:pPr>
      <w:r>
        <w:t>Requirement 4 of GSR Part 7 [</w:t>
      </w:r>
      <w:r w:rsidR="00BB1302">
        <w:t>4</w:t>
      </w:r>
      <w:r>
        <w:t>] require</w:t>
      </w:r>
      <w:r w:rsidR="00927881">
        <w:t>s</w:t>
      </w:r>
      <w:r>
        <w:t xml:space="preserve"> governments to ensure that a hazard assessment is performed to provide a basis for a graded approach in emergency preparedness and response. In the hazard assessment, facilities and activities, on-site </w:t>
      </w:r>
      <w:r w:rsidR="00EA03B4">
        <w:t xml:space="preserve">areas, </w:t>
      </w:r>
      <w:r>
        <w:t xml:space="preserve">off-site areas and locations </w:t>
      </w:r>
      <w:r w:rsidR="00EA03B4">
        <w:t xml:space="preserve">are required to be identified </w:t>
      </w:r>
      <w:r>
        <w:t>where an emergency could warrant taking protective and other response actions</w:t>
      </w:r>
      <w:r w:rsidR="0053237A">
        <w:t>,</w:t>
      </w:r>
      <w:r>
        <w:t xml:space="preserve"> with account taken of the uncertainties in</w:t>
      </w:r>
      <w:r w:rsidR="0053237A">
        <w:t>,</w:t>
      </w:r>
      <w:r>
        <w:t xml:space="preserve"> and </w:t>
      </w:r>
      <w:r>
        <w:lastRenderedPageBreak/>
        <w:t>limitations of</w:t>
      </w:r>
      <w:r w:rsidR="0053237A">
        <w:t>,</w:t>
      </w:r>
      <w:r>
        <w:t xml:space="preserve"> the information available at the preparedness stage. Para</w:t>
      </w:r>
      <w:r w:rsidR="0053237A">
        <w:t>graph</w:t>
      </w:r>
      <w:r>
        <w:t xml:space="preserve"> 4.19 of </w:t>
      </w:r>
      <w:r w:rsidR="006227CC">
        <w:t>GSR</w:t>
      </w:r>
      <w:r w:rsidR="0053237A">
        <w:t> </w:t>
      </w:r>
      <w:r w:rsidR="006227CC">
        <w:t xml:space="preserve">Part 7 </w:t>
      </w:r>
      <w:r>
        <w:t>[</w:t>
      </w:r>
      <w:r w:rsidR="00BB1302">
        <w:t>4</w:t>
      </w:r>
      <w:r>
        <w:t xml:space="preserve">] introduces five emergency preparedness categories </w:t>
      </w:r>
      <w:r w:rsidR="00EA03B4">
        <w:t xml:space="preserve">that </w:t>
      </w:r>
      <w:r>
        <w:t xml:space="preserve">establish the basis for developing generically justified and optimized arrangements for preparedness for and response to a nuclear or radiological emergency. </w:t>
      </w:r>
    </w:p>
    <w:p w:rsidR="00FD4C99" w:rsidRDefault="00E37DDC" w:rsidP="00974B83">
      <w:pPr>
        <w:pStyle w:val="ListParagraph"/>
        <w:numPr>
          <w:ilvl w:val="0"/>
          <w:numId w:val="7"/>
        </w:numPr>
        <w:tabs>
          <w:tab w:val="left" w:pos="709"/>
        </w:tabs>
        <w:spacing w:after="120" w:line="360" w:lineRule="auto"/>
        <w:ind w:left="0" w:firstLine="0"/>
        <w:contextualSpacing w:val="0"/>
        <w:jc w:val="both"/>
      </w:pPr>
      <w:r>
        <w:t>Para</w:t>
      </w:r>
      <w:r w:rsidR="00EA03B4">
        <w:t>graph</w:t>
      </w:r>
      <w:r>
        <w:t xml:space="preserve"> 4.27 of GSR Part 7 [4] states that </w:t>
      </w:r>
    </w:p>
    <w:p w:rsidR="004229A5" w:rsidRDefault="00E37DDC" w:rsidP="00BB4496">
      <w:pPr>
        <w:tabs>
          <w:tab w:val="left" w:pos="709"/>
        </w:tabs>
        <w:spacing w:after="120" w:line="360" w:lineRule="auto"/>
        <w:ind w:left="567"/>
      </w:pPr>
      <w:r>
        <w:t>“</w:t>
      </w:r>
      <w:r w:rsidR="00FD4C99">
        <w:t xml:space="preserve">The government shall ensure that, </w:t>
      </w:r>
      <w:r>
        <w:t>o</w:t>
      </w:r>
      <w:r w:rsidR="004229A5">
        <w:t>n the basis of the hazards identified and the potential consequences of a nuclear or radiological emergency, protection strategies are developed, justified and optimized at the preparedness stage for taking protective and other response actions effectively in a nuclear or radiological emergency to achieve the goals of emergency response.</w:t>
      </w:r>
      <w:r>
        <w:t>”</w:t>
      </w:r>
      <w:r w:rsidR="004229A5">
        <w:t xml:space="preserve"> </w:t>
      </w:r>
    </w:p>
    <w:p w:rsidR="004229A5" w:rsidRDefault="004229A5" w:rsidP="00974B83">
      <w:pPr>
        <w:numPr>
          <w:ilvl w:val="0"/>
          <w:numId w:val="7"/>
        </w:numPr>
        <w:tabs>
          <w:tab w:val="left" w:pos="709"/>
        </w:tabs>
        <w:overflowPunct/>
        <w:autoSpaceDE/>
        <w:autoSpaceDN/>
        <w:adjustRightInd/>
        <w:spacing w:after="120" w:line="360" w:lineRule="auto"/>
        <w:ind w:left="0" w:firstLine="0"/>
        <w:textAlignment w:val="auto"/>
      </w:pPr>
      <w:r>
        <w:t xml:space="preserve">In the protection strategy for an emergency exposure situation, in order to ensure that the goals of emergency response are achieved, different actions </w:t>
      </w:r>
      <w:r w:rsidR="008B6C18">
        <w:t>s</w:t>
      </w:r>
      <w:r w:rsidR="00EA03B4">
        <w:t xml:space="preserve">hould be considered </w:t>
      </w:r>
      <w:r w:rsidR="008B6C18">
        <w:t>for regaining</w:t>
      </w:r>
      <w:r w:rsidR="00EA03B4">
        <w:t xml:space="preserve"> </w:t>
      </w:r>
      <w:r>
        <w:t xml:space="preserve">control </w:t>
      </w:r>
      <w:r w:rsidR="00EA03B4">
        <w:t xml:space="preserve">over </w:t>
      </w:r>
      <w:r>
        <w:t>the source</w:t>
      </w:r>
      <w:r w:rsidR="00EA03B4">
        <w:t xml:space="preserve"> and/or </w:t>
      </w:r>
      <w:r w:rsidR="008B6C18">
        <w:t>preventing exposure via all possible</w:t>
      </w:r>
      <w:r>
        <w:t xml:space="preserve"> pathways of exposure and/or on the individuals</w:t>
      </w:r>
      <w:r w:rsidRPr="003F71DB">
        <w:t xml:space="preserve"> </w:t>
      </w:r>
      <w:r>
        <w:t>who may be exposed</w:t>
      </w:r>
      <w:r w:rsidR="00EA03B4">
        <w:t>,</w:t>
      </w:r>
      <w:r>
        <w:t xml:space="preserve"> with account taken of the time </w:t>
      </w:r>
      <w:r w:rsidR="00EA03B4">
        <w:t xml:space="preserve">necessary </w:t>
      </w:r>
      <w:r>
        <w:t xml:space="preserve">for the effective implementation of these actions. </w:t>
      </w:r>
      <w:r w:rsidRPr="00964D96">
        <w:t xml:space="preserve">For example, in order to prevent or reduce the release of radioactive material following an accident, </w:t>
      </w:r>
      <w:proofErr w:type="spellStart"/>
      <w:r>
        <w:t>mitigatory</w:t>
      </w:r>
      <w:proofErr w:type="spellEnd"/>
      <w:r>
        <w:t xml:space="preserve"> </w:t>
      </w:r>
      <w:r w:rsidRPr="00964D96">
        <w:t>action</w:t>
      </w:r>
      <w:r>
        <w:t>s</w:t>
      </w:r>
      <w:r w:rsidRPr="00964D96">
        <w:t xml:space="preserve"> </w:t>
      </w:r>
      <w:r>
        <w:t>could</w:t>
      </w:r>
      <w:r w:rsidRPr="00964D96">
        <w:t xml:space="preserve"> be taken at the source. However, </w:t>
      </w:r>
      <w:r w:rsidR="00E37DDC">
        <w:t xml:space="preserve">if </w:t>
      </w:r>
      <w:r w:rsidR="0053237A">
        <w:t>it</w:t>
      </w:r>
      <w:r>
        <w:t xml:space="preserve"> </w:t>
      </w:r>
      <w:r w:rsidR="00E37DDC">
        <w:t>is</w:t>
      </w:r>
      <w:r>
        <w:t xml:space="preserve"> no longer possible to control the source or to prevent a release</w:t>
      </w:r>
      <w:r w:rsidR="00E73E6E">
        <w:t>,</w:t>
      </w:r>
      <w:r>
        <w:t xml:space="preserve"> actions will </w:t>
      </w:r>
      <w:r w:rsidR="00E37DDC">
        <w:t>have</w:t>
      </w:r>
      <w:r>
        <w:t xml:space="preserve"> to be taken </w:t>
      </w:r>
      <w:r w:rsidR="00EA03B4">
        <w:t>in respect of</w:t>
      </w:r>
      <w:r>
        <w:t xml:space="preserve"> the pathways or </w:t>
      </w:r>
      <w:r w:rsidR="00EA03B4">
        <w:t xml:space="preserve">in respect of </w:t>
      </w:r>
      <w:r>
        <w:t xml:space="preserve">those individuals who may be exposed. In such cases, </w:t>
      </w:r>
      <w:r w:rsidR="00E37DDC">
        <w:t xml:space="preserve">both urgent </w:t>
      </w:r>
      <w:r w:rsidR="00EA03B4">
        <w:t xml:space="preserve">protective actions </w:t>
      </w:r>
      <w:r w:rsidR="00E37DDC">
        <w:t xml:space="preserve">and early </w:t>
      </w:r>
      <w:r>
        <w:t xml:space="preserve">protective actions and other response actions are warranted, </w:t>
      </w:r>
      <w:r w:rsidR="00E37DDC">
        <w:t xml:space="preserve">such as </w:t>
      </w:r>
      <w:r w:rsidRPr="00964D96">
        <w:t>evacuation</w:t>
      </w:r>
      <w:r>
        <w:t>,</w:t>
      </w:r>
      <w:r w:rsidRPr="00964D96">
        <w:t xml:space="preserve"> sheltering</w:t>
      </w:r>
      <w:r>
        <w:t xml:space="preserve">, iodine thyroid blocking, relocation, </w:t>
      </w:r>
      <w:r w:rsidR="00EA03B4">
        <w:t xml:space="preserve">and </w:t>
      </w:r>
      <w:r>
        <w:t>restrictions on food, milk</w:t>
      </w:r>
      <w:r w:rsidR="00EA03B4">
        <w:t>,</w:t>
      </w:r>
      <w:r>
        <w:t xml:space="preserve"> drinking water and other commodities</w:t>
      </w:r>
      <w:r w:rsidRPr="00964D96">
        <w:t>.</w:t>
      </w:r>
    </w:p>
    <w:p w:rsidR="004229A5" w:rsidRDefault="004229A5" w:rsidP="00974B83">
      <w:pPr>
        <w:numPr>
          <w:ilvl w:val="0"/>
          <w:numId w:val="7"/>
        </w:numPr>
        <w:tabs>
          <w:tab w:val="left" w:pos="709"/>
        </w:tabs>
        <w:autoSpaceDE/>
        <w:autoSpaceDN/>
        <w:spacing w:after="120" w:line="360" w:lineRule="auto"/>
        <w:ind w:left="0" w:firstLine="0"/>
        <w:textAlignment w:val="auto"/>
      </w:pPr>
      <w:r>
        <w:t xml:space="preserve">The protection strategy and overall emergency arrangements developed in accordance with </w:t>
      </w:r>
      <w:r w:rsidR="006227CC">
        <w:t xml:space="preserve">GSR Part 7 </w:t>
      </w:r>
      <w:r>
        <w:t>[</w:t>
      </w:r>
      <w:r w:rsidR="00BB1302">
        <w:t>4</w:t>
      </w:r>
      <w:r>
        <w:t xml:space="preserve">] should provide for </w:t>
      </w:r>
      <w:r w:rsidR="0004274A">
        <w:t>the</w:t>
      </w:r>
      <w:r>
        <w:t xml:space="preserve"> safe and effective implementation of the emergency response</w:t>
      </w:r>
      <w:r w:rsidR="0053237A">
        <w:t>,</w:t>
      </w:r>
      <w:r>
        <w:t xml:space="preserve"> particularly during the urgent </w:t>
      </w:r>
      <w:r w:rsidR="00735119">
        <w:t xml:space="preserve">phase </w:t>
      </w:r>
      <w:r>
        <w:t>and</w:t>
      </w:r>
      <w:r w:rsidR="00735119">
        <w:t xml:space="preserve"> the</w:t>
      </w:r>
      <w:r>
        <w:t xml:space="preserve"> early phase of a nuclear or radiological emergency</w:t>
      </w:r>
      <w:r w:rsidR="0004274A">
        <w:t>,</w:t>
      </w:r>
      <w:r>
        <w:t xml:space="preserve"> when very little information is available. However, as the emergency evolves</w:t>
      </w:r>
      <w:r w:rsidR="0053237A">
        <w:t>,</w:t>
      </w:r>
      <w:r>
        <w:t xml:space="preserve"> such as during the transition phase, more information on the circumstance</w:t>
      </w:r>
      <w:r w:rsidR="0004274A">
        <w:t>s</w:t>
      </w:r>
      <w:r>
        <w:t xml:space="preserve"> surrounding the emergency and its consequences</w:t>
      </w:r>
      <w:r w:rsidRPr="00E61AC8">
        <w:t xml:space="preserve"> </w:t>
      </w:r>
      <w:r w:rsidR="0004274A">
        <w:t xml:space="preserve">will </w:t>
      </w:r>
      <w:r>
        <w:t xml:space="preserve">become available. </w:t>
      </w:r>
    </w:p>
    <w:p w:rsidR="004229A5" w:rsidRDefault="004229A5" w:rsidP="00974B83">
      <w:pPr>
        <w:numPr>
          <w:ilvl w:val="0"/>
          <w:numId w:val="7"/>
        </w:numPr>
        <w:tabs>
          <w:tab w:val="left" w:pos="709"/>
        </w:tabs>
        <w:autoSpaceDE/>
        <w:autoSpaceDN/>
        <w:spacing w:after="120" w:line="360" w:lineRule="auto"/>
        <w:ind w:left="0" w:firstLine="0"/>
        <w:textAlignment w:val="auto"/>
      </w:pPr>
      <w:r>
        <w:t xml:space="preserve">In the light of increased understanding on the emergency situation as it evolves, the effectiveness of actions and the overall strategy taken early in the emergency response </w:t>
      </w:r>
      <w:r w:rsidR="0004274A">
        <w:t xml:space="preserve">are required to </w:t>
      </w:r>
      <w:r>
        <w:t xml:space="preserve">be assessed and adjusted </w:t>
      </w:r>
      <w:r w:rsidR="0004274A">
        <w:t>on the basis of</w:t>
      </w:r>
      <w:r>
        <w:t xml:space="preserve"> the prevailing conditions and </w:t>
      </w:r>
      <w:r w:rsidR="0004274A">
        <w:t xml:space="preserve">the </w:t>
      </w:r>
      <w:r>
        <w:t xml:space="preserve">available </w:t>
      </w:r>
      <w:r>
        <w:lastRenderedPageBreak/>
        <w:t xml:space="preserve">information </w:t>
      </w:r>
      <w:r w:rsidR="0004274A">
        <w:t xml:space="preserve">on </w:t>
      </w:r>
      <w:r>
        <w:t xml:space="preserve">the emergency. Further justified and optimized strategies should </w:t>
      </w:r>
      <w:r w:rsidR="0053237A">
        <w:t xml:space="preserve">then </w:t>
      </w:r>
      <w:r>
        <w:t xml:space="preserve">be considered and implemented as necessary (para. 4.31 of </w:t>
      </w:r>
      <w:r w:rsidR="00115F53">
        <w:t>GSR Part 7</w:t>
      </w:r>
      <w:r>
        <w:t xml:space="preserve"> [</w:t>
      </w:r>
      <w:r w:rsidR="00BB1302">
        <w:t>4</w:t>
      </w:r>
      <w:r>
        <w:t xml:space="preserve">]). </w:t>
      </w:r>
    </w:p>
    <w:p w:rsidR="004229A5" w:rsidRDefault="004229A5" w:rsidP="00477ED7">
      <w:pPr>
        <w:tabs>
          <w:tab w:val="left" w:pos="709"/>
        </w:tabs>
        <w:autoSpaceDE/>
        <w:autoSpaceDN/>
        <w:spacing w:after="120" w:line="360" w:lineRule="auto"/>
        <w:textAlignment w:val="auto"/>
      </w:pPr>
      <w:r w:rsidRPr="002E4963">
        <w:rPr>
          <w:b/>
        </w:rPr>
        <w:t>Goals of emergency response</w:t>
      </w:r>
    </w:p>
    <w:p w:rsidR="00E37DDC" w:rsidRDefault="004229A5" w:rsidP="00974B83">
      <w:pPr>
        <w:numPr>
          <w:ilvl w:val="0"/>
          <w:numId w:val="7"/>
        </w:numPr>
        <w:tabs>
          <w:tab w:val="left" w:pos="709"/>
        </w:tabs>
        <w:autoSpaceDE/>
        <w:autoSpaceDN/>
        <w:spacing w:after="120" w:line="360" w:lineRule="auto"/>
        <w:ind w:left="0" w:firstLine="0"/>
        <w:textAlignment w:val="auto"/>
      </w:pPr>
      <w:bookmarkStart w:id="19" w:name="_Ref437122244"/>
      <w:r>
        <w:t>Para</w:t>
      </w:r>
      <w:r w:rsidR="0053237A">
        <w:t>graph</w:t>
      </w:r>
      <w:r>
        <w:t xml:space="preserve"> 3.2 of GSR Part 7 [</w:t>
      </w:r>
      <w:r w:rsidR="00BB1302">
        <w:t>4</w:t>
      </w:r>
      <w:r>
        <w:t xml:space="preserve">] </w:t>
      </w:r>
      <w:r w:rsidR="00E37DDC">
        <w:t xml:space="preserve">lists </w:t>
      </w:r>
      <w:r>
        <w:t>the goals of emergency response as follow</w:t>
      </w:r>
      <w:r w:rsidR="00E37DDC">
        <w:t>s</w:t>
      </w:r>
      <w:r>
        <w:t>:</w:t>
      </w:r>
      <w:bookmarkEnd w:id="19"/>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t>T</w:t>
      </w:r>
      <w:r w:rsidR="004229A5" w:rsidRPr="00030858">
        <w:rPr>
          <w:rStyle w:val="BulletList"/>
        </w:rPr>
        <w:t xml:space="preserve">o regain control of the situation and </w:t>
      </w:r>
      <w:r w:rsidR="004229A5" w:rsidRPr="00AA1BCA">
        <w:rPr>
          <w:rStyle w:val="BulletList"/>
        </w:rPr>
        <w:t>to mitigate consequences</w:t>
      </w:r>
      <w:r w:rsidR="004229A5">
        <w:rPr>
          <w:rStyle w:val="BulletList"/>
        </w:rPr>
        <w:t>;</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o save lives;</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 xml:space="preserve">o avoid or </w:t>
      </w:r>
      <w:r w:rsidR="004229A5">
        <w:rPr>
          <w:rStyle w:val="BulletList"/>
        </w:rPr>
        <w:t xml:space="preserve">to </w:t>
      </w:r>
      <w:r w:rsidR="004229A5" w:rsidRPr="00030858">
        <w:rPr>
          <w:rStyle w:val="BulletList"/>
        </w:rPr>
        <w:t>minimize severe deterministic effects;</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 xml:space="preserve">o render first aid, to </w:t>
      </w:r>
      <w:r w:rsidR="004229A5" w:rsidRPr="00037F0A">
        <w:rPr>
          <w:rStyle w:val="BulletList"/>
        </w:rPr>
        <w:t>provide critical medical treatment and to manage the treatment of radiation inj</w:t>
      </w:r>
      <w:r w:rsidR="004229A5" w:rsidRPr="00030858">
        <w:rPr>
          <w:rStyle w:val="BulletList"/>
        </w:rPr>
        <w:t>uries;</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o reduce the risk of stochastic effects;</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o keep the public informed and to maintain public trust;</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o mitigate, to the extent practicable, non-radiological consequences;</w:t>
      </w:r>
    </w:p>
    <w:p w:rsid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o protect, to the extent practicable, property and the environment;</w:t>
      </w:r>
    </w:p>
    <w:p w:rsidR="00E37DDC" w:rsidRPr="00506E1D" w:rsidRDefault="0004274A" w:rsidP="00C43DEB">
      <w:pPr>
        <w:pStyle w:val="ListParagraph"/>
        <w:numPr>
          <w:ilvl w:val="2"/>
          <w:numId w:val="7"/>
        </w:numPr>
        <w:tabs>
          <w:tab w:val="left" w:pos="709"/>
        </w:tabs>
        <w:spacing w:after="120" w:line="360" w:lineRule="auto"/>
        <w:ind w:left="567" w:hanging="567"/>
        <w:jc w:val="both"/>
        <w:rPr>
          <w:rStyle w:val="BulletList"/>
        </w:rPr>
      </w:pPr>
      <w:r>
        <w:rPr>
          <w:rStyle w:val="BulletList"/>
        </w:rPr>
        <w:t>T</w:t>
      </w:r>
      <w:r w:rsidR="004229A5" w:rsidRPr="00030858">
        <w:rPr>
          <w:rStyle w:val="BulletList"/>
        </w:rPr>
        <w:t>o prepare, to the extent practicable, for the resumption of normal social and economic activity.</w:t>
      </w:r>
    </w:p>
    <w:p w:rsidR="004229A5" w:rsidRPr="002E4963" w:rsidRDefault="004229A5" w:rsidP="00C43DEB">
      <w:pPr>
        <w:tabs>
          <w:tab w:val="left" w:pos="709"/>
        </w:tabs>
        <w:autoSpaceDE/>
        <w:autoSpaceDN/>
        <w:spacing w:after="120" w:line="360" w:lineRule="auto"/>
        <w:textAlignment w:val="auto"/>
      </w:pPr>
      <w:r>
        <w:rPr>
          <w:rStyle w:val="BulletList"/>
        </w:rPr>
        <w:t xml:space="preserve">These goals </w:t>
      </w:r>
      <w:r>
        <w:t>should guide the development of protection strategy and of overall emergency arrangements for preparedness and response for a nuclear or radiological emergency in order to ensure an effective emergency response.</w:t>
      </w:r>
    </w:p>
    <w:p w:rsidR="004229A5" w:rsidRPr="00E1202A" w:rsidRDefault="004229A5" w:rsidP="00477ED7">
      <w:pPr>
        <w:tabs>
          <w:tab w:val="left" w:pos="709"/>
        </w:tabs>
        <w:autoSpaceDE/>
        <w:autoSpaceDN/>
        <w:spacing w:after="120" w:line="360" w:lineRule="auto"/>
        <w:textAlignment w:val="auto"/>
      </w:pPr>
      <w:r w:rsidRPr="00E1202A">
        <w:rPr>
          <w:b/>
        </w:rPr>
        <w:t>Justification</w:t>
      </w:r>
    </w:p>
    <w:p w:rsidR="004229A5" w:rsidRDefault="004229A5" w:rsidP="00974B83">
      <w:pPr>
        <w:numPr>
          <w:ilvl w:val="0"/>
          <w:numId w:val="7"/>
        </w:numPr>
        <w:tabs>
          <w:tab w:val="left" w:pos="709"/>
        </w:tabs>
        <w:autoSpaceDE/>
        <w:autoSpaceDN/>
        <w:spacing w:after="120" w:line="360" w:lineRule="auto"/>
        <w:ind w:left="0" w:firstLine="0"/>
        <w:textAlignment w:val="auto"/>
      </w:pPr>
      <w:r w:rsidRPr="00C926BA">
        <w:t xml:space="preserve">Requirement 44 </w:t>
      </w:r>
      <w:r>
        <w:t xml:space="preserve">of GSR Part 3 </w:t>
      </w:r>
      <w:r w:rsidR="00C05FFE">
        <w:t>[2]</w:t>
      </w:r>
      <w:r>
        <w:t xml:space="preserve"> and Requirement 5 of GSR Part 7 [</w:t>
      </w:r>
      <w:r w:rsidR="00BB1302">
        <w:t>4</w:t>
      </w:r>
      <w:r>
        <w:t xml:space="preserve">] </w:t>
      </w:r>
      <w:r w:rsidR="00985278">
        <w:t xml:space="preserve">state that </w:t>
      </w:r>
      <w:r>
        <w:t>the</w:t>
      </w:r>
      <w:r w:rsidRPr="00C926BA">
        <w:t xml:space="preserve"> protection strategies </w:t>
      </w:r>
      <w:r w:rsidR="00985278">
        <w:t xml:space="preserve">are required </w:t>
      </w:r>
      <w:r>
        <w:t xml:space="preserve">to be </w:t>
      </w:r>
      <w:r w:rsidRPr="00C926BA">
        <w:t xml:space="preserve">justified at the </w:t>
      </w:r>
      <w:r>
        <w:t>preparedness</w:t>
      </w:r>
      <w:r w:rsidRPr="00C926BA">
        <w:t xml:space="preserve"> stage</w:t>
      </w:r>
      <w:r>
        <w:t xml:space="preserve"> for taking protective actions and other response actions effectively in</w:t>
      </w:r>
      <w:r w:rsidRPr="00C926BA">
        <w:t xml:space="preserve"> </w:t>
      </w:r>
      <w:r>
        <w:t>a nuclear or radiological emergency</w:t>
      </w:r>
      <w:r w:rsidRPr="00C926BA">
        <w:t>.</w:t>
      </w:r>
      <w:r w:rsidRPr="006C647B">
        <w:t xml:space="preserve"> </w:t>
      </w:r>
    </w:p>
    <w:p w:rsidR="004229A5" w:rsidRDefault="004229A5" w:rsidP="00974B83">
      <w:pPr>
        <w:numPr>
          <w:ilvl w:val="0"/>
          <w:numId w:val="7"/>
        </w:numPr>
        <w:tabs>
          <w:tab w:val="left" w:pos="709"/>
        </w:tabs>
        <w:autoSpaceDE/>
        <w:autoSpaceDN/>
        <w:spacing w:after="120" w:line="360" w:lineRule="auto"/>
        <w:ind w:left="0" w:firstLine="0"/>
        <w:textAlignment w:val="auto"/>
      </w:pPr>
      <w:r>
        <w:t>As stated in para</w:t>
      </w:r>
      <w:r w:rsidR="00B41FBD">
        <w:t>.</w:t>
      </w:r>
      <w:r>
        <w:t xml:space="preserve"> </w:t>
      </w:r>
      <w:r w:rsidR="007519CA">
        <w:t>4.29</w:t>
      </w:r>
      <w:r w:rsidR="0053237A">
        <w:t xml:space="preserve"> </w:t>
      </w:r>
      <w:proofErr w:type="gramStart"/>
      <w:r w:rsidR="0053237A">
        <w:t>of</w:t>
      </w:r>
      <w:proofErr w:type="gramEnd"/>
      <w:r w:rsidR="0053237A">
        <w:t xml:space="preserve"> </w:t>
      </w:r>
      <w:r w:rsidR="00BB1302">
        <w:t>GSR Part 7</w:t>
      </w:r>
      <w:r w:rsidR="0053237A">
        <w:t xml:space="preserve"> [</w:t>
      </w:r>
      <w:r w:rsidR="00BB1302">
        <w:t>4</w:t>
      </w:r>
      <w:r w:rsidR="0053237A">
        <w:t>]</w:t>
      </w:r>
      <w:r>
        <w:t xml:space="preserve">, the </w:t>
      </w:r>
      <w:r w:rsidR="00985278">
        <w:t xml:space="preserve">requirement for </w:t>
      </w:r>
      <w:r>
        <w:t>justification applies for e</w:t>
      </w:r>
      <w:r w:rsidRPr="00410505">
        <w:t xml:space="preserve">ach protective action, in the context of the protection strategy, and </w:t>
      </w:r>
      <w:r>
        <w:t xml:space="preserve">for </w:t>
      </w:r>
      <w:r w:rsidRPr="00410505">
        <w:t>the protection strategy itself</w:t>
      </w:r>
      <w:r>
        <w:t xml:space="preserve">. Protective actions taken in an emergency can be disruptive and have </w:t>
      </w:r>
      <w:r w:rsidR="007519CA">
        <w:t xml:space="preserve">adverse </w:t>
      </w:r>
      <w:r>
        <w:t>psycho</w:t>
      </w:r>
      <w:r w:rsidR="007519CA">
        <w:t xml:space="preserve">logical or </w:t>
      </w:r>
      <w:r>
        <w:t>soc</w:t>
      </w:r>
      <w:r w:rsidR="007519CA">
        <w:t>ietal</w:t>
      </w:r>
      <w:r>
        <w:t xml:space="preserve"> </w:t>
      </w:r>
      <w:r w:rsidR="00BC6DFD">
        <w:t xml:space="preserve">consequences </w:t>
      </w:r>
      <w:r w:rsidR="00B13D25">
        <w:t>(particularly</w:t>
      </w:r>
      <w:r w:rsidR="007519CA">
        <w:t xml:space="preserve"> for</w:t>
      </w:r>
      <w:r w:rsidR="00B13D25">
        <w:t xml:space="preserve"> those </w:t>
      </w:r>
      <w:r w:rsidR="007519CA">
        <w:t xml:space="preserve">individuals </w:t>
      </w:r>
      <w:r w:rsidR="00B13D25">
        <w:t>evacuated or relocated)</w:t>
      </w:r>
      <w:r>
        <w:t xml:space="preserve"> as well as major economic and environmental impacts in the affected areas. In addition, the absence of adequate preparedness</w:t>
      </w:r>
      <w:r w:rsidR="00C02A82">
        <w:t xml:space="preserve"> can result in</w:t>
      </w:r>
      <w:r>
        <w:t xml:space="preserve"> </w:t>
      </w:r>
      <w:r w:rsidR="007519CA">
        <w:t xml:space="preserve">the </w:t>
      </w:r>
      <w:r>
        <w:t xml:space="preserve">taking </w:t>
      </w:r>
      <w:r w:rsidR="007519CA">
        <w:t xml:space="preserve">of </w:t>
      </w:r>
      <w:r>
        <w:t>actions</w:t>
      </w:r>
      <w:r w:rsidR="008B6C18">
        <w:t xml:space="preserve"> that are not warranted</w:t>
      </w:r>
      <w:r>
        <w:t xml:space="preserve"> in the belief that they provide for the protection</w:t>
      </w:r>
      <w:r w:rsidR="00FF3561">
        <w:t xml:space="preserve"> and safety</w:t>
      </w:r>
      <w:r>
        <w:t xml:space="preserve"> of individuals affected, </w:t>
      </w:r>
      <w:r w:rsidR="00C02A82">
        <w:t>but which</w:t>
      </w:r>
      <w:r>
        <w:t xml:space="preserve"> cause more harm than good. Therefore, </w:t>
      </w:r>
      <w:r w:rsidR="00C02A82">
        <w:t>it is required to demonstrate that the</w:t>
      </w:r>
      <w:r>
        <w:t xml:space="preserve"> protective actions and the overall protection strategy </w:t>
      </w:r>
      <w:r w:rsidRPr="00410505">
        <w:t>do more good than harm</w:t>
      </w:r>
      <w:r w:rsidR="00C02A82">
        <w:t>,</w:t>
      </w:r>
      <w:r w:rsidRPr="00410505">
        <w:t xml:space="preserve"> with account taken not only of those detriments that are associated with radiation exposure</w:t>
      </w:r>
      <w:r>
        <w:t xml:space="preserve"> of individuals</w:t>
      </w:r>
      <w:r w:rsidRPr="00410505">
        <w:t xml:space="preserve"> </w:t>
      </w:r>
      <w:r w:rsidRPr="00410505">
        <w:lastRenderedPageBreak/>
        <w:t>but also of those</w:t>
      </w:r>
      <w:r>
        <w:t xml:space="preserve"> detriments</w:t>
      </w:r>
      <w:r w:rsidRPr="00410505">
        <w:t xml:space="preserve"> associated with impacts of the actions taken on public health, </w:t>
      </w:r>
      <w:r w:rsidR="00C02A82">
        <w:t xml:space="preserve">the </w:t>
      </w:r>
      <w:r w:rsidRPr="00410505">
        <w:t>econo</w:t>
      </w:r>
      <w:r>
        <w:t>my, society and the environment.</w:t>
      </w:r>
    </w:p>
    <w:p w:rsidR="00FD4C99" w:rsidRDefault="004229A5" w:rsidP="00974B83">
      <w:pPr>
        <w:numPr>
          <w:ilvl w:val="0"/>
          <w:numId w:val="7"/>
        </w:numPr>
        <w:tabs>
          <w:tab w:val="left" w:pos="709"/>
        </w:tabs>
        <w:autoSpaceDE/>
        <w:autoSpaceDN/>
        <w:spacing w:after="120" w:line="360" w:lineRule="auto"/>
        <w:ind w:left="0" w:firstLine="0"/>
        <w:textAlignment w:val="auto"/>
      </w:pPr>
      <w:r>
        <w:t>Para</w:t>
      </w:r>
      <w:r w:rsidR="0053237A">
        <w:t>graph</w:t>
      </w:r>
      <w:r>
        <w:t xml:space="preserve"> 4.30 of GSR Part 7 [</w:t>
      </w:r>
      <w:r w:rsidR="00BB1302">
        <w:t>4</w:t>
      </w:r>
      <w:r>
        <w:t xml:space="preserve">] states </w:t>
      </w:r>
      <w:r w:rsidR="00FD4C99">
        <w:t xml:space="preserve">that </w:t>
      </w:r>
    </w:p>
    <w:p w:rsidR="00FD4C99" w:rsidRDefault="004229A5" w:rsidP="00BB4496">
      <w:pPr>
        <w:tabs>
          <w:tab w:val="left" w:pos="709"/>
        </w:tabs>
        <w:autoSpaceDE/>
        <w:autoSpaceDN/>
        <w:spacing w:after="120" w:line="360" w:lineRule="auto"/>
        <w:ind w:left="567"/>
        <w:textAlignment w:val="auto"/>
      </w:pPr>
      <w:r>
        <w:t>“</w:t>
      </w:r>
      <w:r w:rsidRPr="00030858">
        <w:t xml:space="preserve">The government shall ensure that interested parties are </w:t>
      </w:r>
      <w:r w:rsidRPr="009057F4">
        <w:t xml:space="preserve">involved and </w:t>
      </w:r>
      <w:r w:rsidRPr="00030858">
        <w:t>consulted, as appropriate, in the development of the protection strategy</w:t>
      </w:r>
      <w:r>
        <w:t xml:space="preserve">.” </w:t>
      </w:r>
    </w:p>
    <w:p w:rsidR="004229A5" w:rsidRDefault="004229A5" w:rsidP="00BB4496">
      <w:pPr>
        <w:tabs>
          <w:tab w:val="left" w:pos="709"/>
        </w:tabs>
        <w:autoSpaceDE/>
        <w:autoSpaceDN/>
        <w:spacing w:after="120" w:line="360" w:lineRule="auto"/>
        <w:textAlignment w:val="auto"/>
      </w:pPr>
      <w:r>
        <w:t xml:space="preserve">In the context of an emergency, interested parties </w:t>
      </w:r>
      <w:r w:rsidR="00C02A82">
        <w:t xml:space="preserve">should be consulted </w:t>
      </w:r>
      <w:r>
        <w:t>throughout the process of justification of the overall protecti</w:t>
      </w:r>
      <w:r w:rsidR="00C02A82">
        <w:t>on</w:t>
      </w:r>
      <w:r>
        <w:t xml:space="preserve"> strategy and any protective action in the context of the </w:t>
      </w:r>
      <w:r w:rsidR="001226DC">
        <w:t xml:space="preserve">protection </w:t>
      </w:r>
      <w:r>
        <w:t xml:space="preserve">strategy. </w:t>
      </w:r>
    </w:p>
    <w:p w:rsidR="004229A5" w:rsidRDefault="004229A5" w:rsidP="00D3284D">
      <w:pPr>
        <w:numPr>
          <w:ilvl w:val="0"/>
          <w:numId w:val="7"/>
        </w:numPr>
        <w:tabs>
          <w:tab w:val="left" w:pos="709"/>
        </w:tabs>
        <w:autoSpaceDE/>
        <w:autoSpaceDN/>
        <w:spacing w:after="120" w:line="360" w:lineRule="auto"/>
        <w:ind w:left="0" w:firstLine="0"/>
        <w:textAlignment w:val="auto"/>
      </w:pPr>
      <w:r>
        <w:t xml:space="preserve">During the urgent </w:t>
      </w:r>
      <w:r w:rsidR="00735119">
        <w:t xml:space="preserve">phase </w:t>
      </w:r>
      <w:r>
        <w:t xml:space="preserve">and </w:t>
      </w:r>
      <w:r w:rsidR="00735119">
        <w:t xml:space="preserve">the </w:t>
      </w:r>
      <w:r>
        <w:t>early phase</w:t>
      </w:r>
      <w:r w:rsidR="00735119">
        <w:t xml:space="preserve"> </w:t>
      </w:r>
      <w:r w:rsidR="00C02A82">
        <w:t>of an emergency</w:t>
      </w:r>
      <w:r>
        <w:t>, there may be no time to consult interested parties or to consider justification of protective actions and the</w:t>
      </w:r>
      <w:r w:rsidR="00C02A82">
        <w:t xml:space="preserve"> protection</w:t>
      </w:r>
      <w:r>
        <w:t xml:space="preserve"> strategy</w:t>
      </w:r>
      <w:r w:rsidR="00C02A82">
        <w:t>;</w:t>
      </w:r>
      <w:r>
        <w:t xml:space="preserve"> therefore adequate preparedness needs to account for this. As the emergency response moves towards </w:t>
      </w:r>
      <w:r w:rsidR="00506E1D">
        <w:t xml:space="preserve">the transition phase and </w:t>
      </w:r>
      <w:r w:rsidR="00C2006F">
        <w:t xml:space="preserve">to </w:t>
      </w:r>
      <w:r w:rsidR="00506E1D">
        <w:t xml:space="preserve">remediation </w:t>
      </w:r>
      <w:r>
        <w:t xml:space="preserve">activities, there is time </w:t>
      </w:r>
      <w:r w:rsidR="00506E1D">
        <w:t>to</w:t>
      </w:r>
      <w:r>
        <w:t xml:space="preserve"> consult interested parties and </w:t>
      </w:r>
      <w:r w:rsidR="00AD0E25">
        <w:t xml:space="preserve">to address </w:t>
      </w:r>
      <w:r>
        <w:t>justification. In this phase, more thorough justification of the strategies to enable the termination of the emergency should be implemented. In this context, para. 5.9</w:t>
      </w:r>
      <w:r w:rsidR="00FF0C2D">
        <w:t>8</w:t>
      </w:r>
      <w:r>
        <w:t xml:space="preserve"> of GSR Part 7 </w:t>
      </w:r>
      <w:r w:rsidR="003937E5">
        <w:t>[</w:t>
      </w:r>
      <w:r w:rsidR="00BB1302">
        <w:t>4</w:t>
      </w:r>
      <w:r w:rsidR="003937E5">
        <w:t>] requires</w:t>
      </w:r>
      <w:r>
        <w:t>: “</w:t>
      </w:r>
      <w:r w:rsidRPr="00030858">
        <w:t xml:space="preserve">Both radiological consequences and non-radiological consequences shall be considered in deciding on </w:t>
      </w:r>
      <w:r>
        <w:t xml:space="preserve">the </w:t>
      </w:r>
      <w:r w:rsidRPr="00030858">
        <w:t xml:space="preserve">termination of </w:t>
      </w:r>
      <w:r>
        <w:t>an</w:t>
      </w:r>
      <w:r w:rsidRPr="00030858">
        <w:t xml:space="preserve"> emergency as well as in </w:t>
      </w:r>
      <w:r w:rsidR="00FF0C2D">
        <w:t xml:space="preserve">the </w:t>
      </w:r>
      <w:r w:rsidRPr="00030858">
        <w:t>justif</w:t>
      </w:r>
      <w:r w:rsidR="00FF0C2D">
        <w:t>ication</w:t>
      </w:r>
      <w:r w:rsidRPr="00030858">
        <w:t xml:space="preserve"> and optimiz</w:t>
      </w:r>
      <w:r w:rsidR="00FF0C2D">
        <w:t>ation of</w:t>
      </w:r>
      <w:r w:rsidRPr="00030858">
        <w:t xml:space="preserve"> further protection strategies as </w:t>
      </w:r>
      <w:r>
        <w:t>necessary</w:t>
      </w:r>
      <w:r w:rsidRPr="00030858">
        <w:t>.</w:t>
      </w:r>
      <w:r>
        <w:t xml:space="preserve">” </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rsidRPr="000E19F7">
        <w:rPr>
          <w:rFonts w:eastAsia="Times New Roman"/>
          <w:szCs w:val="20"/>
          <w:lang w:eastAsia="en-US"/>
        </w:rPr>
        <w:t>GSR Part 7</w:t>
      </w:r>
      <w:r w:rsidRPr="00C3346B">
        <w:rPr>
          <w:rFonts w:eastAsia="Times New Roman"/>
          <w:szCs w:val="20"/>
          <w:lang w:eastAsia="en-US"/>
        </w:rPr>
        <w:t xml:space="preserve"> </w:t>
      </w:r>
      <w:r w:rsidR="00BB1302">
        <w:rPr>
          <w:rFonts w:eastAsia="Times New Roman"/>
          <w:szCs w:val="20"/>
          <w:lang w:eastAsia="en-US"/>
        </w:rPr>
        <w:t>[4</w:t>
      </w:r>
      <w:r w:rsidR="003937E5">
        <w:rPr>
          <w:rFonts w:eastAsia="Times New Roman"/>
          <w:szCs w:val="20"/>
          <w:lang w:eastAsia="en-US"/>
        </w:rPr>
        <w:t xml:space="preserve">] </w:t>
      </w:r>
      <w:r w:rsidRPr="00C3346B">
        <w:rPr>
          <w:rFonts w:eastAsia="Times New Roman"/>
          <w:szCs w:val="20"/>
          <w:lang w:eastAsia="en-US"/>
        </w:rPr>
        <w:t xml:space="preserve">requires </w:t>
      </w:r>
      <w:r w:rsidRPr="00030858">
        <w:t>protective action</w:t>
      </w:r>
      <w:r>
        <w:t>s</w:t>
      </w:r>
      <w:r w:rsidRPr="00030858">
        <w:t xml:space="preserve"> and other response action</w:t>
      </w:r>
      <w:r>
        <w:t>s</w:t>
      </w:r>
      <w:r w:rsidRPr="00030858">
        <w:t xml:space="preserve"> </w:t>
      </w:r>
      <w:r>
        <w:t>to be discontinued when they are no longer justified.</w:t>
      </w:r>
      <w:r w:rsidR="00CE5F27">
        <w:t xml:space="preserve"> When </w:t>
      </w:r>
      <w:r w:rsidR="002B5F56">
        <w:t xml:space="preserve">such </w:t>
      </w:r>
      <w:r w:rsidR="00CE5F27">
        <w:t>decisions are taken, they should be clearly communicated to all interested parties.</w:t>
      </w:r>
    </w:p>
    <w:p w:rsidR="004229A5" w:rsidRPr="00E1202A" w:rsidRDefault="004229A5" w:rsidP="00477ED7">
      <w:pPr>
        <w:tabs>
          <w:tab w:val="left" w:pos="709"/>
        </w:tabs>
        <w:spacing w:after="120" w:line="360" w:lineRule="auto"/>
        <w:rPr>
          <w:b/>
        </w:rPr>
      </w:pPr>
      <w:r w:rsidRPr="00E1202A">
        <w:rPr>
          <w:b/>
        </w:rPr>
        <w:t>Optimization</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rsidRPr="00C926BA">
        <w:t xml:space="preserve">Requirement 44 </w:t>
      </w:r>
      <w:r>
        <w:t xml:space="preserve">of GSR Part 3 </w:t>
      </w:r>
      <w:r w:rsidR="00C05FFE">
        <w:t>[2]</w:t>
      </w:r>
      <w:r>
        <w:t xml:space="preserve"> and Requirement 5 of GSR Part 7 [</w:t>
      </w:r>
      <w:r w:rsidR="00BB1302">
        <w:t>4</w:t>
      </w:r>
      <w:r>
        <w:t xml:space="preserve">] set a </w:t>
      </w:r>
      <w:r w:rsidRPr="00C926BA">
        <w:t>require</w:t>
      </w:r>
      <w:r>
        <w:t>ment for the</w:t>
      </w:r>
      <w:r w:rsidRPr="00C926BA">
        <w:t xml:space="preserve"> protection strategies </w:t>
      </w:r>
      <w:r>
        <w:t>to be optimized</w:t>
      </w:r>
      <w:r w:rsidRPr="00C926BA">
        <w:t xml:space="preserve"> at the </w:t>
      </w:r>
      <w:r>
        <w:t>preparedness</w:t>
      </w:r>
      <w:r w:rsidRPr="00C926BA">
        <w:t xml:space="preserve"> stage</w:t>
      </w:r>
      <w:r>
        <w:t xml:space="preserve"> for taking protective actions and other response actions effectively in</w:t>
      </w:r>
      <w:r w:rsidRPr="00C926BA">
        <w:t xml:space="preserve"> </w:t>
      </w:r>
      <w:r>
        <w:t>a nuclear or radiological emergency</w:t>
      </w:r>
      <w:r w:rsidRPr="00C926BA">
        <w:t>.</w:t>
      </w:r>
      <w:r>
        <w:t xml:space="preserve"> </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t xml:space="preserve">As indicated in para. </w:t>
      </w:r>
      <w:r w:rsidR="00507B21">
        <w:t>4</w:t>
      </w:r>
      <w:r>
        <w:t>.60</w:t>
      </w:r>
      <w:r w:rsidR="0053237A">
        <w:t xml:space="preserve"> </w:t>
      </w:r>
      <w:proofErr w:type="gramStart"/>
      <w:r w:rsidR="0053237A">
        <w:t>of</w:t>
      </w:r>
      <w:proofErr w:type="gramEnd"/>
      <w:r w:rsidR="0053237A">
        <w:t xml:space="preserve"> </w:t>
      </w:r>
      <w:r w:rsidR="00BB1302">
        <w:t>GSR Part 7</w:t>
      </w:r>
      <w:r w:rsidR="0053237A">
        <w:t xml:space="preserve"> [</w:t>
      </w:r>
      <w:r w:rsidR="00BB1302">
        <w:t>4</w:t>
      </w:r>
      <w:r w:rsidR="0053237A">
        <w:t>]</w:t>
      </w:r>
      <w:r>
        <w:t>, in the context of an emergency, consultation of interested parties throughout the process of optimization of the overall protecti</w:t>
      </w:r>
      <w:r w:rsidR="00C02A82">
        <w:t>on</w:t>
      </w:r>
      <w:r>
        <w:t xml:space="preserve"> strategy </w:t>
      </w:r>
      <w:r w:rsidR="00507B21">
        <w:t xml:space="preserve">is required to </w:t>
      </w:r>
      <w:r>
        <w:t xml:space="preserve">be done at the preparedness stage and the optimized strategy </w:t>
      </w:r>
      <w:r w:rsidR="00507B21">
        <w:t xml:space="preserve">is required to </w:t>
      </w:r>
      <w:r>
        <w:t xml:space="preserve">be implemented in the response. </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lastRenderedPageBreak/>
        <w:t xml:space="preserve">During the urgent </w:t>
      </w:r>
      <w:r w:rsidR="00735119">
        <w:t xml:space="preserve">phase </w:t>
      </w:r>
      <w:r>
        <w:t xml:space="preserve">and </w:t>
      </w:r>
      <w:r w:rsidR="00735119">
        <w:t xml:space="preserve">the </w:t>
      </w:r>
      <w:r>
        <w:t>early phase</w:t>
      </w:r>
      <w:r w:rsidR="00735119">
        <w:t xml:space="preserve"> of an emergency</w:t>
      </w:r>
      <w:r>
        <w:t xml:space="preserve">, there </w:t>
      </w:r>
      <w:r w:rsidR="00C2006F">
        <w:t xml:space="preserve">may be </w:t>
      </w:r>
      <w:r>
        <w:t xml:space="preserve">no time available to dedicate </w:t>
      </w:r>
      <w:r w:rsidR="0053237A">
        <w:t>to</w:t>
      </w:r>
      <w:r>
        <w:t xml:space="preserve"> the optimization process</w:t>
      </w:r>
      <w:r w:rsidR="00C2006F">
        <w:t>;</w:t>
      </w:r>
      <w:r>
        <w:t xml:space="preserve"> therefore adequate preparedness needs to account for this. The situation changes </w:t>
      </w:r>
      <w:r w:rsidR="0053237A">
        <w:t>as</w:t>
      </w:r>
      <w:r>
        <w:t xml:space="preserve"> the emergency mov</w:t>
      </w:r>
      <w:r w:rsidR="00C2006F">
        <w:t>es</w:t>
      </w:r>
      <w:r>
        <w:t xml:space="preserve"> towards recovery activities and the transition phase. At this point, time </w:t>
      </w:r>
      <w:r w:rsidR="00C2006F">
        <w:t xml:space="preserve">will </w:t>
      </w:r>
      <w:r>
        <w:t xml:space="preserve">allow for more thorough optimization of the strategy to be implemented to enable the termination of the emergency. The extent of optimization at this point would be as at preparedness stage. </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t xml:space="preserve">The optimization of protection strategies should ensure that the best </w:t>
      </w:r>
      <w:r w:rsidR="00AA7F41">
        <w:t xml:space="preserve">protective actions </w:t>
      </w:r>
      <w:r>
        <w:t>ha</w:t>
      </w:r>
      <w:r w:rsidR="00AA7F41">
        <w:t>ve</w:t>
      </w:r>
      <w:r>
        <w:t xml:space="preserve"> been </w:t>
      </w:r>
      <w:r w:rsidR="00AA7F41">
        <w:t>taken under</w:t>
      </w:r>
      <w:r w:rsidR="00E73E6E">
        <w:t xml:space="preserve"> </w:t>
      </w:r>
      <w:r>
        <w:t xml:space="preserve">the prevailing </w:t>
      </w:r>
      <w:proofErr w:type="gramStart"/>
      <w:r>
        <w:t>circumstances,</w:t>
      </w:r>
      <w:proofErr w:type="gramEnd"/>
      <w:r>
        <w:t xml:space="preserve"> and all that is reasonable and justified has been done to </w:t>
      </w:r>
      <w:r w:rsidR="00C569CF">
        <w:t>keep exposure</w:t>
      </w:r>
      <w:r w:rsidR="00B13D25">
        <w:t xml:space="preserve"> as low as reasonably achievable</w:t>
      </w:r>
      <w:r>
        <w:t>.</w:t>
      </w:r>
      <w:r w:rsidRPr="002567D1">
        <w:rPr>
          <w:rFonts w:eastAsia="Times New Roman"/>
          <w:szCs w:val="20"/>
          <w:lang w:eastAsia="en-US"/>
        </w:rPr>
        <w:t xml:space="preserve"> </w:t>
      </w:r>
    </w:p>
    <w:p w:rsidR="004229A5" w:rsidRPr="007E4AFD" w:rsidRDefault="004229A5" w:rsidP="00477ED7">
      <w:pPr>
        <w:tabs>
          <w:tab w:val="left" w:pos="709"/>
        </w:tabs>
        <w:spacing w:after="120" w:line="360" w:lineRule="auto"/>
        <w:rPr>
          <w:bCs/>
          <w:i/>
        </w:rPr>
      </w:pPr>
      <w:r w:rsidRPr="007E4AFD">
        <w:rPr>
          <w:bCs/>
          <w:i/>
        </w:rPr>
        <w:t>Reference level</w:t>
      </w:r>
      <w:r>
        <w:rPr>
          <w:bCs/>
          <w:i/>
        </w:rPr>
        <w:t>s</w:t>
      </w:r>
    </w:p>
    <w:p w:rsidR="004229A5" w:rsidRDefault="004229A5" w:rsidP="00974B83">
      <w:pPr>
        <w:numPr>
          <w:ilvl w:val="0"/>
          <w:numId w:val="7"/>
        </w:numPr>
        <w:tabs>
          <w:tab w:val="left" w:pos="709"/>
        </w:tabs>
        <w:overflowPunct/>
        <w:autoSpaceDE/>
        <w:autoSpaceDN/>
        <w:adjustRightInd/>
        <w:spacing w:after="120" w:line="360" w:lineRule="auto"/>
        <w:ind w:left="0" w:firstLine="0"/>
        <w:textAlignment w:val="auto"/>
      </w:pPr>
      <w:r>
        <w:t xml:space="preserve">For emergency exposure situations, </w:t>
      </w:r>
      <w:r w:rsidR="00E93B08">
        <w:t xml:space="preserve">GSR Part 3 </w:t>
      </w:r>
      <w:r w:rsidR="00D3284D">
        <w:t xml:space="preserve">[2] </w:t>
      </w:r>
      <w:r w:rsidR="00E93B08">
        <w:t xml:space="preserve">and GSR Part 7 </w:t>
      </w:r>
      <w:r w:rsidR="00D3284D">
        <w:t xml:space="preserve">[4] require </w:t>
      </w:r>
      <w:r w:rsidR="00E93B08">
        <w:t>that a</w:t>
      </w:r>
      <w:r>
        <w:t xml:space="preserve"> reference level expressed in terms of residual dose</w:t>
      </w:r>
      <w:r w:rsidR="00C03899">
        <w:t xml:space="preserve"> be set</w:t>
      </w:r>
      <w:r>
        <w:t xml:space="preserve">, typically as an </w:t>
      </w:r>
      <w:r w:rsidRPr="00016EAC">
        <w:t>effective dose</w:t>
      </w:r>
      <w:r>
        <w:t xml:space="preserve"> in the range of 20</w:t>
      </w:r>
      <w:r w:rsidR="00AE2D09">
        <w:t>–</w:t>
      </w:r>
      <w:r>
        <w:t xml:space="preserve">100 </w:t>
      </w:r>
      <w:proofErr w:type="spellStart"/>
      <w:r>
        <w:t>mSv</w:t>
      </w:r>
      <w:proofErr w:type="spellEnd"/>
      <w:r>
        <w:t>, acute or annual</w:t>
      </w:r>
      <w:r w:rsidR="00D3284D">
        <w:t>,</w:t>
      </w:r>
      <w:r w:rsidRPr="00016EAC">
        <w:t xml:space="preserve"> that includes dose contributions </w:t>
      </w:r>
      <w:r w:rsidR="00D3284D">
        <w:t>via</w:t>
      </w:r>
      <w:r w:rsidR="00D3284D" w:rsidRPr="00016EAC">
        <w:t xml:space="preserve"> </w:t>
      </w:r>
      <w:r w:rsidRPr="00016EAC">
        <w:t xml:space="preserve">all exposure pathways. The residual dose </w:t>
      </w:r>
      <w:r w:rsidR="00D500AE">
        <w:t>is the dose expected to be incurred after protective actions have been terminated (or after a decision has been taken not to take protective actions) and so is the dose</w:t>
      </w:r>
      <w:r w:rsidRPr="00016EAC">
        <w:t xml:space="preserve"> accumulated from the initiation of the event, through a specified period of time. </w:t>
      </w:r>
      <w:r>
        <w:t xml:space="preserve">The </w:t>
      </w:r>
      <w:r w:rsidR="00C03899">
        <w:t xml:space="preserve">purpose of a </w:t>
      </w:r>
      <w:r>
        <w:t xml:space="preserve">reference level </w:t>
      </w:r>
      <w:r w:rsidR="00C03899">
        <w:t xml:space="preserve">in </w:t>
      </w:r>
      <w:r w:rsidR="00E73E6E">
        <w:t xml:space="preserve">an </w:t>
      </w:r>
      <w:r w:rsidR="00C03899">
        <w:t xml:space="preserve">emergency exposure situation </w:t>
      </w:r>
      <w:r>
        <w:t xml:space="preserve">is to guide the optimization process of protection strategies aimed at reducing the doses to be incurred by individuals and </w:t>
      </w:r>
      <w:r w:rsidR="00D500AE">
        <w:t xml:space="preserve">to be </w:t>
      </w:r>
      <w:r>
        <w:t xml:space="preserve">a benchmark for a retrospective assessment of </w:t>
      </w:r>
      <w:r w:rsidR="00D500AE">
        <w:t xml:space="preserve">the </w:t>
      </w:r>
      <w:r>
        <w:t xml:space="preserve">effectiveness of </w:t>
      </w:r>
      <w:r w:rsidR="00D500AE">
        <w:t xml:space="preserve">protective </w:t>
      </w:r>
      <w:r>
        <w:t>actions</w:t>
      </w:r>
      <w:r w:rsidR="00D500AE">
        <w:t xml:space="preserve"> taken</w:t>
      </w:r>
      <w:r>
        <w:t xml:space="preserve"> and </w:t>
      </w:r>
      <w:r w:rsidR="00D500AE">
        <w:t xml:space="preserve">the protection </w:t>
      </w:r>
      <w:r>
        <w:t>strategy in an emergency response.</w:t>
      </w:r>
    </w:p>
    <w:p w:rsidR="004229A5" w:rsidRDefault="004229A5" w:rsidP="00974B83">
      <w:pPr>
        <w:numPr>
          <w:ilvl w:val="0"/>
          <w:numId w:val="7"/>
        </w:numPr>
        <w:tabs>
          <w:tab w:val="left" w:pos="709"/>
        </w:tabs>
        <w:overflowPunct/>
        <w:autoSpaceDE/>
        <w:autoSpaceDN/>
        <w:adjustRightInd/>
        <w:spacing w:after="120" w:line="360" w:lineRule="auto"/>
        <w:ind w:left="0" w:firstLine="0"/>
        <w:textAlignment w:val="auto"/>
      </w:pPr>
      <w:r>
        <w:t>The reference level is not the only input in the development, justification and optimization of the protection strategies. Para</w:t>
      </w:r>
      <w:r w:rsidR="0053237A">
        <w:t>graph</w:t>
      </w:r>
      <w:r>
        <w:t xml:space="preserve"> 4.28 of GSR Part 7 [</w:t>
      </w:r>
      <w:r w:rsidR="00BB1302">
        <w:t>4</w:t>
      </w:r>
      <w:r>
        <w:t xml:space="preserve">] indicates the need for using the reference level in this context </w:t>
      </w:r>
      <w:r w:rsidR="00EC0FAD">
        <w:t xml:space="preserve">in conjunction </w:t>
      </w:r>
      <w:r>
        <w:t>with the goals of emergency response (</w:t>
      </w:r>
      <w:r w:rsidR="00C03899">
        <w:t xml:space="preserve">see para. </w:t>
      </w:r>
      <w:r w:rsidR="00C03899">
        <w:fldChar w:fldCharType="begin"/>
      </w:r>
      <w:r w:rsidR="00C03899">
        <w:instrText xml:space="preserve"> REF _Ref437122244 \r \h </w:instrText>
      </w:r>
      <w:r w:rsidR="00C03899">
        <w:fldChar w:fldCharType="separate"/>
      </w:r>
      <w:r w:rsidR="002A6139">
        <w:t>3.61</w:t>
      </w:r>
      <w:r w:rsidR="00C03899">
        <w:fldChar w:fldCharType="end"/>
      </w:r>
      <w:r>
        <w:t>) and the specific time frame in which particular goals are to be achieved.</w:t>
      </w:r>
    </w:p>
    <w:p w:rsidR="004229A5" w:rsidRDefault="004229A5" w:rsidP="00974B83">
      <w:pPr>
        <w:numPr>
          <w:ilvl w:val="0"/>
          <w:numId w:val="7"/>
        </w:numPr>
        <w:tabs>
          <w:tab w:val="left" w:pos="709"/>
        </w:tabs>
        <w:overflowPunct/>
        <w:autoSpaceDE/>
        <w:autoSpaceDN/>
        <w:adjustRightInd/>
        <w:spacing w:after="120" w:line="360" w:lineRule="auto"/>
        <w:ind w:left="0" w:firstLine="0"/>
        <w:textAlignment w:val="auto"/>
      </w:pPr>
      <w:r>
        <w:t xml:space="preserve">Although the decision to select a </w:t>
      </w:r>
      <w:r w:rsidR="00EC0FAD">
        <w:t xml:space="preserve">particular </w:t>
      </w:r>
      <w:r>
        <w:t>value within the proposed band of reference level</w:t>
      </w:r>
      <w:r w:rsidR="00BA65C1">
        <w:t>s</w:t>
      </w:r>
      <w:r>
        <w:t xml:space="preserve"> remains </w:t>
      </w:r>
      <w:r w:rsidR="00927881">
        <w:t xml:space="preserve">with </w:t>
      </w:r>
      <w:r>
        <w:t xml:space="preserve">national authorities, </w:t>
      </w:r>
      <w:r w:rsidR="00D5762F">
        <w:t xml:space="preserve">para. 4.28 of </w:t>
      </w:r>
      <w:r>
        <w:t>GSR Part 7 [</w:t>
      </w:r>
      <w:r w:rsidR="00BB1302">
        <w:t>4</w:t>
      </w:r>
      <w:r>
        <w:t xml:space="preserve">] </w:t>
      </w:r>
      <w:proofErr w:type="gramStart"/>
      <w:r>
        <w:t>explains</w:t>
      </w:r>
      <w:proofErr w:type="gramEnd"/>
      <w:r>
        <w:t xml:space="preserve"> that such selection </w:t>
      </w:r>
      <w:r w:rsidRPr="00711ADA">
        <w:t>w</w:t>
      </w:r>
      <w:r>
        <w:t>ill</w:t>
      </w:r>
      <w:r w:rsidRPr="00711ADA">
        <w:t xml:space="preserve"> depend o</w:t>
      </w:r>
      <w:r w:rsidR="00822126">
        <w:t>n</w:t>
      </w:r>
      <w:r w:rsidRPr="00711ADA">
        <w:t xml:space="preserve"> the phase of the emergency, the practicality of reducing or preventing exposures and other factors. </w:t>
      </w:r>
      <w:r>
        <w:t xml:space="preserve"> </w:t>
      </w:r>
    </w:p>
    <w:p w:rsidR="004229A5" w:rsidRPr="002E4963" w:rsidRDefault="004229A5" w:rsidP="00477ED7">
      <w:pPr>
        <w:tabs>
          <w:tab w:val="left" w:pos="709"/>
        </w:tabs>
        <w:overflowPunct/>
        <w:autoSpaceDE/>
        <w:autoSpaceDN/>
        <w:adjustRightInd/>
        <w:spacing w:after="120" w:line="360" w:lineRule="auto"/>
        <w:textAlignment w:val="auto"/>
        <w:rPr>
          <w:b/>
        </w:rPr>
      </w:pPr>
      <w:r w:rsidRPr="002E4963">
        <w:rPr>
          <w:b/>
        </w:rPr>
        <w:t>Generic</w:t>
      </w:r>
      <w:r w:rsidR="00EC0FAD">
        <w:rPr>
          <w:b/>
        </w:rPr>
        <w:t xml:space="preserve"> criteria</w:t>
      </w:r>
      <w:r w:rsidRPr="002E4963">
        <w:rPr>
          <w:b/>
        </w:rPr>
        <w:t xml:space="preserve"> </w:t>
      </w:r>
      <w:r>
        <w:rPr>
          <w:b/>
        </w:rPr>
        <w:t xml:space="preserve">and operational </w:t>
      </w:r>
      <w:r w:rsidRPr="002E4963">
        <w:rPr>
          <w:b/>
        </w:rPr>
        <w:t>criteria</w:t>
      </w:r>
    </w:p>
    <w:p w:rsidR="004229A5" w:rsidRPr="00711ADA" w:rsidRDefault="00D5762F" w:rsidP="00974B83">
      <w:pPr>
        <w:numPr>
          <w:ilvl w:val="0"/>
          <w:numId w:val="7"/>
        </w:numPr>
        <w:tabs>
          <w:tab w:val="left" w:pos="709"/>
        </w:tabs>
        <w:overflowPunct/>
        <w:spacing w:after="120" w:line="360" w:lineRule="auto"/>
        <w:ind w:left="0" w:firstLine="0"/>
        <w:textAlignment w:val="auto"/>
        <w:rPr>
          <w:rFonts w:eastAsia="MS Mincho"/>
          <w:szCs w:val="24"/>
          <w:lang w:eastAsia="en-GB"/>
        </w:rPr>
      </w:pPr>
      <w:r>
        <w:t>In addition to reference levels</w:t>
      </w:r>
      <w:r w:rsidR="00E73E6E">
        <w:t>,</w:t>
      </w:r>
      <w:r>
        <w:t xml:space="preserve"> </w:t>
      </w:r>
      <w:r w:rsidR="00837F06">
        <w:t xml:space="preserve">national </w:t>
      </w:r>
      <w:r>
        <w:t>g</w:t>
      </w:r>
      <w:r w:rsidR="004229A5">
        <w:t xml:space="preserve">eneric criteria </w:t>
      </w:r>
      <w:r w:rsidR="00837F06">
        <w:t xml:space="preserve">are required to </w:t>
      </w:r>
      <w:r w:rsidR="004229A5">
        <w:t xml:space="preserve">be used to indicate the need for taking protective actions and other response actions in an emergency. </w:t>
      </w:r>
      <w:r w:rsidR="00837F06">
        <w:t xml:space="preserve">If </w:t>
      </w:r>
      <w:r w:rsidR="004229A5">
        <w:lastRenderedPageBreak/>
        <w:t xml:space="preserve">the doses projected or received in an emergency exceed the </w:t>
      </w:r>
      <w:r w:rsidR="00837F06">
        <w:t xml:space="preserve">national </w:t>
      </w:r>
      <w:r w:rsidR="004229A5">
        <w:t xml:space="preserve">generic criteria, protective actions and other response actions, either individually or in combination within the </w:t>
      </w:r>
      <w:r w:rsidR="00837F06">
        <w:t xml:space="preserve">protection </w:t>
      </w:r>
      <w:r w:rsidR="004229A5">
        <w:t xml:space="preserve">strategy, </w:t>
      </w:r>
      <w:r w:rsidR="00837F06">
        <w:t xml:space="preserve">are required to </w:t>
      </w:r>
      <w:r w:rsidR="004229A5">
        <w:t>be implemented.</w:t>
      </w:r>
      <w:r w:rsidR="004229A5" w:rsidRPr="008435F2">
        <w:t xml:space="preserve"> </w:t>
      </w:r>
    </w:p>
    <w:p w:rsidR="004229A5" w:rsidRPr="00E73E6E" w:rsidRDefault="004229A5" w:rsidP="00974B83">
      <w:pPr>
        <w:numPr>
          <w:ilvl w:val="0"/>
          <w:numId w:val="7"/>
        </w:numPr>
        <w:tabs>
          <w:tab w:val="left" w:pos="709"/>
        </w:tabs>
        <w:overflowPunct/>
        <w:spacing w:after="120" w:line="360" w:lineRule="auto"/>
        <w:ind w:left="0" w:firstLine="0"/>
        <w:textAlignment w:val="auto"/>
        <w:rPr>
          <w:rFonts w:eastAsia="MS Mincho"/>
          <w:szCs w:val="24"/>
          <w:lang w:eastAsia="en-GB"/>
        </w:rPr>
      </w:pPr>
      <w:r>
        <w:t>Appendix II of GSR Part 7 [</w:t>
      </w:r>
      <w:r w:rsidR="00BB1302">
        <w:t>4</w:t>
      </w:r>
      <w:r>
        <w:t>] provides a comprehensive set of generic criteria to be considered when developing the justified and optimized protection strategy</w:t>
      </w:r>
      <w:r w:rsidR="0053237A">
        <w:t>,</w:t>
      </w:r>
      <w:r>
        <w:t xml:space="preserve"> including national generic criteria. The </w:t>
      </w:r>
      <w:r w:rsidR="00427F79">
        <w:t xml:space="preserve">protective actions and other response actions associated with these </w:t>
      </w:r>
      <w:r>
        <w:t>generic criteria are considered to prevent severe deterministic effects, to reduce the risk of stochastic effects</w:t>
      </w:r>
      <w:r w:rsidR="00140296">
        <w:t>,</w:t>
      </w:r>
      <w:r>
        <w:t xml:space="preserve"> to mitigate the impact of non-radiological consequences </w:t>
      </w:r>
      <w:r w:rsidR="00CE5F27">
        <w:t xml:space="preserve">by providing a basis for the continuation or the resumption of international trade following </w:t>
      </w:r>
      <w:r>
        <w:t>an emergency</w:t>
      </w:r>
      <w:r w:rsidR="00D5762F" w:rsidRPr="00E73E6E">
        <w:rPr>
          <w:rFonts w:ascii="TimesNewRomanPSMT" w:hAnsi="TimesNewRomanPSMT" w:cs="TimesNewRomanPSMT"/>
          <w:szCs w:val="24"/>
          <w:lang w:eastAsia="en-GB"/>
        </w:rPr>
        <w:t xml:space="preserve"> and for enabling a transition to an existing exposure situation</w:t>
      </w:r>
      <w:r>
        <w:t xml:space="preserve">. The process for deriving national generic criteria while taking account of these generic criteria should </w:t>
      </w:r>
      <w:r w:rsidR="00085D95">
        <w:t xml:space="preserve">be such that the associated protective actions and other response actions </w:t>
      </w:r>
      <w:r>
        <w:t>undergo thorough justification and optimization.</w:t>
      </w:r>
    </w:p>
    <w:p w:rsidR="004229A5" w:rsidRDefault="004229A5"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pPr>
      <w:r w:rsidRPr="00942639">
        <w:rPr>
          <w:rFonts w:eastAsia="Times New Roman"/>
          <w:szCs w:val="20"/>
          <w:lang w:eastAsia="en-US"/>
        </w:rPr>
        <w:t xml:space="preserve"> </w:t>
      </w:r>
      <w:r w:rsidRPr="00964D96">
        <w:t>Once an emergency has occurred</w:t>
      </w:r>
      <w:r>
        <w:t xml:space="preserve">, protective actions and other response actions should be promptly implemented on the basis of </w:t>
      </w:r>
      <w:r w:rsidR="00085D95">
        <w:t xml:space="preserve">pre-established </w:t>
      </w:r>
      <w:r>
        <w:t xml:space="preserve">operational criteria </w:t>
      </w:r>
      <w:r w:rsidR="00CE5F27">
        <w:t xml:space="preserve">(emergency action levels, operational intervention levels and observables) </w:t>
      </w:r>
      <w:r>
        <w:t xml:space="preserve">that derive from the </w:t>
      </w:r>
      <w:r w:rsidR="00085D95">
        <w:t xml:space="preserve">national </w:t>
      </w:r>
      <w:r>
        <w:t>generic criteria providing a basis to take effective actions</w:t>
      </w:r>
      <w:r w:rsidR="0053237A">
        <w:t>,</w:t>
      </w:r>
      <w:r>
        <w:t xml:space="preserve"> particularly before substantial information </w:t>
      </w:r>
      <w:r w:rsidR="00085D95">
        <w:t xml:space="preserve">on the situation </w:t>
      </w:r>
      <w:r>
        <w:t xml:space="preserve">is available. </w:t>
      </w:r>
    </w:p>
    <w:p w:rsidR="00833D56" w:rsidRDefault="00833D56" w:rsidP="00477ED7">
      <w:pPr>
        <w:pStyle w:val="Heading2"/>
        <w:numPr>
          <w:ilvl w:val="0"/>
          <w:numId w:val="0"/>
        </w:numPr>
        <w:tabs>
          <w:tab w:val="left" w:pos="709"/>
        </w:tabs>
        <w:spacing w:after="120" w:line="360" w:lineRule="auto"/>
        <w:ind w:left="567" w:hanging="567"/>
        <w:rPr>
          <w:lang w:val="en-GB"/>
        </w:rPr>
      </w:pPr>
      <w:bookmarkStart w:id="20" w:name="_Toc396137875"/>
    </w:p>
    <w:p w:rsidR="00ED4085" w:rsidRPr="00AD5541" w:rsidRDefault="00ED4085" w:rsidP="00477ED7">
      <w:pPr>
        <w:pStyle w:val="Heading2"/>
        <w:numPr>
          <w:ilvl w:val="0"/>
          <w:numId w:val="0"/>
        </w:numPr>
        <w:tabs>
          <w:tab w:val="left" w:pos="709"/>
        </w:tabs>
        <w:spacing w:after="120" w:line="360" w:lineRule="auto"/>
        <w:ind w:left="567" w:hanging="567"/>
        <w:rPr>
          <w:lang w:val="en-GB"/>
        </w:rPr>
      </w:pPr>
      <w:r w:rsidRPr="00AD5541">
        <w:rPr>
          <w:lang w:val="en-GB"/>
        </w:rPr>
        <w:t>EXISTING EXPOSURE SITUATIONS</w:t>
      </w:r>
      <w:bookmarkEnd w:id="20"/>
    </w:p>
    <w:p w:rsidR="00FB6F52" w:rsidRPr="00AD5541" w:rsidRDefault="00FB6F52" w:rsidP="00477ED7">
      <w:pPr>
        <w:pStyle w:val="BodyText"/>
        <w:tabs>
          <w:tab w:val="left" w:pos="709"/>
        </w:tabs>
        <w:spacing w:after="120" w:line="360" w:lineRule="auto"/>
        <w:rPr>
          <w:b/>
          <w:lang w:val="en-GB"/>
        </w:rPr>
      </w:pPr>
      <w:r w:rsidRPr="00AD5541">
        <w:rPr>
          <w:b/>
          <w:lang w:val="en-GB"/>
        </w:rPr>
        <w:t>Introduction</w:t>
      </w:r>
    </w:p>
    <w:p w:rsidR="00FB6F52" w:rsidRPr="0045207A" w:rsidRDefault="004902D4"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Pr>
          <w:rFonts w:eastAsia="Times New Roman"/>
          <w:szCs w:val="20"/>
          <w:lang w:eastAsia="en-US"/>
        </w:rPr>
        <w:t>Para</w:t>
      </w:r>
      <w:r w:rsidR="0053237A">
        <w:rPr>
          <w:rFonts w:eastAsia="Times New Roman"/>
          <w:szCs w:val="20"/>
          <w:lang w:eastAsia="en-US"/>
        </w:rPr>
        <w:t>graph</w:t>
      </w:r>
      <w:r w:rsidR="00FB6F52" w:rsidRPr="0045207A">
        <w:rPr>
          <w:rFonts w:eastAsia="Times New Roman"/>
          <w:szCs w:val="20"/>
          <w:lang w:eastAsia="en-US"/>
        </w:rPr>
        <w:t xml:space="preserve"> 5.1 of GSR Part </w:t>
      </w:r>
      <w:r w:rsidR="00581FB9" w:rsidRPr="0045207A">
        <w:rPr>
          <w:rFonts w:eastAsia="Times New Roman"/>
          <w:szCs w:val="20"/>
          <w:lang w:eastAsia="en-US"/>
        </w:rPr>
        <w:t>3</w:t>
      </w:r>
      <w:r w:rsidR="00FB6F52" w:rsidRPr="0045207A">
        <w:rPr>
          <w:rFonts w:eastAsia="Times New Roman"/>
          <w:szCs w:val="20"/>
          <w:lang w:eastAsia="en-US"/>
        </w:rPr>
        <w:t xml:space="preserve"> </w:t>
      </w:r>
      <w:r w:rsidR="00871F51">
        <w:rPr>
          <w:rFonts w:eastAsia="Times New Roman"/>
          <w:szCs w:val="20"/>
          <w:lang w:eastAsia="en-US"/>
        </w:rPr>
        <w:t xml:space="preserve">[2] </w:t>
      </w:r>
      <w:r w:rsidR="00FB6F52" w:rsidRPr="0045207A">
        <w:rPr>
          <w:rFonts w:eastAsia="Times New Roman"/>
          <w:szCs w:val="20"/>
          <w:lang w:eastAsia="en-US"/>
        </w:rPr>
        <w:t xml:space="preserve">sets out situations that shall be regarded as existing exposure situations. These include: </w:t>
      </w:r>
    </w:p>
    <w:p w:rsidR="00FB6F52" w:rsidRPr="0045207A" w:rsidRDefault="00E36DB1" w:rsidP="00383F77">
      <w:pPr>
        <w:pStyle w:val="ListParagraph"/>
        <w:numPr>
          <w:ilvl w:val="0"/>
          <w:numId w:val="20"/>
        </w:numPr>
        <w:tabs>
          <w:tab w:val="left" w:pos="567"/>
        </w:tabs>
        <w:spacing w:after="120" w:line="360" w:lineRule="auto"/>
        <w:ind w:left="567" w:hanging="567"/>
        <w:contextualSpacing w:val="0"/>
        <w:jc w:val="both"/>
      </w:pPr>
      <w:r>
        <w:t>E</w:t>
      </w:r>
      <w:r w:rsidR="00B10D5A" w:rsidRPr="0045207A">
        <w:t>xposure due to contamination of areas</w:t>
      </w:r>
      <w:r w:rsidR="00FE4110">
        <w:rPr>
          <w:rStyle w:val="FootnoteReference"/>
        </w:rPr>
        <w:footnoteReference w:id="4"/>
      </w:r>
      <w:r w:rsidR="00B10D5A" w:rsidRPr="0045207A">
        <w:t xml:space="preserve"> by residual radioactive material deriving from past activities </w:t>
      </w:r>
      <w:r w:rsidR="003864EC" w:rsidRPr="00B15DBA">
        <w:t xml:space="preserve">that were never subject to regulatory control or that were subject to regulatory control but not in accordance with the requirements of </w:t>
      </w:r>
      <w:r w:rsidR="003864EC">
        <w:t xml:space="preserve">GSR Part 3 </w:t>
      </w:r>
      <w:r>
        <w:t xml:space="preserve">[2] </w:t>
      </w:r>
      <w:r w:rsidR="00B10D5A" w:rsidRPr="0045207A">
        <w:t>or from a nuclear or radiological emergency</w:t>
      </w:r>
      <w:r>
        <w:t>,</w:t>
      </w:r>
      <w:r w:rsidR="00790252" w:rsidRPr="0045207A">
        <w:t xml:space="preserve"> after </w:t>
      </w:r>
      <w:r w:rsidR="003864EC">
        <w:t>an emergency</w:t>
      </w:r>
      <w:r w:rsidR="003864EC" w:rsidRPr="0045207A">
        <w:t xml:space="preserve"> </w:t>
      </w:r>
      <w:r w:rsidR="00790252" w:rsidRPr="0045207A">
        <w:t>has been declared</w:t>
      </w:r>
      <w:r>
        <w:t xml:space="preserve"> to be</w:t>
      </w:r>
      <w:r w:rsidR="00790252" w:rsidRPr="0045207A">
        <w:t xml:space="preserve"> ended</w:t>
      </w:r>
      <w:r w:rsidR="00B10D5A" w:rsidRPr="0045207A">
        <w:t xml:space="preserve">; </w:t>
      </w:r>
    </w:p>
    <w:p w:rsidR="00FB6F52" w:rsidRPr="0045207A" w:rsidRDefault="00E36DB1" w:rsidP="00383F77">
      <w:pPr>
        <w:pStyle w:val="ListParagraph"/>
        <w:numPr>
          <w:ilvl w:val="0"/>
          <w:numId w:val="20"/>
        </w:numPr>
        <w:tabs>
          <w:tab w:val="left" w:pos="567"/>
        </w:tabs>
        <w:spacing w:after="120" w:line="360" w:lineRule="auto"/>
        <w:ind w:left="567" w:hanging="567"/>
        <w:contextualSpacing w:val="0"/>
        <w:jc w:val="both"/>
      </w:pPr>
      <w:r>
        <w:lastRenderedPageBreak/>
        <w:t>E</w:t>
      </w:r>
      <w:r w:rsidR="00B10D5A" w:rsidRPr="0045207A">
        <w:t>xposure due to commodities, including food, feed, drinking water and construction materials</w:t>
      </w:r>
      <w:r>
        <w:t>,</w:t>
      </w:r>
      <w:r w:rsidR="00B10D5A" w:rsidRPr="0045207A">
        <w:t xml:space="preserve"> that incorporate radionuclide</w:t>
      </w:r>
      <w:r w:rsidR="003864EC">
        <w:t>s deriving</w:t>
      </w:r>
      <w:r w:rsidR="00790252" w:rsidRPr="0045207A">
        <w:t xml:space="preserve"> from residual radioactive material </w:t>
      </w:r>
      <w:r w:rsidR="003864EC">
        <w:t xml:space="preserve">as stated in </w:t>
      </w:r>
      <w:r>
        <w:t>para. 3.77</w:t>
      </w:r>
      <w:r w:rsidR="003864EC">
        <w:t>(a)</w:t>
      </w:r>
      <w:r w:rsidR="00B10D5A" w:rsidRPr="0045207A">
        <w:t xml:space="preserve">; </w:t>
      </w:r>
    </w:p>
    <w:p w:rsidR="00FB6F52" w:rsidRPr="0045207A" w:rsidRDefault="00E36DB1" w:rsidP="00383F77">
      <w:pPr>
        <w:pStyle w:val="ListParagraph"/>
        <w:numPr>
          <w:ilvl w:val="0"/>
          <w:numId w:val="20"/>
        </w:numPr>
        <w:tabs>
          <w:tab w:val="left" w:pos="567"/>
        </w:tabs>
        <w:spacing w:after="120" w:line="360" w:lineRule="auto"/>
        <w:ind w:left="567" w:hanging="567"/>
        <w:contextualSpacing w:val="0"/>
        <w:jc w:val="both"/>
      </w:pPr>
      <w:r>
        <w:t>E</w:t>
      </w:r>
      <w:r w:rsidR="00B10D5A" w:rsidRPr="0045207A">
        <w:t xml:space="preserve">xposure due </w:t>
      </w:r>
      <w:r w:rsidR="00790252" w:rsidRPr="0045207A">
        <w:t xml:space="preserve">to </w:t>
      </w:r>
      <w:r w:rsidR="00B10D5A" w:rsidRPr="0045207A">
        <w:rPr>
          <w:vertAlign w:val="superscript"/>
        </w:rPr>
        <w:t>222</w:t>
      </w:r>
      <w:r w:rsidR="00B10D5A" w:rsidRPr="0045207A">
        <w:t xml:space="preserve">Rn and to </w:t>
      </w:r>
      <w:r w:rsidR="00B10D5A" w:rsidRPr="0045207A">
        <w:rPr>
          <w:vertAlign w:val="superscript"/>
        </w:rPr>
        <w:t>220</w:t>
      </w:r>
      <w:r w:rsidR="00B10D5A" w:rsidRPr="0045207A">
        <w:t>Rn and their  progeny in dwellings and in other buildings with high occupancy factors for members of the public;</w:t>
      </w:r>
    </w:p>
    <w:p w:rsidR="00FB6F52" w:rsidRPr="00B63159" w:rsidRDefault="00E36DB1" w:rsidP="00383F77">
      <w:pPr>
        <w:pStyle w:val="ListParagraph"/>
        <w:numPr>
          <w:ilvl w:val="0"/>
          <w:numId w:val="20"/>
        </w:numPr>
        <w:tabs>
          <w:tab w:val="left" w:pos="567"/>
        </w:tabs>
        <w:spacing w:after="120" w:line="360" w:lineRule="auto"/>
        <w:ind w:left="567" w:hanging="567"/>
        <w:contextualSpacing w:val="0"/>
        <w:jc w:val="both"/>
      </w:pPr>
      <w:r>
        <w:t>E</w:t>
      </w:r>
      <w:r w:rsidR="00B10D5A" w:rsidRPr="0045207A">
        <w:t xml:space="preserve">xposure due </w:t>
      </w:r>
      <w:r w:rsidR="00822126">
        <w:t xml:space="preserve">to </w:t>
      </w:r>
      <w:r w:rsidR="00B10D5A" w:rsidRPr="0045207A">
        <w:t>r</w:t>
      </w:r>
      <w:r w:rsidR="00B10D5A" w:rsidRPr="0045207A">
        <w:rPr>
          <w:rFonts w:eastAsia="Times New Roman"/>
          <w:szCs w:val="20"/>
          <w:lang w:eastAsia="en-US"/>
        </w:rPr>
        <w:t>adionuclide</w:t>
      </w:r>
      <w:r w:rsidR="00927881">
        <w:rPr>
          <w:rFonts w:eastAsia="Times New Roman"/>
          <w:szCs w:val="20"/>
          <w:lang w:eastAsia="en-US"/>
        </w:rPr>
        <w:t>s</w:t>
      </w:r>
      <w:r w:rsidR="00B10D5A" w:rsidRPr="0045207A">
        <w:rPr>
          <w:rFonts w:eastAsia="Times New Roman"/>
          <w:szCs w:val="20"/>
          <w:lang w:eastAsia="en-US"/>
        </w:rPr>
        <w:t xml:space="preserve"> </w:t>
      </w:r>
      <w:r w:rsidR="00B10D5A" w:rsidRPr="00F543D6">
        <w:rPr>
          <w:rFonts w:eastAsia="Times New Roman"/>
          <w:szCs w:val="20"/>
          <w:lang w:eastAsia="en-US"/>
        </w:rPr>
        <w:t xml:space="preserve">of </w:t>
      </w:r>
      <w:r w:rsidR="00B10D5A" w:rsidRPr="00DE46AB">
        <w:rPr>
          <w:rFonts w:eastAsia="Times New Roman"/>
          <w:szCs w:val="20"/>
          <w:lang w:eastAsia="en-US"/>
        </w:rPr>
        <w:t>natural origin</w:t>
      </w:r>
      <w:r w:rsidR="00710E95">
        <w:rPr>
          <w:rFonts w:eastAsia="Times New Roman"/>
          <w:szCs w:val="20"/>
          <w:lang w:eastAsia="en-US"/>
        </w:rPr>
        <w:t>,</w:t>
      </w:r>
      <w:r w:rsidR="00710E95" w:rsidRPr="00710E95">
        <w:rPr>
          <w:color w:val="000000"/>
        </w:rPr>
        <w:t xml:space="preserve"> </w:t>
      </w:r>
      <w:r w:rsidR="00710E95" w:rsidRPr="00B15DBA">
        <w:rPr>
          <w:color w:val="000000"/>
        </w:rPr>
        <w:t>regardless of activity concentration</w:t>
      </w:r>
      <w:r w:rsidR="00710E95">
        <w:rPr>
          <w:color w:val="000000"/>
        </w:rPr>
        <w:t>,</w:t>
      </w:r>
      <w:r w:rsidR="00B10D5A" w:rsidRPr="00DE46AB">
        <w:rPr>
          <w:rFonts w:eastAsia="Times New Roman"/>
          <w:szCs w:val="20"/>
          <w:lang w:eastAsia="en-US"/>
        </w:rPr>
        <w:t xml:space="preserve"> in commodities, including food, feed, drinking water, agricultural fertilizer and soil amendments, </w:t>
      </w:r>
      <w:r>
        <w:rPr>
          <w:rFonts w:eastAsia="Times New Roman"/>
          <w:szCs w:val="20"/>
          <w:lang w:eastAsia="en-US"/>
        </w:rPr>
        <w:t xml:space="preserve">and </w:t>
      </w:r>
      <w:r w:rsidR="00B10D5A" w:rsidRPr="00DE46AB">
        <w:rPr>
          <w:rFonts w:eastAsia="Times New Roman"/>
          <w:szCs w:val="20"/>
          <w:lang w:eastAsia="en-US"/>
        </w:rPr>
        <w:t xml:space="preserve">construction materials, and </w:t>
      </w:r>
      <w:r w:rsidR="00927881">
        <w:rPr>
          <w:rFonts w:eastAsia="Times New Roman"/>
          <w:szCs w:val="20"/>
          <w:lang w:eastAsia="en-US"/>
        </w:rPr>
        <w:t>residual radioactive material</w:t>
      </w:r>
      <w:r w:rsidR="00B10D5A" w:rsidRPr="00B63159">
        <w:rPr>
          <w:rFonts w:eastAsia="Times New Roman"/>
          <w:szCs w:val="20"/>
          <w:lang w:eastAsia="en-US"/>
        </w:rPr>
        <w:t xml:space="preserve"> in the environment;</w:t>
      </w:r>
    </w:p>
    <w:p w:rsidR="00FB6F52" w:rsidRPr="00B63159" w:rsidRDefault="00E36DB1" w:rsidP="00383F77">
      <w:pPr>
        <w:pStyle w:val="ListParagraph"/>
        <w:numPr>
          <w:ilvl w:val="0"/>
          <w:numId w:val="20"/>
        </w:numPr>
        <w:tabs>
          <w:tab w:val="left" w:pos="567"/>
        </w:tabs>
        <w:spacing w:after="120" w:line="360" w:lineRule="auto"/>
        <w:ind w:left="567" w:hanging="567"/>
        <w:contextualSpacing w:val="0"/>
        <w:jc w:val="both"/>
      </w:pPr>
      <w:r>
        <w:t>E</w:t>
      </w:r>
      <w:r w:rsidR="00B10D5A" w:rsidRPr="00B63159">
        <w:t>xposure due</w:t>
      </w:r>
      <w:r w:rsidR="00822126">
        <w:t xml:space="preserve"> to</w:t>
      </w:r>
      <w:r w:rsidR="00B10D5A" w:rsidRPr="00B63159">
        <w:t xml:space="preserve"> any other m</w:t>
      </w:r>
      <w:r w:rsidR="00B10D5A" w:rsidRPr="00B63159">
        <w:rPr>
          <w:rFonts w:eastAsia="Times New Roman"/>
          <w:szCs w:val="20"/>
          <w:lang w:eastAsia="en-US"/>
        </w:rPr>
        <w:t>aterials in which the activity concentration of no radionuclide in either the uranium decay chain</w:t>
      </w:r>
      <w:r>
        <w:rPr>
          <w:rFonts w:eastAsia="Times New Roman"/>
          <w:szCs w:val="20"/>
          <w:lang w:eastAsia="en-US"/>
        </w:rPr>
        <w:t>,</w:t>
      </w:r>
      <w:r w:rsidRPr="00E36DB1">
        <w:rPr>
          <w:rFonts w:eastAsia="Times New Roman"/>
          <w:szCs w:val="20"/>
          <w:lang w:eastAsia="en-US"/>
        </w:rPr>
        <w:t xml:space="preserve"> </w:t>
      </w:r>
      <w:r>
        <w:rPr>
          <w:rFonts w:eastAsia="Times New Roman"/>
          <w:szCs w:val="20"/>
          <w:lang w:eastAsia="en-US"/>
        </w:rPr>
        <w:t>the actinium decay chain</w:t>
      </w:r>
      <w:r w:rsidR="00B10D5A" w:rsidRPr="00B63159">
        <w:rPr>
          <w:rFonts w:eastAsia="Times New Roman"/>
          <w:szCs w:val="20"/>
          <w:lang w:eastAsia="en-US"/>
        </w:rPr>
        <w:t xml:space="preserve"> or the thorium decay chain exceeds 1</w:t>
      </w:r>
      <w:r w:rsidR="0053237A">
        <w:rPr>
          <w:rFonts w:eastAsia="Times New Roman"/>
          <w:szCs w:val="20"/>
          <w:lang w:eastAsia="en-US"/>
        </w:rPr>
        <w:t> </w:t>
      </w:r>
      <w:proofErr w:type="spellStart"/>
      <w:r w:rsidR="00B10D5A" w:rsidRPr="00B63159">
        <w:rPr>
          <w:rFonts w:eastAsia="Times New Roman"/>
          <w:szCs w:val="20"/>
          <w:lang w:eastAsia="en-US"/>
        </w:rPr>
        <w:t>Bq</w:t>
      </w:r>
      <w:proofErr w:type="spellEnd"/>
      <w:r w:rsidR="00B10D5A" w:rsidRPr="00B63159">
        <w:rPr>
          <w:rFonts w:eastAsia="Times New Roman"/>
          <w:szCs w:val="20"/>
          <w:lang w:eastAsia="en-US"/>
        </w:rPr>
        <w:t xml:space="preserve">/g and the activity concentration of </w:t>
      </w:r>
      <w:r w:rsidR="00B10D5A" w:rsidRPr="00B63159">
        <w:rPr>
          <w:rFonts w:eastAsia="Times New Roman"/>
          <w:szCs w:val="20"/>
          <w:vertAlign w:val="superscript"/>
          <w:lang w:eastAsia="en-US"/>
        </w:rPr>
        <w:t>40</w:t>
      </w:r>
      <w:r w:rsidR="00B10D5A" w:rsidRPr="00B63159">
        <w:rPr>
          <w:rFonts w:eastAsia="Times New Roman"/>
          <w:szCs w:val="20"/>
          <w:lang w:eastAsia="en-US"/>
        </w:rPr>
        <w:t xml:space="preserve">K does not exceed 10 </w:t>
      </w:r>
      <w:proofErr w:type="spellStart"/>
      <w:r w:rsidR="00B10D5A" w:rsidRPr="00B63159">
        <w:rPr>
          <w:rFonts w:eastAsia="Times New Roman"/>
          <w:szCs w:val="20"/>
          <w:lang w:eastAsia="en-US"/>
        </w:rPr>
        <w:t>Bq</w:t>
      </w:r>
      <w:proofErr w:type="spellEnd"/>
      <w:r w:rsidR="00B10D5A" w:rsidRPr="00B63159">
        <w:rPr>
          <w:rFonts w:eastAsia="Times New Roman"/>
          <w:szCs w:val="20"/>
          <w:lang w:eastAsia="en-US"/>
        </w:rPr>
        <w:t>/g;</w:t>
      </w:r>
    </w:p>
    <w:p w:rsidR="00FB6F52" w:rsidRPr="00B63159" w:rsidRDefault="00FB6F5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B63159">
        <w:rPr>
          <w:rFonts w:eastAsia="Times New Roman"/>
          <w:szCs w:val="20"/>
          <w:lang w:eastAsia="en-US"/>
        </w:rPr>
        <w:t>Contamination of areas can also arise from the operation of facilities and activities that are subject to regulatory control under the requirements for planned exposure situations, as a result of authorized activities such as discharges, the management of radioactive waste, and decommissioning</w:t>
      </w:r>
      <w:r w:rsidR="008D6065" w:rsidRPr="00B63159">
        <w:rPr>
          <w:rFonts w:eastAsia="Times New Roman"/>
          <w:szCs w:val="20"/>
          <w:lang w:eastAsia="en-US"/>
        </w:rPr>
        <w:t>.</w:t>
      </w:r>
      <w:r w:rsidRPr="00B63159">
        <w:rPr>
          <w:rFonts w:eastAsia="Times New Roman"/>
          <w:szCs w:val="20"/>
          <w:lang w:eastAsia="en-US"/>
        </w:rPr>
        <w:t xml:space="preserve"> The control of such contamination is through the requirements for planned exposure situations, and not </w:t>
      </w:r>
      <w:r w:rsidR="00E36DB1">
        <w:rPr>
          <w:rFonts w:eastAsia="Times New Roman"/>
          <w:szCs w:val="20"/>
          <w:lang w:eastAsia="en-US"/>
        </w:rPr>
        <w:t xml:space="preserve">through the requirements </w:t>
      </w:r>
      <w:r w:rsidRPr="00B63159">
        <w:rPr>
          <w:rFonts w:eastAsia="Times New Roman"/>
          <w:szCs w:val="20"/>
          <w:lang w:eastAsia="en-US"/>
        </w:rPr>
        <w:t>for existing exposure situation</w:t>
      </w:r>
      <w:r w:rsidR="00E36DB1">
        <w:rPr>
          <w:rFonts w:eastAsia="Times New Roman"/>
          <w:szCs w:val="20"/>
          <w:lang w:eastAsia="en-US"/>
        </w:rPr>
        <w:t>s</w:t>
      </w:r>
      <w:r w:rsidRPr="00B63159">
        <w:rPr>
          <w:rFonts w:eastAsia="Times New Roman"/>
          <w:szCs w:val="20"/>
          <w:lang w:eastAsia="en-US"/>
        </w:rPr>
        <w:t>.</w:t>
      </w:r>
    </w:p>
    <w:p w:rsidR="00FB6F52" w:rsidRPr="006B293A" w:rsidRDefault="00FB6F5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lang w:eastAsia="en-US"/>
        </w:rPr>
      </w:pPr>
      <w:r w:rsidRPr="00B63159">
        <w:t xml:space="preserve">For existing </w:t>
      </w:r>
      <w:r w:rsidR="00E36DB1">
        <w:t xml:space="preserve">exposure </w:t>
      </w:r>
      <w:r w:rsidRPr="00B63159">
        <w:t xml:space="preserve">situations, exposures can be reduced only by either protective action or remedial action on the source, </w:t>
      </w:r>
      <w:r w:rsidR="00E36DB1">
        <w:t xml:space="preserve">the </w:t>
      </w:r>
      <w:r w:rsidR="00C86ACA" w:rsidRPr="00B63159">
        <w:t xml:space="preserve">exposure </w:t>
      </w:r>
      <w:r w:rsidRPr="00B63159">
        <w:t xml:space="preserve">pathway or </w:t>
      </w:r>
      <w:r w:rsidR="00E36DB1">
        <w:t xml:space="preserve">the </w:t>
      </w:r>
      <w:r w:rsidRPr="00B63159">
        <w:t xml:space="preserve">exposed populations. In addition, some </w:t>
      </w:r>
      <w:proofErr w:type="gramStart"/>
      <w:r w:rsidR="00E36DB1">
        <w:t xml:space="preserve">potential  </w:t>
      </w:r>
      <w:r w:rsidRPr="00B63159">
        <w:t>existing</w:t>
      </w:r>
      <w:proofErr w:type="gramEnd"/>
      <w:r w:rsidRPr="00B63159">
        <w:t xml:space="preserve"> exposure situations warranting such actions may be avoided by design. For example, high levels of radon </w:t>
      </w:r>
      <w:r w:rsidR="00E36DB1" w:rsidRPr="00B63159">
        <w:t>indoor</w:t>
      </w:r>
      <w:r w:rsidR="00E36DB1">
        <w:t>s</w:t>
      </w:r>
      <w:r w:rsidR="00E36DB1" w:rsidRPr="00B63159">
        <w:t xml:space="preserve"> </w:t>
      </w:r>
      <w:r w:rsidRPr="00B63159">
        <w:t xml:space="preserve">may be </w:t>
      </w:r>
      <w:r w:rsidRPr="006B293A">
        <w:t xml:space="preserve">avoided by incorporating appropriate preventive measures </w:t>
      </w:r>
      <w:r w:rsidR="00E36DB1">
        <w:t xml:space="preserve">for radon </w:t>
      </w:r>
      <w:r w:rsidRPr="006B293A">
        <w:t xml:space="preserve">into the design of new dwellings. </w:t>
      </w:r>
      <w:r w:rsidR="00C0195B" w:rsidRPr="006B293A">
        <w:rPr>
          <w:lang w:val="en-US"/>
        </w:rPr>
        <w:t>Further guidance on such measures is provided in SSG-32 [1</w:t>
      </w:r>
      <w:r w:rsidR="00824FD8">
        <w:rPr>
          <w:lang w:val="en-US"/>
        </w:rPr>
        <w:t>5</w:t>
      </w:r>
      <w:r w:rsidR="00C0195B" w:rsidRPr="006B293A">
        <w:rPr>
          <w:lang w:val="en-US"/>
        </w:rPr>
        <w:t>].</w:t>
      </w:r>
    </w:p>
    <w:p w:rsidR="00E36DB1" w:rsidRDefault="00FB6F52" w:rsidP="00974B83">
      <w:pPr>
        <w:pStyle w:val="SSbodytext"/>
        <w:widowControl/>
        <w:numPr>
          <w:ilvl w:val="0"/>
          <w:numId w:val="7"/>
        </w:numPr>
        <w:tabs>
          <w:tab w:val="left" w:pos="709"/>
        </w:tabs>
        <w:spacing w:before="0" w:after="120"/>
        <w:ind w:left="0" w:firstLine="0"/>
        <w:rPr>
          <w:sz w:val="24"/>
          <w:szCs w:val="24"/>
        </w:rPr>
      </w:pPr>
      <w:r w:rsidRPr="00B63159">
        <w:rPr>
          <w:sz w:val="24"/>
          <w:szCs w:val="24"/>
        </w:rPr>
        <w:t xml:space="preserve">Requirement 47 of GSR Part 3 </w:t>
      </w:r>
      <w:r w:rsidR="00871F51">
        <w:rPr>
          <w:sz w:val="24"/>
          <w:szCs w:val="24"/>
        </w:rPr>
        <w:t xml:space="preserve">[2] </w:t>
      </w:r>
      <w:r w:rsidR="00E36DB1">
        <w:rPr>
          <w:sz w:val="24"/>
          <w:szCs w:val="24"/>
        </w:rPr>
        <w:t>states</w:t>
      </w:r>
      <w:r w:rsidR="00E36DB1" w:rsidRPr="00B63159">
        <w:rPr>
          <w:sz w:val="24"/>
          <w:szCs w:val="24"/>
        </w:rPr>
        <w:t xml:space="preserve"> </w:t>
      </w:r>
      <w:r w:rsidRPr="00B63159">
        <w:rPr>
          <w:sz w:val="24"/>
          <w:szCs w:val="24"/>
        </w:rPr>
        <w:t xml:space="preserve">that </w:t>
      </w:r>
    </w:p>
    <w:p w:rsidR="00FB6F52" w:rsidRPr="00F543D6" w:rsidRDefault="007F19DB" w:rsidP="00BB4496">
      <w:pPr>
        <w:pStyle w:val="SSbodytext"/>
        <w:widowControl/>
        <w:tabs>
          <w:tab w:val="clear" w:pos="567"/>
          <w:tab w:val="left" w:pos="709"/>
        </w:tabs>
        <w:spacing w:before="0" w:after="120"/>
        <w:ind w:left="567"/>
        <w:rPr>
          <w:sz w:val="24"/>
          <w:szCs w:val="24"/>
        </w:rPr>
      </w:pPr>
      <w:r w:rsidRPr="00B63159">
        <w:rPr>
          <w:sz w:val="24"/>
          <w:szCs w:val="24"/>
        </w:rPr>
        <w:t>“</w:t>
      </w:r>
      <w:r w:rsidR="00FB6F52" w:rsidRPr="00F543D6">
        <w:rPr>
          <w:sz w:val="24"/>
          <w:szCs w:val="24"/>
        </w:rPr>
        <w:t xml:space="preserve">The </w:t>
      </w:r>
      <w:r w:rsidR="00817ACE" w:rsidRPr="00DE46AB">
        <w:rPr>
          <w:sz w:val="24"/>
          <w:szCs w:val="24"/>
        </w:rPr>
        <w:t>g</w:t>
      </w:r>
      <w:r w:rsidR="00817ACE" w:rsidRPr="00B63159">
        <w:rPr>
          <w:sz w:val="24"/>
          <w:szCs w:val="24"/>
        </w:rPr>
        <w:t xml:space="preserve">overnment </w:t>
      </w:r>
      <w:r w:rsidR="00FB6F52" w:rsidRPr="00B63159">
        <w:rPr>
          <w:sz w:val="24"/>
          <w:szCs w:val="24"/>
        </w:rPr>
        <w:t>shall ensure that existing exposure situations that have been identified are evaluated to determine which occupational exposures and public exposures are of concern from the point of view of radiation protection.</w:t>
      </w:r>
      <w:r w:rsidRPr="00B63159">
        <w:rPr>
          <w:sz w:val="24"/>
          <w:szCs w:val="24"/>
        </w:rPr>
        <w:t>”</w:t>
      </w:r>
    </w:p>
    <w:p w:rsidR="00A05BA7" w:rsidRPr="00F543D6" w:rsidRDefault="00A05BA7" w:rsidP="00974B83">
      <w:pPr>
        <w:pStyle w:val="SSbodytext"/>
        <w:widowControl/>
        <w:numPr>
          <w:ilvl w:val="0"/>
          <w:numId w:val="7"/>
        </w:numPr>
        <w:tabs>
          <w:tab w:val="left" w:pos="709"/>
        </w:tabs>
        <w:spacing w:before="0" w:after="120"/>
        <w:ind w:left="0" w:firstLine="0"/>
        <w:rPr>
          <w:sz w:val="24"/>
          <w:szCs w:val="24"/>
        </w:rPr>
      </w:pPr>
      <w:r w:rsidRPr="00DE46AB">
        <w:rPr>
          <w:sz w:val="24"/>
          <w:szCs w:val="24"/>
        </w:rPr>
        <w:t xml:space="preserve">The </w:t>
      </w:r>
      <w:r w:rsidR="00817ACE" w:rsidRPr="00B63159">
        <w:rPr>
          <w:sz w:val="24"/>
          <w:szCs w:val="24"/>
        </w:rPr>
        <w:t xml:space="preserve">government </w:t>
      </w:r>
      <w:r w:rsidRPr="00B63159">
        <w:rPr>
          <w:sz w:val="24"/>
          <w:szCs w:val="24"/>
        </w:rPr>
        <w:t xml:space="preserve">and the </w:t>
      </w:r>
      <w:r w:rsidR="00817ACE" w:rsidRPr="00B63159">
        <w:rPr>
          <w:sz w:val="24"/>
          <w:szCs w:val="24"/>
        </w:rPr>
        <w:t xml:space="preserve">regulatory body </w:t>
      </w:r>
      <w:r w:rsidR="00CA2DB2" w:rsidRPr="00B63159">
        <w:rPr>
          <w:sz w:val="24"/>
          <w:szCs w:val="24"/>
        </w:rPr>
        <w:t>should</w:t>
      </w:r>
      <w:r w:rsidRPr="00F543D6">
        <w:rPr>
          <w:sz w:val="24"/>
          <w:szCs w:val="24"/>
        </w:rPr>
        <w:t xml:space="preserve"> take measures to identify and evaluate existing exposure situations</w:t>
      </w:r>
      <w:r w:rsidR="00D865E0">
        <w:rPr>
          <w:sz w:val="24"/>
          <w:szCs w:val="24"/>
        </w:rPr>
        <w:t>,</w:t>
      </w:r>
      <w:r w:rsidRPr="00F543D6">
        <w:rPr>
          <w:sz w:val="24"/>
          <w:szCs w:val="24"/>
        </w:rPr>
        <w:t xml:space="preserve"> taking into </w:t>
      </w:r>
      <w:r w:rsidRPr="00B63159">
        <w:rPr>
          <w:sz w:val="24"/>
          <w:szCs w:val="24"/>
        </w:rPr>
        <w:t xml:space="preserve">account </w:t>
      </w:r>
      <w:r w:rsidR="006B5153">
        <w:rPr>
          <w:sz w:val="24"/>
          <w:szCs w:val="24"/>
        </w:rPr>
        <w:t>the</w:t>
      </w:r>
      <w:r w:rsidRPr="00B63159">
        <w:rPr>
          <w:sz w:val="24"/>
          <w:szCs w:val="24"/>
        </w:rPr>
        <w:t xml:space="preserve"> types of existing exposure s</w:t>
      </w:r>
      <w:r w:rsidR="00B17945" w:rsidRPr="00B63159">
        <w:rPr>
          <w:sz w:val="24"/>
          <w:szCs w:val="24"/>
        </w:rPr>
        <w:t>ituations mentioned in para. 3.</w:t>
      </w:r>
      <w:r w:rsidR="00A7452B">
        <w:rPr>
          <w:sz w:val="24"/>
          <w:szCs w:val="24"/>
        </w:rPr>
        <w:t>77</w:t>
      </w:r>
      <w:r w:rsidRPr="00B63159">
        <w:rPr>
          <w:sz w:val="24"/>
          <w:szCs w:val="24"/>
        </w:rPr>
        <w:t>, on</w:t>
      </w:r>
      <w:r w:rsidR="00120A05">
        <w:rPr>
          <w:sz w:val="24"/>
          <w:szCs w:val="24"/>
        </w:rPr>
        <w:t xml:space="preserve"> the basis of</w:t>
      </w:r>
      <w:r w:rsidRPr="00B63159">
        <w:rPr>
          <w:sz w:val="24"/>
          <w:szCs w:val="24"/>
        </w:rPr>
        <w:t xml:space="preserve"> indica</w:t>
      </w:r>
      <w:r w:rsidRPr="00F543D6">
        <w:rPr>
          <w:sz w:val="24"/>
          <w:szCs w:val="24"/>
        </w:rPr>
        <w:t>tion or evidence of public exposures that are of concern from the point of view of radiation protection</w:t>
      </w:r>
      <w:r w:rsidR="008D6065" w:rsidRPr="00F543D6">
        <w:rPr>
          <w:sz w:val="24"/>
          <w:szCs w:val="24"/>
        </w:rPr>
        <w:t>.</w:t>
      </w:r>
    </w:p>
    <w:p w:rsidR="00FB6F52" w:rsidRPr="00F543D6" w:rsidRDefault="00FB6F52" w:rsidP="00477ED7">
      <w:pPr>
        <w:pStyle w:val="ListParagraph"/>
        <w:tabs>
          <w:tab w:val="left" w:pos="709"/>
        </w:tabs>
        <w:autoSpaceDE w:val="0"/>
        <w:autoSpaceDN w:val="0"/>
        <w:adjustRightInd w:val="0"/>
        <w:spacing w:after="120" w:line="360" w:lineRule="auto"/>
        <w:ind w:left="0"/>
        <w:contextualSpacing w:val="0"/>
        <w:jc w:val="both"/>
        <w:rPr>
          <w:rFonts w:eastAsia="Times New Roman"/>
          <w:szCs w:val="20"/>
          <w:lang w:eastAsia="en-US"/>
        </w:rPr>
      </w:pPr>
      <w:r w:rsidRPr="00F543D6">
        <w:rPr>
          <w:b/>
        </w:rPr>
        <w:lastRenderedPageBreak/>
        <w:t xml:space="preserve">Justification </w:t>
      </w:r>
    </w:p>
    <w:p w:rsidR="00D865E0" w:rsidRDefault="00FB6F5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F543D6">
        <w:rPr>
          <w:rFonts w:eastAsia="Times New Roman"/>
          <w:szCs w:val="20"/>
          <w:lang w:eastAsia="en-US"/>
        </w:rPr>
        <w:t xml:space="preserve">Requirement 48 of GSR Part 3 </w:t>
      </w:r>
      <w:r w:rsidR="00871F51">
        <w:rPr>
          <w:rFonts w:eastAsia="Times New Roman"/>
          <w:szCs w:val="20"/>
          <w:lang w:eastAsia="en-US"/>
        </w:rPr>
        <w:t xml:space="preserve">[2] </w:t>
      </w:r>
      <w:r w:rsidR="00D865E0">
        <w:rPr>
          <w:rFonts w:eastAsia="Times New Roman"/>
          <w:szCs w:val="20"/>
          <w:lang w:eastAsia="en-US"/>
        </w:rPr>
        <w:t>states</w:t>
      </w:r>
      <w:r w:rsidR="00D865E0" w:rsidRPr="00F543D6">
        <w:rPr>
          <w:rFonts w:eastAsia="Times New Roman"/>
          <w:szCs w:val="20"/>
          <w:lang w:eastAsia="en-US"/>
        </w:rPr>
        <w:t xml:space="preserve"> </w:t>
      </w:r>
      <w:r w:rsidRPr="00F543D6">
        <w:rPr>
          <w:rFonts w:eastAsia="Times New Roman"/>
          <w:szCs w:val="20"/>
          <w:lang w:eastAsia="en-US"/>
        </w:rPr>
        <w:t xml:space="preserve">that </w:t>
      </w:r>
    </w:p>
    <w:p w:rsidR="00FB6F52" w:rsidRPr="0044556B" w:rsidRDefault="007F19DB" w:rsidP="00BB4496">
      <w:pPr>
        <w:tabs>
          <w:tab w:val="left" w:pos="709"/>
        </w:tabs>
        <w:spacing w:after="120" w:line="360" w:lineRule="auto"/>
        <w:ind w:left="567"/>
      </w:pPr>
      <w:r w:rsidRPr="00CD6638">
        <w:t>“</w:t>
      </w:r>
      <w:r w:rsidR="00FB6F52" w:rsidRPr="00CD6638">
        <w:t xml:space="preserve">The government and the regulatory body </w:t>
      </w:r>
      <w:r w:rsidR="00FB6F52" w:rsidRPr="00FF3614">
        <w:t>or other relevant authority shall ensure that remedial actions and protective actions are justified and that the protection and safety is optimized</w:t>
      </w:r>
      <w:r w:rsidRPr="007E2C6D">
        <w:t>”</w:t>
      </w:r>
      <w:r w:rsidR="00FB6F52" w:rsidRPr="0044556B">
        <w:t xml:space="preserve">. </w:t>
      </w:r>
    </w:p>
    <w:p w:rsidR="00FB6F52" w:rsidRPr="00F543D6" w:rsidRDefault="00FB6F5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F543D6">
        <w:rPr>
          <w:rFonts w:eastAsia="Times New Roman"/>
          <w:szCs w:val="20"/>
          <w:lang w:eastAsia="en-US"/>
        </w:rPr>
        <w:t>The protection strategy for a particular existing exposure situation is required to be established in accordance with the principle of justification. Any decision</w:t>
      </w:r>
      <w:r w:rsidR="00476175" w:rsidRPr="00F543D6">
        <w:rPr>
          <w:rFonts w:eastAsia="Times New Roman"/>
          <w:szCs w:val="20"/>
          <w:lang w:eastAsia="en-US"/>
        </w:rPr>
        <w:t>s</w:t>
      </w:r>
      <w:r w:rsidRPr="00F543D6">
        <w:rPr>
          <w:rFonts w:eastAsia="Times New Roman"/>
          <w:szCs w:val="20"/>
          <w:lang w:eastAsia="en-US"/>
        </w:rPr>
        <w:t xml:space="preserve"> to implement a remedial action or protective action to reduce the radiation dose to the public, which will always have some disadvantages, </w:t>
      </w:r>
      <w:r w:rsidR="00D865E0">
        <w:rPr>
          <w:rFonts w:eastAsia="Times New Roman"/>
          <w:szCs w:val="20"/>
          <w:lang w:eastAsia="en-US"/>
        </w:rPr>
        <w:t>should</w:t>
      </w:r>
      <w:r w:rsidRPr="00F543D6">
        <w:rPr>
          <w:rFonts w:eastAsia="Times New Roman"/>
          <w:szCs w:val="20"/>
          <w:lang w:eastAsia="en-US"/>
        </w:rPr>
        <w:t xml:space="preserve"> be justified in the sense that they are to do more good than harm.  </w:t>
      </w:r>
    </w:p>
    <w:p w:rsidR="00E3622E" w:rsidRPr="00F543D6" w:rsidRDefault="00E3622E" w:rsidP="00974B8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F543D6">
        <w:t xml:space="preserve">The remedial </w:t>
      </w:r>
      <w:r w:rsidR="00CF7994">
        <w:t xml:space="preserve">actions </w:t>
      </w:r>
      <w:r w:rsidRPr="00F543D6">
        <w:t>or protective actions may include, depending on the type of existing exposure situation and the level of projected doses</w:t>
      </w:r>
      <w:r w:rsidR="0053237A">
        <w:t>:</w:t>
      </w:r>
    </w:p>
    <w:p w:rsidR="00E3622E" w:rsidRPr="00C43DEB" w:rsidRDefault="004552CE" w:rsidP="00C43DEB">
      <w:pPr>
        <w:pStyle w:val="ListParagraph"/>
        <w:numPr>
          <w:ilvl w:val="0"/>
          <w:numId w:val="43"/>
        </w:numPr>
        <w:tabs>
          <w:tab w:val="left" w:pos="567"/>
        </w:tabs>
        <w:spacing w:after="120" w:line="360" w:lineRule="auto"/>
        <w:ind w:left="567" w:hanging="567"/>
        <w:contextualSpacing w:val="0"/>
        <w:jc w:val="both"/>
        <w:rPr>
          <w:rFonts w:eastAsia="TimesNewRoman"/>
        </w:rPr>
      </w:pPr>
      <w:r w:rsidRPr="00C43DEB">
        <w:rPr>
          <w:rFonts w:eastAsia="TimesNewRoman"/>
        </w:rPr>
        <w:t>Corrective actions in existing buildings and preventive measures in new buildings to reduce radon levels</w:t>
      </w:r>
      <w:r w:rsidR="00CF7994">
        <w:rPr>
          <w:rFonts w:eastAsia="TimesNewRoman"/>
        </w:rPr>
        <w:t xml:space="preserve"> [15]</w:t>
      </w:r>
      <w:r w:rsidR="003A24B5">
        <w:rPr>
          <w:rFonts w:eastAsia="TimesNewRoman"/>
        </w:rPr>
        <w:t>;</w:t>
      </w:r>
    </w:p>
    <w:p w:rsidR="00E3622E" w:rsidRPr="00C43DEB" w:rsidRDefault="004552CE" w:rsidP="00C43DEB">
      <w:pPr>
        <w:pStyle w:val="ListParagraph"/>
        <w:numPr>
          <w:ilvl w:val="0"/>
          <w:numId w:val="43"/>
        </w:numPr>
        <w:tabs>
          <w:tab w:val="left" w:pos="567"/>
        </w:tabs>
        <w:spacing w:after="120" w:line="360" w:lineRule="auto"/>
        <w:ind w:left="567" w:hanging="567"/>
        <w:contextualSpacing w:val="0"/>
        <w:jc w:val="both"/>
        <w:rPr>
          <w:rFonts w:eastAsia="TimesNewRoman"/>
        </w:rPr>
      </w:pPr>
      <w:r w:rsidRPr="00C43DEB">
        <w:rPr>
          <w:rFonts w:eastAsia="TimesNewRoman"/>
        </w:rPr>
        <w:t>Remediation of areas with residual radioactive material</w:t>
      </w:r>
      <w:r w:rsidR="00CF7994">
        <w:rPr>
          <w:rFonts w:eastAsia="TimesNewRoman"/>
        </w:rPr>
        <w:t xml:space="preserve"> [14]</w:t>
      </w:r>
      <w:r w:rsidR="003A24B5">
        <w:rPr>
          <w:rFonts w:eastAsia="TimesNewRoman"/>
        </w:rPr>
        <w:t>;</w:t>
      </w:r>
    </w:p>
    <w:p w:rsidR="00E3622E" w:rsidRPr="00C43DEB" w:rsidRDefault="004552CE" w:rsidP="00C43DEB">
      <w:pPr>
        <w:pStyle w:val="ListParagraph"/>
        <w:numPr>
          <w:ilvl w:val="0"/>
          <w:numId w:val="43"/>
        </w:numPr>
        <w:tabs>
          <w:tab w:val="left" w:pos="567"/>
        </w:tabs>
        <w:spacing w:after="120" w:line="360" w:lineRule="auto"/>
        <w:ind w:left="567" w:hanging="567"/>
        <w:contextualSpacing w:val="0"/>
        <w:jc w:val="both"/>
        <w:rPr>
          <w:rFonts w:eastAsia="TimesNewRoman"/>
        </w:rPr>
      </w:pPr>
      <w:r w:rsidRPr="00C43DEB">
        <w:rPr>
          <w:rFonts w:eastAsia="TimesNewRoman"/>
        </w:rPr>
        <w:t>R</w:t>
      </w:r>
      <w:r w:rsidR="00E3622E" w:rsidRPr="00C43DEB">
        <w:rPr>
          <w:rFonts w:eastAsia="TimesNewRoman"/>
        </w:rPr>
        <w:t>estrict</w:t>
      </w:r>
      <w:r w:rsidRPr="00C43DEB">
        <w:rPr>
          <w:rFonts w:eastAsia="TimesNewRoman"/>
        </w:rPr>
        <w:t>ions on</w:t>
      </w:r>
      <w:r w:rsidR="00E3622E" w:rsidRPr="00C43DEB">
        <w:rPr>
          <w:rFonts w:eastAsia="TimesNewRoman"/>
        </w:rPr>
        <w:t xml:space="preserve"> access to contaminated buildings or </w:t>
      </w:r>
      <w:r w:rsidR="00D865E0">
        <w:rPr>
          <w:rFonts w:eastAsia="TimesNewRoman"/>
        </w:rPr>
        <w:t xml:space="preserve">to </w:t>
      </w:r>
      <w:r w:rsidR="00E3622E" w:rsidRPr="00C43DEB">
        <w:rPr>
          <w:rFonts w:eastAsia="TimesNewRoman"/>
        </w:rPr>
        <w:t>areas</w:t>
      </w:r>
      <w:r w:rsidRPr="00C43DEB">
        <w:rPr>
          <w:rFonts w:eastAsia="TimesNewRoman"/>
        </w:rPr>
        <w:t xml:space="preserve"> with residual radioactive material</w:t>
      </w:r>
      <w:r w:rsidR="00A74DCA">
        <w:rPr>
          <w:rFonts w:eastAsia="TimesNewRoman"/>
        </w:rPr>
        <w:t xml:space="preserve"> [14]</w:t>
      </w:r>
      <w:r w:rsidR="003A24B5">
        <w:rPr>
          <w:rFonts w:eastAsia="TimesNewRoman"/>
        </w:rPr>
        <w:t>;</w:t>
      </w:r>
    </w:p>
    <w:p w:rsidR="00E3622E" w:rsidRPr="00C43DEB" w:rsidRDefault="004552CE" w:rsidP="00C43DEB">
      <w:pPr>
        <w:pStyle w:val="ListParagraph"/>
        <w:numPr>
          <w:ilvl w:val="0"/>
          <w:numId w:val="43"/>
        </w:numPr>
        <w:tabs>
          <w:tab w:val="left" w:pos="567"/>
        </w:tabs>
        <w:spacing w:after="120" w:line="360" w:lineRule="auto"/>
        <w:ind w:left="567" w:hanging="567"/>
        <w:contextualSpacing w:val="0"/>
        <w:jc w:val="both"/>
        <w:rPr>
          <w:rFonts w:eastAsia="TimesNewRoman"/>
        </w:rPr>
      </w:pPr>
      <w:r w:rsidRPr="00C43DEB">
        <w:rPr>
          <w:rFonts w:eastAsia="TimesNewRoman"/>
        </w:rPr>
        <w:t>R</w:t>
      </w:r>
      <w:r w:rsidR="00E3622E" w:rsidRPr="00C43DEB">
        <w:rPr>
          <w:rFonts w:eastAsia="TimesNewRoman"/>
        </w:rPr>
        <w:t>estrictions on the use of locally produced</w:t>
      </w:r>
      <w:r w:rsidR="00BA65C1" w:rsidRPr="00C43DEB">
        <w:rPr>
          <w:rFonts w:eastAsia="TimesNewRoman"/>
        </w:rPr>
        <w:t xml:space="preserve"> feed,</w:t>
      </w:r>
      <w:r w:rsidR="00E3622E" w:rsidRPr="00C43DEB">
        <w:rPr>
          <w:rFonts w:eastAsia="TimesNewRoman"/>
        </w:rPr>
        <w:t xml:space="preserve"> food or drinking water</w:t>
      </w:r>
      <w:r w:rsidR="00CF7994">
        <w:rPr>
          <w:rFonts w:eastAsia="TimesNewRoman"/>
        </w:rPr>
        <w:t xml:space="preserve"> [para. </w:t>
      </w:r>
      <w:r w:rsidR="00FF3561">
        <w:rPr>
          <w:rFonts w:eastAsia="TimesNewRoman"/>
        </w:rPr>
        <w:t>3.98-</w:t>
      </w:r>
      <w:r w:rsidR="00CF7994">
        <w:rPr>
          <w:rFonts w:eastAsia="TimesNewRoman"/>
        </w:rPr>
        <w:t>3.101]</w:t>
      </w:r>
      <w:r w:rsidR="003A24B5">
        <w:rPr>
          <w:rFonts w:eastAsia="TimesNewRoman"/>
        </w:rPr>
        <w:t>;</w:t>
      </w:r>
    </w:p>
    <w:p w:rsidR="00BA65C1" w:rsidRPr="00C43DEB" w:rsidRDefault="00BA65C1" w:rsidP="00C43DEB">
      <w:pPr>
        <w:pStyle w:val="ListParagraph"/>
        <w:numPr>
          <w:ilvl w:val="0"/>
          <w:numId w:val="43"/>
        </w:numPr>
        <w:tabs>
          <w:tab w:val="left" w:pos="567"/>
        </w:tabs>
        <w:spacing w:after="120" w:line="360" w:lineRule="auto"/>
        <w:ind w:left="567" w:hanging="567"/>
        <w:contextualSpacing w:val="0"/>
        <w:jc w:val="both"/>
        <w:rPr>
          <w:rFonts w:eastAsia="TimesNewRoman"/>
        </w:rPr>
      </w:pPr>
      <w:r w:rsidRPr="00C43DEB">
        <w:rPr>
          <w:rFonts w:eastAsia="TimesNewRoman"/>
        </w:rPr>
        <w:t>Restriction</w:t>
      </w:r>
      <w:r w:rsidR="00B577CC">
        <w:rPr>
          <w:rFonts w:eastAsia="TimesNewRoman"/>
        </w:rPr>
        <w:t>s</w:t>
      </w:r>
      <w:r w:rsidRPr="00C43DEB">
        <w:rPr>
          <w:rFonts w:eastAsia="TimesNewRoman"/>
        </w:rPr>
        <w:t xml:space="preserve"> on the use of construction materials</w:t>
      </w:r>
      <w:r w:rsidR="00CF7994">
        <w:rPr>
          <w:rFonts w:eastAsia="TimesNewRoman"/>
        </w:rPr>
        <w:t xml:space="preserve"> [15]</w:t>
      </w:r>
      <w:r w:rsidR="003A24B5">
        <w:rPr>
          <w:rFonts w:eastAsia="TimesNewRoman"/>
        </w:rPr>
        <w:t>;</w:t>
      </w:r>
    </w:p>
    <w:p w:rsidR="00BA65C1" w:rsidRPr="00C43DEB" w:rsidRDefault="00C43DEB" w:rsidP="00C43DEB">
      <w:pPr>
        <w:pStyle w:val="ListParagraph"/>
        <w:numPr>
          <w:ilvl w:val="0"/>
          <w:numId w:val="43"/>
        </w:numPr>
        <w:tabs>
          <w:tab w:val="left" w:pos="567"/>
        </w:tabs>
        <w:spacing w:after="120" w:line="360" w:lineRule="auto"/>
        <w:ind w:left="567" w:hanging="567"/>
        <w:contextualSpacing w:val="0"/>
        <w:jc w:val="both"/>
        <w:rPr>
          <w:rFonts w:eastAsia="TimesNewRoman"/>
        </w:rPr>
      </w:pPr>
      <w:r>
        <w:rPr>
          <w:rFonts w:eastAsia="TimesNewRoman"/>
        </w:rPr>
        <w:t>Restriction</w:t>
      </w:r>
      <w:r w:rsidR="00B577CC">
        <w:rPr>
          <w:rFonts w:eastAsia="TimesNewRoman"/>
        </w:rPr>
        <w:t>s</w:t>
      </w:r>
      <w:r>
        <w:rPr>
          <w:rFonts w:eastAsia="TimesNewRoman"/>
        </w:rPr>
        <w:t xml:space="preserve"> </w:t>
      </w:r>
      <w:r w:rsidR="00BA65C1" w:rsidRPr="00C43DEB">
        <w:rPr>
          <w:rFonts w:eastAsia="TimesNewRoman"/>
        </w:rPr>
        <w:t>on the use of agricultural fertilizer and soil amendments</w:t>
      </w:r>
      <w:r w:rsidR="00FF3561">
        <w:rPr>
          <w:rFonts w:eastAsia="TimesNewRoman"/>
        </w:rPr>
        <w:t>.</w:t>
      </w:r>
    </w:p>
    <w:p w:rsidR="00FB6F52" w:rsidRPr="00F543D6" w:rsidRDefault="00FB6F52" w:rsidP="00974B83">
      <w:pPr>
        <w:pStyle w:val="ListParagraph"/>
        <w:numPr>
          <w:ilvl w:val="0"/>
          <w:numId w:val="7"/>
        </w:numPr>
        <w:tabs>
          <w:tab w:val="left" w:pos="709"/>
        </w:tabs>
        <w:autoSpaceDE w:val="0"/>
        <w:autoSpaceDN w:val="0"/>
        <w:adjustRightInd w:val="0"/>
        <w:spacing w:after="120" w:line="360" w:lineRule="auto"/>
        <w:ind w:left="0" w:firstLine="0"/>
        <w:contextualSpacing w:val="0"/>
        <w:jc w:val="both"/>
        <w:rPr>
          <w:rFonts w:eastAsia="Times New Roman"/>
          <w:szCs w:val="20"/>
          <w:lang w:eastAsia="en-US"/>
        </w:rPr>
      </w:pPr>
      <w:r w:rsidRPr="00F543D6">
        <w:rPr>
          <w:noProof/>
          <w:lang w:eastAsia="fi-FI"/>
        </w:rPr>
        <w:t xml:space="preserve">The justification process </w:t>
      </w:r>
      <w:r w:rsidR="00817ACE" w:rsidRPr="00F543D6">
        <w:rPr>
          <w:noProof/>
          <w:lang w:eastAsia="fi-FI"/>
        </w:rPr>
        <w:t>should</w:t>
      </w:r>
      <w:r w:rsidRPr="00F543D6">
        <w:rPr>
          <w:noProof/>
          <w:lang w:eastAsia="fi-FI"/>
        </w:rPr>
        <w:t xml:space="preserve"> consider, in addition to radiation exposure, other factors such as soci</w:t>
      </w:r>
      <w:r w:rsidR="00470DE4" w:rsidRPr="00F543D6">
        <w:rPr>
          <w:noProof/>
          <w:lang w:eastAsia="fi-FI"/>
        </w:rPr>
        <w:t>et</w:t>
      </w:r>
      <w:r w:rsidRPr="00F543D6">
        <w:rPr>
          <w:noProof/>
          <w:lang w:eastAsia="fi-FI"/>
        </w:rPr>
        <w:t xml:space="preserve">al and ethical aspects, </w:t>
      </w:r>
      <w:r w:rsidR="00340A5F" w:rsidRPr="00F543D6">
        <w:rPr>
          <w:noProof/>
          <w:lang w:eastAsia="fi-FI"/>
        </w:rPr>
        <w:t xml:space="preserve">available </w:t>
      </w:r>
      <w:r w:rsidRPr="00F543D6">
        <w:rPr>
          <w:noProof/>
          <w:lang w:eastAsia="fi-FI"/>
        </w:rPr>
        <w:t xml:space="preserve">resources, waste management options, </w:t>
      </w:r>
      <w:r w:rsidR="003A24B5">
        <w:rPr>
          <w:noProof/>
          <w:lang w:eastAsia="fi-FI"/>
        </w:rPr>
        <w:t xml:space="preserve">and </w:t>
      </w:r>
      <w:r w:rsidR="00DB6AEC">
        <w:rPr>
          <w:noProof/>
          <w:lang w:eastAsia="fi-FI"/>
        </w:rPr>
        <w:t>equity issues</w:t>
      </w:r>
      <w:r w:rsidRPr="00F543D6">
        <w:rPr>
          <w:noProof/>
          <w:lang w:eastAsia="fi-FI"/>
        </w:rPr>
        <w:t xml:space="preserve">. </w:t>
      </w:r>
      <w:r w:rsidRPr="00F543D6">
        <w:t xml:space="preserve">Where public doses are relatively high, the </w:t>
      </w:r>
      <w:r w:rsidR="00340A5F">
        <w:t>radiation</w:t>
      </w:r>
      <w:r w:rsidR="00340A5F" w:rsidRPr="00F543D6">
        <w:t xml:space="preserve"> </w:t>
      </w:r>
      <w:r w:rsidRPr="00F543D6">
        <w:t xml:space="preserve">risk may be the most important factor </w:t>
      </w:r>
      <w:r w:rsidR="00340A5F">
        <w:t>in</w:t>
      </w:r>
      <w:r w:rsidR="00340A5F" w:rsidRPr="00F543D6">
        <w:t xml:space="preserve"> </w:t>
      </w:r>
      <w:r w:rsidRPr="00F543D6">
        <w:t xml:space="preserve">decision making. However, where exposures are low, other factors </w:t>
      </w:r>
      <w:r w:rsidR="00340A5F">
        <w:t xml:space="preserve">may </w:t>
      </w:r>
      <w:r w:rsidRPr="00F543D6">
        <w:t xml:space="preserve">become more </w:t>
      </w:r>
      <w:r w:rsidR="005B4D29" w:rsidRPr="00F543D6">
        <w:t xml:space="preserve">important </w:t>
      </w:r>
      <w:r w:rsidRPr="00F543D6">
        <w:t xml:space="preserve">and the justification </w:t>
      </w:r>
      <w:r w:rsidR="000B7FA2">
        <w:t xml:space="preserve">process should </w:t>
      </w:r>
      <w:r w:rsidRPr="00F543D6">
        <w:t xml:space="preserve">go beyond the scope of </w:t>
      </w:r>
      <w:r w:rsidR="005A3C40">
        <w:t>radiation</w:t>
      </w:r>
      <w:r w:rsidR="005A3C40" w:rsidRPr="00F543D6">
        <w:t xml:space="preserve"> </w:t>
      </w:r>
      <w:r w:rsidRPr="00F543D6">
        <w:t xml:space="preserve">protection. This </w:t>
      </w:r>
      <w:r w:rsidR="00340A5F">
        <w:t xml:space="preserve">broader decision making process </w:t>
      </w:r>
      <w:r w:rsidRPr="00F543D6">
        <w:t xml:space="preserve">calls for input from other </w:t>
      </w:r>
      <w:r w:rsidR="00F63729" w:rsidRPr="00F543D6">
        <w:t>organizations</w:t>
      </w:r>
      <w:r w:rsidRPr="00F543D6">
        <w:t xml:space="preserve"> and </w:t>
      </w:r>
      <w:r w:rsidR="00340A5F">
        <w:t xml:space="preserve">from </w:t>
      </w:r>
      <w:r w:rsidR="00972161" w:rsidRPr="00F543D6">
        <w:t>interested parties</w:t>
      </w:r>
      <w:r w:rsidRPr="00F543D6">
        <w:t xml:space="preserve">.  </w:t>
      </w:r>
    </w:p>
    <w:p w:rsidR="00FB6F52" w:rsidRPr="00F543D6" w:rsidRDefault="00FB6F52" w:rsidP="00477ED7">
      <w:pPr>
        <w:pStyle w:val="ListParagraph"/>
        <w:tabs>
          <w:tab w:val="left" w:pos="709"/>
        </w:tabs>
        <w:autoSpaceDE w:val="0"/>
        <w:autoSpaceDN w:val="0"/>
        <w:adjustRightInd w:val="0"/>
        <w:spacing w:after="120" w:line="360" w:lineRule="auto"/>
        <w:ind w:left="0"/>
        <w:contextualSpacing w:val="0"/>
        <w:jc w:val="both"/>
        <w:rPr>
          <w:rFonts w:eastAsia="Times New Roman"/>
          <w:szCs w:val="20"/>
          <w:lang w:eastAsia="en-US"/>
        </w:rPr>
      </w:pPr>
      <w:r w:rsidRPr="00F543D6">
        <w:rPr>
          <w:b/>
        </w:rPr>
        <w:t xml:space="preserve">Optimization </w:t>
      </w:r>
    </w:p>
    <w:p w:rsidR="007E16D5" w:rsidRPr="00F543D6" w:rsidRDefault="00325E1D" w:rsidP="00974B8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F543D6">
        <w:lastRenderedPageBreak/>
        <w:t xml:space="preserve">The optimization process </w:t>
      </w:r>
      <w:r w:rsidR="000B7FA2" w:rsidRPr="00F543D6">
        <w:t xml:space="preserve">for </w:t>
      </w:r>
      <w:r w:rsidR="00340A5F">
        <w:t>an</w:t>
      </w:r>
      <w:r w:rsidR="00340A5F" w:rsidRPr="00F543D6">
        <w:t xml:space="preserve"> </w:t>
      </w:r>
      <w:r w:rsidR="000B7FA2" w:rsidRPr="00F543D6">
        <w:t xml:space="preserve">existing exposure situation </w:t>
      </w:r>
      <w:r w:rsidRPr="00F543D6">
        <w:t xml:space="preserve">is implemented through the protection strategy. </w:t>
      </w:r>
      <w:r w:rsidR="009B13BE" w:rsidRPr="00F543D6">
        <w:t xml:space="preserve">The </w:t>
      </w:r>
      <w:r w:rsidR="00340A5F" w:rsidRPr="00F543D6">
        <w:t xml:space="preserve">protection </w:t>
      </w:r>
      <w:r w:rsidR="009B13BE" w:rsidRPr="00F543D6">
        <w:t xml:space="preserve">strategy </w:t>
      </w:r>
      <w:r w:rsidR="00CA2DB2" w:rsidRPr="00F543D6">
        <w:t>should</w:t>
      </w:r>
      <w:r w:rsidR="009B13BE" w:rsidRPr="00F543D6">
        <w:t xml:space="preserve"> be commensurate with </w:t>
      </w:r>
      <w:r w:rsidR="0006478B">
        <w:t xml:space="preserve">the </w:t>
      </w:r>
      <w:r w:rsidR="00E3622E" w:rsidRPr="00F543D6">
        <w:t xml:space="preserve">associated </w:t>
      </w:r>
      <w:r w:rsidR="009B13BE" w:rsidRPr="00F543D6">
        <w:t>radiation risks</w:t>
      </w:r>
      <w:r w:rsidR="00581BFF" w:rsidRPr="00F543D6">
        <w:t xml:space="preserve"> </w:t>
      </w:r>
      <w:r w:rsidR="0006478B">
        <w:t xml:space="preserve">and </w:t>
      </w:r>
      <w:r w:rsidR="00581BFF" w:rsidRPr="00F543D6">
        <w:t>may consist of more than one remedial action or protective action.</w:t>
      </w:r>
      <w:r w:rsidR="007E16D5" w:rsidRPr="00F543D6">
        <w:t xml:space="preserve"> The remedial actions and protective actions </w:t>
      </w:r>
      <w:r w:rsidR="00340A5F">
        <w:t xml:space="preserve">selected </w:t>
      </w:r>
      <w:r w:rsidR="007E16D5" w:rsidRPr="00F543D6">
        <w:t>depend on their technical feasibility</w:t>
      </w:r>
      <w:r w:rsidR="0072158F">
        <w:t xml:space="preserve"> and on</w:t>
      </w:r>
      <w:r w:rsidR="007E16D5" w:rsidRPr="00F543D6">
        <w:t xml:space="preserve"> cost, soci</w:t>
      </w:r>
      <w:r w:rsidR="00340A5F">
        <w:t>et</w:t>
      </w:r>
      <w:r w:rsidR="007E16D5" w:rsidRPr="00F543D6">
        <w:t>al factors, potential adverse impacts, long-term effectiveness and the concerns of the public</w:t>
      </w:r>
      <w:r w:rsidR="00C755EE" w:rsidRPr="00F543D6">
        <w:rPr>
          <w:noProof/>
          <w:lang w:eastAsia="fi-FI"/>
        </w:rPr>
        <w:t>.</w:t>
      </w:r>
      <w:r w:rsidR="00C755EE" w:rsidRPr="00F543D6">
        <w:rPr>
          <w:rFonts w:eastAsia="Times New Roman"/>
          <w:szCs w:val="20"/>
          <w:lang w:eastAsia="en-US"/>
        </w:rPr>
        <w:t xml:space="preserve"> </w:t>
      </w:r>
      <w:r w:rsidR="0072158F">
        <w:t>A</w:t>
      </w:r>
      <w:r w:rsidR="0072158F" w:rsidRPr="00F543D6">
        <w:t xml:space="preserve"> </w:t>
      </w:r>
      <w:r w:rsidR="007E16D5" w:rsidRPr="00F543D6">
        <w:t xml:space="preserve">process </w:t>
      </w:r>
      <w:r w:rsidR="00CA2DB2" w:rsidRPr="00F543D6">
        <w:t>should</w:t>
      </w:r>
      <w:r w:rsidR="007E16D5" w:rsidRPr="00F543D6">
        <w:t xml:space="preserve"> be applied to achieve residual doses to the public that are as low as reasonably achievable below the reference level.</w:t>
      </w:r>
    </w:p>
    <w:p w:rsidR="0072158F" w:rsidRDefault="00871F51" w:rsidP="00974B8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P</w:t>
      </w:r>
      <w:r w:rsidR="00E3622E" w:rsidRPr="00F543D6">
        <w:t>ara</w:t>
      </w:r>
      <w:r w:rsidR="00383F77">
        <w:t>graph</w:t>
      </w:r>
      <w:r w:rsidR="00E3622E" w:rsidRPr="00F543D6">
        <w:t xml:space="preserve"> 5.8 of</w:t>
      </w:r>
      <w:r w:rsidR="0053237A">
        <w:t xml:space="preserve"> </w:t>
      </w:r>
      <w:r w:rsidR="008B2799">
        <w:t>GSR Part 3</w:t>
      </w:r>
      <w:r w:rsidR="00E3622E" w:rsidRPr="00F543D6">
        <w:t xml:space="preserve"> </w:t>
      </w:r>
      <w:r>
        <w:t xml:space="preserve">[2] </w:t>
      </w:r>
      <w:r w:rsidR="0072158F">
        <w:t>states that</w:t>
      </w:r>
      <w:r w:rsidR="00E3622E" w:rsidRPr="00F543D6">
        <w:t xml:space="preserve"> </w:t>
      </w:r>
    </w:p>
    <w:p w:rsidR="00E3622E" w:rsidRPr="00F543D6" w:rsidRDefault="007F19DB" w:rsidP="00BB4496">
      <w:pPr>
        <w:tabs>
          <w:tab w:val="left" w:pos="709"/>
        </w:tabs>
        <w:spacing w:after="120" w:line="360" w:lineRule="auto"/>
        <w:ind w:left="567"/>
      </w:pPr>
      <w:r w:rsidRPr="00F543D6">
        <w:t>“</w:t>
      </w:r>
      <w:r w:rsidR="00B10D5A" w:rsidRPr="00F543D6">
        <w:t>The regulatory body or other relevant authority and other parties responsible</w:t>
      </w:r>
      <w:r w:rsidR="00E3622E" w:rsidRPr="00F543D6">
        <w:t xml:space="preserve"> </w:t>
      </w:r>
      <w:r w:rsidR="00B10D5A" w:rsidRPr="00F543D6">
        <w:t>for remedial actions or protective actions shall ensure that the form, scale and</w:t>
      </w:r>
      <w:r w:rsidR="00E3622E" w:rsidRPr="00F543D6">
        <w:t xml:space="preserve"> </w:t>
      </w:r>
      <w:r w:rsidR="00B10D5A" w:rsidRPr="00F543D6">
        <w:t>duration of such actions are optimized. While this optimization process is</w:t>
      </w:r>
      <w:r w:rsidR="00E3622E" w:rsidRPr="00F543D6">
        <w:t xml:space="preserve"> </w:t>
      </w:r>
      <w:r w:rsidR="00B10D5A" w:rsidRPr="00F543D6">
        <w:t>intended to provide optimized protection for all individuals subject to exposure,</w:t>
      </w:r>
      <w:r w:rsidR="00E3622E" w:rsidRPr="00F543D6">
        <w:t xml:space="preserve"> </w:t>
      </w:r>
      <w:r w:rsidR="00B10D5A" w:rsidRPr="00F543D6">
        <w:t>priority shall be given to those groups for whom the dose exceeds the reference</w:t>
      </w:r>
      <w:r w:rsidR="00E3622E" w:rsidRPr="00F543D6">
        <w:t xml:space="preserve"> </w:t>
      </w:r>
      <w:r w:rsidR="00B10D5A" w:rsidRPr="00F543D6">
        <w:t>level. All reasonable steps shall be taken to prevent doses from remaining above the reference levels.</w:t>
      </w:r>
      <w:r w:rsidRPr="00DE46AB">
        <w:t>”</w:t>
      </w:r>
    </w:p>
    <w:p w:rsidR="002971AD" w:rsidRPr="00F543D6" w:rsidRDefault="0023127D" w:rsidP="00974B8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F543D6">
        <w:t>The success of the implementation of the protection strategy</w:t>
      </w:r>
      <w:r w:rsidR="004D106C" w:rsidRPr="00F543D6">
        <w:t xml:space="preserve"> depend</w:t>
      </w:r>
      <w:r w:rsidR="00697336" w:rsidRPr="00F543D6">
        <w:t>s</w:t>
      </w:r>
      <w:r w:rsidRPr="00F543D6">
        <w:t xml:space="preserve"> on the support and commitment of t</w:t>
      </w:r>
      <w:r w:rsidR="0006478B">
        <w:t>he</w:t>
      </w:r>
      <w:r w:rsidRPr="00F543D6">
        <w:t xml:space="preserve"> parties involved</w:t>
      </w:r>
      <w:r w:rsidR="003B4382" w:rsidRPr="00F543D6">
        <w:t>,</w:t>
      </w:r>
      <w:r w:rsidR="002748C6" w:rsidRPr="00F543D6">
        <w:t xml:space="preserve"> including the </w:t>
      </w:r>
      <w:r w:rsidR="00697336" w:rsidRPr="00F543D6">
        <w:t>exposed</w:t>
      </w:r>
      <w:r w:rsidR="002748C6" w:rsidRPr="00F543D6">
        <w:t xml:space="preserve"> population</w:t>
      </w:r>
      <w:r w:rsidRPr="00F543D6">
        <w:t xml:space="preserve">. This can be </w:t>
      </w:r>
      <w:r w:rsidR="00697336" w:rsidRPr="00F543D6">
        <w:t>achieved</w:t>
      </w:r>
      <w:r w:rsidRPr="00F543D6">
        <w:t xml:space="preserve"> by </w:t>
      </w:r>
      <w:r w:rsidR="004D106C" w:rsidRPr="00F543D6">
        <w:t xml:space="preserve">involving </w:t>
      </w:r>
      <w:r w:rsidRPr="00F543D6">
        <w:t xml:space="preserve">interested parties in the </w:t>
      </w:r>
      <w:r w:rsidR="004D106C" w:rsidRPr="00F543D6">
        <w:t>decision making</w:t>
      </w:r>
      <w:r w:rsidRPr="00F543D6">
        <w:t xml:space="preserve"> </w:t>
      </w:r>
      <w:r w:rsidR="0006478B">
        <w:t xml:space="preserve">process </w:t>
      </w:r>
      <w:r w:rsidRPr="00F543D6">
        <w:t xml:space="preserve">regarding the development and implementation of remedial </w:t>
      </w:r>
      <w:r w:rsidR="0072158F" w:rsidRPr="00F543D6">
        <w:t xml:space="preserve">actions </w:t>
      </w:r>
      <w:r w:rsidRPr="00F543D6">
        <w:t>and protective actions</w:t>
      </w:r>
      <w:r w:rsidR="004D106C" w:rsidRPr="00F543D6">
        <w:t>. The l</w:t>
      </w:r>
      <w:r w:rsidR="00697336" w:rsidRPr="00F543D6">
        <w:t>evels of public exposure depend</w:t>
      </w:r>
      <w:r w:rsidR="004D106C" w:rsidRPr="00F543D6">
        <w:t xml:space="preserve"> </w:t>
      </w:r>
      <w:r w:rsidR="003B4382" w:rsidRPr="00F543D6">
        <w:t xml:space="preserve">also </w:t>
      </w:r>
      <w:r w:rsidR="004D106C" w:rsidRPr="004577A7">
        <w:t>strongly on the living habits</w:t>
      </w:r>
      <w:r w:rsidR="008576A0">
        <w:t>,</w:t>
      </w:r>
      <w:r w:rsidR="004D106C" w:rsidRPr="004577A7">
        <w:t xml:space="preserve"> which calls for transparent communication</w:t>
      </w:r>
      <w:r w:rsidR="004D106C" w:rsidRPr="00F543D6">
        <w:t xml:space="preserve"> to the members of the public on the possible ways they can </w:t>
      </w:r>
      <w:r w:rsidR="0006478B">
        <w:t>reduce</w:t>
      </w:r>
      <w:r w:rsidR="004D106C" w:rsidRPr="00F543D6">
        <w:t xml:space="preserve"> the</w:t>
      </w:r>
      <w:r w:rsidR="0072158F">
        <w:t>ir</w:t>
      </w:r>
      <w:r w:rsidR="004D106C" w:rsidRPr="00F543D6">
        <w:t xml:space="preserve"> exposure</w:t>
      </w:r>
      <w:r w:rsidRPr="00F543D6">
        <w:t>.</w:t>
      </w:r>
      <w:r w:rsidR="004D106C" w:rsidRPr="00F543D6">
        <w:t xml:space="preserve"> </w:t>
      </w:r>
      <w:r w:rsidR="00C15BEF">
        <w:t>The involvement of the affected communities in the implementation of the protection strategy through self-help actions</w:t>
      </w:r>
      <w:r w:rsidR="006B293A">
        <w:t xml:space="preserve"> can also </w:t>
      </w:r>
      <w:r w:rsidR="0006478B">
        <w:t>reduce</w:t>
      </w:r>
      <w:r w:rsidR="006B293A">
        <w:t xml:space="preserve"> their exposure</w:t>
      </w:r>
      <w:r w:rsidR="00C15BEF">
        <w:t xml:space="preserve">, </w:t>
      </w:r>
      <w:r w:rsidR="006B293A">
        <w:t xml:space="preserve">and </w:t>
      </w:r>
      <w:r w:rsidR="00C15BEF">
        <w:t xml:space="preserve">may make an important contribution to the success of the strategy. The regulatory body or other national authority should provide guidance </w:t>
      </w:r>
      <w:r w:rsidR="0006478B">
        <w:t>on how</w:t>
      </w:r>
      <w:r w:rsidR="00C15BEF">
        <w:t xml:space="preserve"> self-help actions </w:t>
      </w:r>
      <w:r w:rsidR="00550416">
        <w:t xml:space="preserve">can be </w:t>
      </w:r>
      <w:r w:rsidR="00C15BEF">
        <w:t>carried out at the local or individual level. Th</w:t>
      </w:r>
      <w:r w:rsidR="00550416">
        <w:t>e</w:t>
      </w:r>
      <w:r w:rsidR="00C15BEF">
        <w:t xml:space="preserve"> </w:t>
      </w:r>
      <w:r w:rsidR="00550416">
        <w:t xml:space="preserve">regulatory body or other national authority </w:t>
      </w:r>
      <w:r w:rsidR="00C15BEF">
        <w:t xml:space="preserve">should </w:t>
      </w:r>
      <w:r w:rsidR="00550416">
        <w:t xml:space="preserve">periodically </w:t>
      </w:r>
      <w:r w:rsidR="00C15BEF">
        <w:t>evaluat</w:t>
      </w:r>
      <w:r w:rsidR="00550416">
        <w:t>e</w:t>
      </w:r>
      <w:r w:rsidR="00C15BEF">
        <w:t xml:space="preserve"> the </w:t>
      </w:r>
      <w:r w:rsidR="006B293A">
        <w:t>effectiveness</w:t>
      </w:r>
      <w:r w:rsidR="00C15BEF">
        <w:t xml:space="preserve"> of such </w:t>
      </w:r>
      <w:r w:rsidR="00550416">
        <w:t xml:space="preserve">self-help </w:t>
      </w:r>
      <w:r w:rsidR="00C15BEF">
        <w:t xml:space="preserve">actions to provide support </w:t>
      </w:r>
      <w:r w:rsidR="00086713">
        <w:t xml:space="preserve">that </w:t>
      </w:r>
      <w:r w:rsidR="00C15BEF">
        <w:t>could further improve the situation.</w:t>
      </w:r>
      <w:r w:rsidRPr="00F543D6">
        <w:t xml:space="preserve"> </w:t>
      </w:r>
      <w:r w:rsidR="00204847">
        <w:t>Further guidance on self-help actions in the remediation o</w:t>
      </w:r>
      <w:r w:rsidR="00667355">
        <w:t>f</w:t>
      </w:r>
      <w:r w:rsidR="00204847">
        <w:t xml:space="preserve"> contaminated areas </w:t>
      </w:r>
      <w:r w:rsidR="00DD0861">
        <w:t>is currently in preparation.</w:t>
      </w:r>
      <w:r w:rsidR="00DD0861">
        <w:rPr>
          <w:rStyle w:val="FootnoteReference"/>
        </w:rPr>
        <w:footnoteReference w:id="5"/>
      </w:r>
    </w:p>
    <w:p w:rsidR="0006478B" w:rsidRDefault="002971AD" w:rsidP="00974B8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F543D6">
        <w:t xml:space="preserve">The process of optimization </w:t>
      </w:r>
      <w:r w:rsidR="00CA2DB2" w:rsidRPr="00F543D6">
        <w:t>should</w:t>
      </w:r>
      <w:r w:rsidRPr="00F543D6">
        <w:t xml:space="preserve"> </w:t>
      </w:r>
      <w:r w:rsidR="00E3622E" w:rsidRPr="00F543D6">
        <w:t xml:space="preserve">also </w:t>
      </w:r>
      <w:r w:rsidRPr="00F543D6">
        <w:t>consider that some remedial actions, such as clean-up work</w:t>
      </w:r>
      <w:r w:rsidR="00697336" w:rsidRPr="00F543D6">
        <w:t xml:space="preserve"> </w:t>
      </w:r>
      <w:r w:rsidR="00274981">
        <w:t>involving the</w:t>
      </w:r>
      <w:r w:rsidR="00274981" w:rsidRPr="00F543D6">
        <w:t xml:space="preserve"> </w:t>
      </w:r>
      <w:r w:rsidRPr="00F543D6">
        <w:t xml:space="preserve">removal of contaminated soil, may lead to exposure </w:t>
      </w:r>
      <w:r w:rsidR="0072158F">
        <w:t>of</w:t>
      </w:r>
      <w:r w:rsidR="0072158F" w:rsidRPr="00F543D6">
        <w:t xml:space="preserve"> </w:t>
      </w:r>
      <w:r w:rsidRPr="00F543D6">
        <w:t>the remediation workers</w:t>
      </w:r>
      <w:r w:rsidR="00697336" w:rsidRPr="00F543D6">
        <w:t xml:space="preserve">, as well as </w:t>
      </w:r>
      <w:r w:rsidR="00C15690" w:rsidRPr="00F543D6">
        <w:t>generat</w:t>
      </w:r>
      <w:r w:rsidR="0072158F">
        <w:t>ing</w:t>
      </w:r>
      <w:r w:rsidR="00C15690" w:rsidRPr="00F543D6">
        <w:t xml:space="preserve"> </w:t>
      </w:r>
      <w:r w:rsidR="0006478B">
        <w:t xml:space="preserve">radioactive </w:t>
      </w:r>
      <w:r w:rsidRPr="00F543D6">
        <w:t xml:space="preserve">waste </w:t>
      </w:r>
      <w:r w:rsidR="00697336" w:rsidRPr="00F543D6">
        <w:t xml:space="preserve">requiring appropriate </w:t>
      </w:r>
      <w:r w:rsidR="0006478B">
        <w:t>action</w:t>
      </w:r>
      <w:r w:rsidR="0006478B" w:rsidRPr="00F543D6">
        <w:t xml:space="preserve">s </w:t>
      </w:r>
      <w:r w:rsidR="00697336" w:rsidRPr="00F543D6">
        <w:t xml:space="preserve">for </w:t>
      </w:r>
      <w:r w:rsidR="000B6239">
        <w:lastRenderedPageBreak/>
        <w:t>its</w:t>
      </w:r>
      <w:r w:rsidR="000B6239" w:rsidRPr="00F543D6">
        <w:t xml:space="preserve"> </w:t>
      </w:r>
      <w:r w:rsidR="006B5153">
        <w:t>processing</w:t>
      </w:r>
      <w:r w:rsidR="006B5153" w:rsidRPr="00F543D6">
        <w:t xml:space="preserve"> </w:t>
      </w:r>
      <w:r w:rsidR="00697336" w:rsidRPr="00F543D6">
        <w:t>and disposal</w:t>
      </w:r>
      <w:r w:rsidRPr="00F543D6">
        <w:t>.</w:t>
      </w:r>
      <w:r w:rsidR="00EB0A5B">
        <w:t xml:space="preserve"> </w:t>
      </w:r>
      <w:r w:rsidR="00274981">
        <w:t>The collection, treatment, storage and disposal of large volumes of such waste may lead to exposure of the public.</w:t>
      </w:r>
    </w:p>
    <w:p w:rsidR="00C30F8F" w:rsidRPr="00554B7C" w:rsidRDefault="00EB0A5B" w:rsidP="00974B8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rPr>
          <w:rFonts w:eastAsia="Times New Roman"/>
          <w:szCs w:val="20"/>
          <w:lang w:eastAsia="en-US"/>
        </w:rPr>
      </w:pPr>
      <w:r>
        <w:t xml:space="preserve">The selection of the optimized remediation option </w:t>
      </w:r>
      <w:r w:rsidR="00550416">
        <w:t xml:space="preserve">is required to </w:t>
      </w:r>
      <w:r>
        <w:t xml:space="preserve">take into account that some remedial actions could have considerable </w:t>
      </w:r>
      <w:r w:rsidR="00550416">
        <w:t xml:space="preserve">radiological and non-radiological [for emphasis; OK?] </w:t>
      </w:r>
      <w:r>
        <w:t xml:space="preserve">impacts on the environment, which should be considered within the process of optimization, together with technical, societal and economic </w:t>
      </w:r>
      <w:r w:rsidRPr="006B293A">
        <w:t xml:space="preserve">factors </w:t>
      </w:r>
      <w:r w:rsidR="000B6239" w:rsidRPr="00554B7C">
        <w:rPr>
          <w:lang w:val="en-US"/>
        </w:rPr>
        <w:t>(para</w:t>
      </w:r>
      <w:r w:rsidR="0053237A" w:rsidRPr="00554B7C">
        <w:rPr>
          <w:lang w:val="en-US"/>
        </w:rPr>
        <w:t>.</w:t>
      </w:r>
      <w:r w:rsidR="000B6239" w:rsidRPr="00554B7C">
        <w:rPr>
          <w:lang w:val="en-US"/>
        </w:rPr>
        <w:t xml:space="preserve"> 5.12 (d) of </w:t>
      </w:r>
      <w:r w:rsidR="0006478B" w:rsidRPr="00554B7C">
        <w:rPr>
          <w:lang w:val="en-US"/>
        </w:rPr>
        <w:t>GSR Part 3</w:t>
      </w:r>
      <w:r w:rsidR="00E90A70" w:rsidRPr="00554B7C">
        <w:rPr>
          <w:lang w:val="en-US"/>
        </w:rPr>
        <w:t xml:space="preserve"> </w:t>
      </w:r>
      <w:r w:rsidR="000B6239" w:rsidRPr="00554B7C">
        <w:rPr>
          <w:lang w:val="en-US"/>
        </w:rPr>
        <w:t>[2])</w:t>
      </w:r>
      <w:r w:rsidRPr="006B293A">
        <w:t>.</w:t>
      </w:r>
      <w:r w:rsidR="00554B7C">
        <w:t xml:space="preserve"> </w:t>
      </w:r>
    </w:p>
    <w:p w:rsidR="00FB6F52" w:rsidRPr="0045207A" w:rsidRDefault="00FB6F52" w:rsidP="00477ED7">
      <w:pPr>
        <w:pStyle w:val="ListParagraph"/>
        <w:tabs>
          <w:tab w:val="left" w:pos="709"/>
        </w:tabs>
        <w:autoSpaceDE w:val="0"/>
        <w:autoSpaceDN w:val="0"/>
        <w:adjustRightInd w:val="0"/>
        <w:spacing w:after="120" w:line="360" w:lineRule="auto"/>
        <w:ind w:left="0"/>
        <w:contextualSpacing w:val="0"/>
        <w:jc w:val="both"/>
        <w:rPr>
          <w:rFonts w:eastAsia="Times New Roman"/>
          <w:i/>
          <w:lang w:eastAsia="en-US"/>
        </w:rPr>
      </w:pPr>
      <w:r w:rsidRPr="0045207A">
        <w:rPr>
          <w:i/>
        </w:rPr>
        <w:t xml:space="preserve">Reference levels </w:t>
      </w:r>
    </w:p>
    <w:p w:rsidR="004353BA" w:rsidRPr="00EB459A" w:rsidRDefault="004353BA"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Para</w:t>
      </w:r>
      <w:r w:rsidR="0053237A">
        <w:t>graph</w:t>
      </w:r>
      <w:r>
        <w:t xml:space="preserve"> 5.4 of GSR Part 3 [2] states that the regulatory body or other relevant authority assigned to establish a protection strategy for an existing exposure situation </w:t>
      </w:r>
      <w:r w:rsidR="00550416">
        <w:t xml:space="preserve">is required to </w:t>
      </w:r>
      <w:r>
        <w:t xml:space="preserve">ensure that it </w:t>
      </w:r>
      <w:r w:rsidR="00550416">
        <w:t xml:space="preserve">specifies </w:t>
      </w:r>
      <w:r>
        <w:t>appropriate reference levels. Para</w:t>
      </w:r>
      <w:r w:rsidR="0053237A">
        <w:t>graph</w:t>
      </w:r>
      <w:r>
        <w:t xml:space="preserve"> 5.8 of GSR Part 3 [2] states that the reference levels </w:t>
      </w:r>
      <w:r w:rsidR="00550416">
        <w:t xml:space="preserve">are </w:t>
      </w:r>
      <w:r>
        <w:t>typically in the range 1</w:t>
      </w:r>
      <w:r w:rsidR="00383F77">
        <w:t>–</w:t>
      </w:r>
      <w:r>
        <w:t xml:space="preserve">20 </w:t>
      </w:r>
      <w:proofErr w:type="spellStart"/>
      <w:r>
        <w:t>mSv</w:t>
      </w:r>
      <w:proofErr w:type="spellEnd"/>
      <w:r>
        <w:t xml:space="preserve"> or other equivalent quantity, the actual value depending on the feasibility of controlling the situation and </w:t>
      </w:r>
      <w:r w:rsidR="00550416">
        <w:t xml:space="preserve">on </w:t>
      </w:r>
      <w:r>
        <w:t>experience in managing similar situations in the past.</w:t>
      </w:r>
    </w:p>
    <w:p w:rsidR="00C30F8F" w:rsidRPr="00EB459A" w:rsidRDefault="00425FC0"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EB459A">
        <w:t>For existing exposure situations, the reference level is expressed in terms of effective dose</w:t>
      </w:r>
      <w:r w:rsidR="00C500A5" w:rsidRPr="00C500A5">
        <w:t xml:space="preserve"> </w:t>
      </w:r>
      <w:r w:rsidR="00C500A5">
        <w:t>to the representative person</w:t>
      </w:r>
      <w:r w:rsidRPr="00EB459A">
        <w:t xml:space="preserve">, </w:t>
      </w:r>
      <w:r w:rsidR="004353BA">
        <w:t xml:space="preserve">or in terms of activity concentration, </w:t>
      </w:r>
      <w:r w:rsidR="00550416">
        <w:t>with</w:t>
      </w:r>
      <w:r w:rsidRPr="00EB459A">
        <w:t xml:space="preserve"> account </w:t>
      </w:r>
      <w:r w:rsidR="00550416">
        <w:t xml:space="preserve">taken of </w:t>
      </w:r>
      <w:r w:rsidRPr="00EB459A">
        <w:t xml:space="preserve">all possible pathways of exposure. The reference level </w:t>
      </w:r>
      <w:r w:rsidR="00CA2DB2" w:rsidRPr="00EB459A">
        <w:t>should</w:t>
      </w:r>
      <w:r w:rsidRPr="00EB459A">
        <w:t xml:space="preserve"> be used to guide the optimization of protection such that </w:t>
      </w:r>
      <w:r w:rsidR="00FE5BDB">
        <w:t xml:space="preserve">projected </w:t>
      </w:r>
      <w:r w:rsidRPr="00EB459A">
        <w:t xml:space="preserve">doses greater than the reference level </w:t>
      </w:r>
      <w:r w:rsidR="00FE5BDB">
        <w:t>are</w:t>
      </w:r>
      <w:r w:rsidRPr="00EB459A">
        <w:t xml:space="preserve"> reduced, and further reductions achieved given the circumstances. </w:t>
      </w:r>
      <w:r w:rsidR="00291F0E" w:rsidRPr="00EB459A">
        <w:t xml:space="preserve">GSR Part 3 </w:t>
      </w:r>
      <w:r w:rsidR="00871F51">
        <w:t xml:space="preserve">[2] </w:t>
      </w:r>
      <w:r w:rsidR="00291F0E" w:rsidRPr="00EB459A">
        <w:t>provides a</w:t>
      </w:r>
      <w:r w:rsidR="003B4382" w:rsidRPr="00EB459A">
        <w:t xml:space="preserve"> general</w:t>
      </w:r>
      <w:r w:rsidR="00C15690" w:rsidRPr="00EB459A">
        <w:t xml:space="preserve"> framework for establishing reference levels. </w:t>
      </w:r>
      <w:r w:rsidR="00FB6E8A">
        <w:t>T</w:t>
      </w:r>
      <w:r w:rsidR="00C15690" w:rsidRPr="00EB459A">
        <w:t xml:space="preserve">able </w:t>
      </w:r>
      <w:r w:rsidR="00FB6E8A">
        <w:t xml:space="preserve">1 </w:t>
      </w:r>
      <w:r w:rsidR="00C15690" w:rsidRPr="00EB459A">
        <w:t xml:space="preserve">in </w:t>
      </w:r>
      <w:r w:rsidR="001D7C8E">
        <w:t xml:space="preserve">the </w:t>
      </w:r>
      <w:r w:rsidR="00C15690" w:rsidRPr="00EB459A">
        <w:t>Appendix</w:t>
      </w:r>
      <w:r w:rsidR="00FB6E8A">
        <w:t xml:space="preserve"> </w:t>
      </w:r>
      <w:r w:rsidR="00FB6E8A" w:rsidRPr="00EB459A">
        <w:t>summariz</w:t>
      </w:r>
      <w:r w:rsidR="00FB6E8A">
        <w:t>es</w:t>
      </w:r>
      <w:r w:rsidR="00FB6E8A" w:rsidRPr="00EB459A">
        <w:t xml:space="preserve"> </w:t>
      </w:r>
      <w:r w:rsidR="00FE5BDB">
        <w:t xml:space="preserve">values of </w:t>
      </w:r>
      <w:r w:rsidR="00FB6E8A">
        <w:t>dose constraints and reference</w:t>
      </w:r>
      <w:r w:rsidR="00FE5BDB">
        <w:t xml:space="preserve"> levels</w:t>
      </w:r>
      <w:r w:rsidR="00FB6E8A">
        <w:t xml:space="preserve"> in terms of effective doses</w:t>
      </w:r>
      <w:r w:rsidR="00C15690" w:rsidRPr="00EB459A">
        <w:t>.</w:t>
      </w:r>
    </w:p>
    <w:p w:rsidR="00C500A5" w:rsidRPr="00C500A5" w:rsidRDefault="00C500A5"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Where activity concentrations of radon are of concern for public health, para. 5.20</w:t>
      </w:r>
      <w:r w:rsidRPr="00EB459A">
        <w:t xml:space="preserve"> of</w:t>
      </w:r>
      <w:r w:rsidR="0053237A">
        <w:t xml:space="preserve"> </w:t>
      </w:r>
      <w:r w:rsidR="008B2799">
        <w:t>GSR Part 3</w:t>
      </w:r>
      <w:r w:rsidR="00871F51">
        <w:t xml:space="preserve"> [2]</w:t>
      </w:r>
      <w:r w:rsidRPr="00EB459A">
        <w:t xml:space="preserve"> </w:t>
      </w:r>
      <w:r>
        <w:t>requires the government to ensure that a</w:t>
      </w:r>
      <w:r w:rsidR="00FE5BDB">
        <w:t>n</w:t>
      </w:r>
      <w:r>
        <w:t xml:space="preserve"> action plan </w:t>
      </w:r>
      <w:r w:rsidR="00FE5BDB">
        <w:t xml:space="preserve">for radon </w:t>
      </w:r>
      <w:r>
        <w:t xml:space="preserve">is established, </w:t>
      </w:r>
      <w:r w:rsidR="0053237A">
        <w:t>which</w:t>
      </w:r>
      <w:r>
        <w:t xml:space="preserve"> includes </w:t>
      </w:r>
      <w:r w:rsidRPr="00EB459A">
        <w:t xml:space="preserve">the establishment of </w:t>
      </w:r>
      <w:r w:rsidR="0053237A">
        <w:t xml:space="preserve">an </w:t>
      </w:r>
      <w:r w:rsidRPr="00EB459A">
        <w:t xml:space="preserve">appropriate reference level for </w:t>
      </w:r>
      <w:r w:rsidRPr="00EB459A">
        <w:rPr>
          <w:vertAlign w:val="superscript"/>
        </w:rPr>
        <w:t>222</w:t>
      </w:r>
      <w:r w:rsidRPr="00EB459A">
        <w:t>Rn for dwellings and other buildings</w:t>
      </w:r>
      <w:r>
        <w:t xml:space="preserve"> with high occupancy factors for </w:t>
      </w:r>
      <w:r w:rsidRPr="00C500A5">
        <w:t xml:space="preserve">members of the public that in general will not exceed an annual average activity concentration due to </w:t>
      </w:r>
      <w:r w:rsidRPr="00C500A5">
        <w:rPr>
          <w:vertAlign w:val="superscript"/>
        </w:rPr>
        <w:t>222</w:t>
      </w:r>
      <w:r w:rsidRPr="00C500A5">
        <w:t xml:space="preserve">Rn of 300 </w:t>
      </w:r>
      <w:proofErr w:type="spellStart"/>
      <w:r w:rsidRPr="00C500A5">
        <w:t>Bq</w:t>
      </w:r>
      <w:proofErr w:type="spellEnd"/>
      <w:r w:rsidRPr="00C500A5">
        <w:t>/m</w:t>
      </w:r>
      <w:r w:rsidRPr="00C500A5">
        <w:rPr>
          <w:vertAlign w:val="superscript"/>
        </w:rPr>
        <w:t>3</w:t>
      </w:r>
      <w:r w:rsidR="003579DE">
        <w:t>.</w:t>
      </w:r>
      <w:r w:rsidRPr="00C500A5">
        <w:rPr>
          <w:vertAlign w:val="superscript"/>
        </w:rPr>
        <w:t xml:space="preserve"> </w:t>
      </w:r>
      <w:r w:rsidRPr="00C500A5">
        <w:rPr>
          <w:rStyle w:val="FootnoteReference"/>
        </w:rPr>
        <w:footnoteReference w:id="6"/>
      </w:r>
      <w:r w:rsidRPr="00C500A5">
        <w:t xml:space="preserve"> </w:t>
      </w:r>
      <w:r w:rsidR="004565C9" w:rsidRPr="004565C9">
        <w:t xml:space="preserve">The reference level for </w:t>
      </w:r>
      <w:r w:rsidR="003E2A64">
        <w:t>exposure</w:t>
      </w:r>
      <w:r w:rsidR="003E2A64" w:rsidRPr="004565C9">
        <w:t xml:space="preserve"> </w:t>
      </w:r>
      <w:r w:rsidR="004565C9" w:rsidRPr="004565C9">
        <w:t xml:space="preserve">indoors </w:t>
      </w:r>
      <w:r w:rsidR="003E2A64">
        <w:t xml:space="preserve">due to radon </w:t>
      </w:r>
      <w:r w:rsidR="004565C9" w:rsidRPr="004565C9">
        <w:t xml:space="preserve">should be selected such that the resulting </w:t>
      </w:r>
      <w:r w:rsidR="00FE5BDB">
        <w:t>actions</w:t>
      </w:r>
      <w:r w:rsidR="00FE5BDB" w:rsidRPr="004565C9">
        <w:t xml:space="preserve"> </w:t>
      </w:r>
      <w:r w:rsidR="004565C9" w:rsidRPr="004565C9">
        <w:t xml:space="preserve">are practicable and manageable. For example, it would be impractical to set a reference level such that corrective actions would be necessary for the majority of existing dwellings. The percentages of dwellings that would require corrective </w:t>
      </w:r>
      <w:r w:rsidR="00A22350">
        <w:t>remedial</w:t>
      </w:r>
      <w:r w:rsidR="00A22350" w:rsidRPr="004565C9">
        <w:t xml:space="preserve"> </w:t>
      </w:r>
      <w:r w:rsidR="004565C9" w:rsidRPr="004565C9">
        <w:t xml:space="preserve">actions under different </w:t>
      </w:r>
      <w:r w:rsidR="004565C9" w:rsidRPr="004565C9">
        <w:lastRenderedPageBreak/>
        <w:t xml:space="preserve">reference levels should be considered in the choice of an appropriate </w:t>
      </w:r>
      <w:r w:rsidR="004565C9" w:rsidRPr="004577A7">
        <w:t xml:space="preserve">reference level. </w:t>
      </w:r>
      <w:r w:rsidR="00824FD8" w:rsidRPr="004577A7">
        <w:rPr>
          <w:lang w:val="en-US"/>
        </w:rPr>
        <w:t xml:space="preserve">SSG-32 </w:t>
      </w:r>
      <w:r w:rsidRPr="004577A7">
        <w:rPr>
          <w:lang w:val="en-US"/>
        </w:rPr>
        <w:t>[1</w:t>
      </w:r>
      <w:r w:rsidR="00824FD8" w:rsidRPr="004577A7">
        <w:rPr>
          <w:lang w:val="en-US"/>
        </w:rPr>
        <w:t>5</w:t>
      </w:r>
      <w:r w:rsidRPr="004577A7">
        <w:rPr>
          <w:lang w:val="en-US"/>
        </w:rPr>
        <w:t>] provides recommendations and guidance on the est</w:t>
      </w:r>
      <w:r w:rsidRPr="00C500A5">
        <w:rPr>
          <w:lang w:val="en-US"/>
        </w:rPr>
        <w:t xml:space="preserve">ablishment of a reference level for radon </w:t>
      </w:r>
      <w:r>
        <w:rPr>
          <w:lang w:val="en-US"/>
        </w:rPr>
        <w:t xml:space="preserve">in </w:t>
      </w:r>
      <w:r w:rsidRPr="00C500A5">
        <w:rPr>
          <w:bCs/>
        </w:rPr>
        <w:t>dwellings and other buildings with high occupancy factors for members of the public</w:t>
      </w:r>
      <w:r w:rsidRPr="00C500A5">
        <w:rPr>
          <w:lang w:val="en-US"/>
        </w:rPr>
        <w:t xml:space="preserve">, and on protection of members of the public against exposure indoors due to </w:t>
      </w:r>
      <w:r w:rsidRPr="00C500A5">
        <w:rPr>
          <w:vertAlign w:val="superscript"/>
          <w:lang w:val="en-US"/>
        </w:rPr>
        <w:t>222</w:t>
      </w:r>
      <w:r w:rsidRPr="00C500A5">
        <w:rPr>
          <w:lang w:val="en-US"/>
        </w:rPr>
        <w:t>Rn.</w:t>
      </w:r>
    </w:p>
    <w:p w:rsidR="00130700" w:rsidRDefault="00B10D5A"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EB459A">
        <w:t>Requirement 51 of</w:t>
      </w:r>
      <w:r w:rsidR="0053237A">
        <w:t xml:space="preserve"> </w:t>
      </w:r>
      <w:r w:rsidR="008B2799">
        <w:t>GSR Part 3</w:t>
      </w:r>
      <w:r w:rsidRPr="00EB459A">
        <w:t xml:space="preserve"> </w:t>
      </w:r>
      <w:r w:rsidR="00871F51">
        <w:t xml:space="preserve">[2] </w:t>
      </w:r>
      <w:r w:rsidRPr="00EB459A">
        <w:t>states</w:t>
      </w:r>
      <w:r w:rsidR="00075188">
        <w:t xml:space="preserve"> that</w:t>
      </w:r>
      <w:r w:rsidRPr="00EB459A">
        <w:t xml:space="preserve"> </w:t>
      </w:r>
      <w:r w:rsidR="007F19DB" w:rsidRPr="00EB459A">
        <w:t>“</w:t>
      </w:r>
      <w:r w:rsidRPr="00EB459A">
        <w:t>The regulatory body or other relevant authority shall establish reference levels for exposure due to radionuclides in commodities</w:t>
      </w:r>
      <w:r w:rsidR="007F19DB" w:rsidRPr="00EB459A">
        <w:t>”</w:t>
      </w:r>
      <w:r w:rsidRPr="00EB459A">
        <w:t xml:space="preserve">, </w:t>
      </w:r>
      <w:r w:rsidR="002B6813">
        <w:t>while</w:t>
      </w:r>
      <w:r w:rsidRPr="00EB459A">
        <w:t xml:space="preserve"> para</w:t>
      </w:r>
      <w:r w:rsidR="00477ED7">
        <w:t>.</w:t>
      </w:r>
      <w:r w:rsidR="0044298F">
        <w:t> </w:t>
      </w:r>
      <w:r w:rsidRPr="00EB459A">
        <w:t xml:space="preserve">5.22 </w:t>
      </w:r>
      <w:r w:rsidR="003E298F">
        <w:t xml:space="preserve">of GSR Part 3 [2] </w:t>
      </w:r>
      <w:r w:rsidR="002B6813">
        <w:t>specifies that</w:t>
      </w:r>
      <w:r w:rsidRPr="00EB459A">
        <w:t xml:space="preserve"> </w:t>
      </w:r>
      <w:r w:rsidR="007F19DB" w:rsidRPr="00EB459A">
        <w:t>“</w:t>
      </w:r>
      <w:r w:rsidRPr="00EB459A">
        <w:t xml:space="preserve">The regulatory body or other relevant authority shall establish specific reference levels for exposure due to radionuclides in commodities such as construction materials, food and feed, and in drinking water, each of which shall typically be expressed as, or be based on, an annual effective dose to the representative person that generally does not exceed a value of </w:t>
      </w:r>
      <w:r w:rsidRPr="006B293A">
        <w:t xml:space="preserve">about 1 </w:t>
      </w:r>
      <w:proofErr w:type="spellStart"/>
      <w:r w:rsidRPr="006B293A">
        <w:t>mSv</w:t>
      </w:r>
      <w:proofErr w:type="spellEnd"/>
      <w:r w:rsidRPr="006B293A">
        <w:t>.</w:t>
      </w:r>
      <w:r w:rsidR="007F19DB" w:rsidRPr="006B293A">
        <w:t>”</w:t>
      </w:r>
      <w:r w:rsidR="00851DEC" w:rsidRPr="006B293A">
        <w:t xml:space="preserve"> </w:t>
      </w:r>
    </w:p>
    <w:p w:rsidR="00C500A5" w:rsidRDefault="00C500A5"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Para</w:t>
      </w:r>
      <w:r w:rsidR="0053237A">
        <w:t>graph</w:t>
      </w:r>
      <w:r>
        <w:t xml:space="preserve"> 5.8 of </w:t>
      </w:r>
      <w:r w:rsidRPr="00C404A9">
        <w:t xml:space="preserve">RS-G-1.7 </w:t>
      </w:r>
      <w:r>
        <w:t>[</w:t>
      </w:r>
      <w:r w:rsidR="003579DE">
        <w:t>22</w:t>
      </w:r>
      <w:r>
        <w:t xml:space="preserve">] </w:t>
      </w:r>
      <w:r w:rsidRPr="00C404A9">
        <w:t>states that national and international trade in commodities containing radionuclides with activity concentrations below the values of activity</w:t>
      </w:r>
      <w:r>
        <w:t xml:space="preserve"> </w:t>
      </w:r>
      <w:r w:rsidRPr="00C404A9">
        <w:t xml:space="preserve">concentration provided in Tables </w:t>
      </w:r>
      <w:r>
        <w:t>I</w:t>
      </w:r>
      <w:r w:rsidR="001D7C8E">
        <w:t>.</w:t>
      </w:r>
      <w:r>
        <w:t>2</w:t>
      </w:r>
      <w:r w:rsidRPr="00C404A9">
        <w:t xml:space="preserve"> and </w:t>
      </w:r>
      <w:r>
        <w:t>I</w:t>
      </w:r>
      <w:r w:rsidR="001D7C8E">
        <w:t>.</w:t>
      </w:r>
      <w:r>
        <w:t>3</w:t>
      </w:r>
      <w:r w:rsidRPr="00C404A9">
        <w:t xml:space="preserve"> </w:t>
      </w:r>
      <w:r>
        <w:t xml:space="preserve">of GSR Part 3 [2] </w:t>
      </w:r>
      <w:r w:rsidRPr="00C404A9">
        <w:t>should not be subject to regulatory control</w:t>
      </w:r>
      <w:r>
        <w:t xml:space="preserve"> </w:t>
      </w:r>
      <w:r w:rsidRPr="00C404A9">
        <w:t xml:space="preserve">for the purposes of radiation protection. </w:t>
      </w:r>
      <w:r>
        <w:t>The activity concentration values in Table I</w:t>
      </w:r>
      <w:r w:rsidR="001D7C8E">
        <w:t>.</w:t>
      </w:r>
      <w:r>
        <w:t>2 are for bulk quantities of solid material containing artificial radionuclides and were derived using the dose criteria for exemption as set out in para</w:t>
      </w:r>
      <w:r w:rsidR="0044298F">
        <w:t>.</w:t>
      </w:r>
      <w:r>
        <w:t xml:space="preserve"> </w:t>
      </w:r>
      <w:r w:rsidR="002B6813">
        <w:fldChar w:fldCharType="begin"/>
      </w:r>
      <w:r w:rsidR="002B6813">
        <w:instrText xml:space="preserve"> REF _Ref437125525 \r \h </w:instrText>
      </w:r>
      <w:r w:rsidR="002B6813">
        <w:fldChar w:fldCharType="separate"/>
      </w:r>
      <w:r w:rsidR="002A6139">
        <w:t>3.9</w:t>
      </w:r>
      <w:r w:rsidR="002B6813">
        <w:fldChar w:fldCharType="end"/>
      </w:r>
      <w:r>
        <w:t xml:space="preserve"> </w:t>
      </w:r>
      <w:proofErr w:type="gramStart"/>
      <w:r>
        <w:t>of</w:t>
      </w:r>
      <w:proofErr w:type="gramEnd"/>
      <w:r>
        <w:t xml:space="preserve"> this Safety </w:t>
      </w:r>
      <w:r w:rsidRPr="00C404A9">
        <w:t>Guide. The activity concentration values for radionuclides of natural origin set out in Table I</w:t>
      </w:r>
      <w:r w:rsidR="002B6813">
        <w:t>.</w:t>
      </w:r>
      <w:r w:rsidRPr="00C404A9">
        <w:t xml:space="preserve">3 of GSR Part 3 </w:t>
      </w:r>
      <w:r w:rsidR="00871F51">
        <w:t xml:space="preserve">[2] </w:t>
      </w:r>
      <w:r w:rsidRPr="00C404A9">
        <w:t>were selected on the basis of consideration of the upper end of the worldwide distribution of activity concentrations in soil [</w:t>
      </w:r>
      <w:r w:rsidR="003579DE">
        <w:t>22</w:t>
      </w:r>
      <w:r w:rsidRPr="00C404A9">
        <w:t>].</w:t>
      </w:r>
      <w:r w:rsidRPr="007D42D9">
        <w:t xml:space="preserve"> </w:t>
      </w:r>
    </w:p>
    <w:p w:rsidR="00C500A5" w:rsidRPr="00C404A9" w:rsidRDefault="00C500A5"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7D42D9">
        <w:t>Para</w:t>
      </w:r>
      <w:r w:rsidR="0053237A">
        <w:t>graph</w:t>
      </w:r>
      <w:r w:rsidRPr="007D42D9">
        <w:t xml:space="preserve"> 5.1 of RS-G-1.7 </w:t>
      </w:r>
      <w:r w:rsidR="00871F51">
        <w:t>[2</w:t>
      </w:r>
      <w:r w:rsidR="003579DE">
        <w:t>2</w:t>
      </w:r>
      <w:r w:rsidR="00871F51">
        <w:t xml:space="preserve">] </w:t>
      </w:r>
      <w:r w:rsidRPr="007D42D9">
        <w:t xml:space="preserve">states that </w:t>
      </w:r>
      <w:r w:rsidRPr="00C404A9">
        <w:t xml:space="preserve">there are some situations (such as the use of some building materials containing natural radionuclides) for which exposures from materials due to radionuclides </w:t>
      </w:r>
      <w:r>
        <w:t xml:space="preserve">or natural origin </w:t>
      </w:r>
      <w:r w:rsidRPr="00C404A9">
        <w:t>with activity concentrations below those given in Table</w:t>
      </w:r>
      <w:r w:rsidR="0044298F">
        <w:t> </w:t>
      </w:r>
      <w:r>
        <w:t>I</w:t>
      </w:r>
      <w:r w:rsidR="001D7C8E">
        <w:t>.</w:t>
      </w:r>
      <w:r>
        <w:t>3 of GSR Part 3</w:t>
      </w:r>
      <w:r w:rsidRPr="00C404A9">
        <w:t xml:space="preserve"> </w:t>
      </w:r>
      <w:r w:rsidR="00871F51">
        <w:t xml:space="preserve">[2] </w:t>
      </w:r>
      <w:r w:rsidRPr="00C404A9">
        <w:t>would necessitate consideration by the regulatory body for some types of regulatory control.</w:t>
      </w:r>
    </w:p>
    <w:p w:rsidR="00C500A5" w:rsidRPr="00130700" w:rsidRDefault="00C500A5"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130700">
        <w:rPr>
          <w:lang w:val="en-US"/>
        </w:rPr>
        <w:t>The regulatory body or other national authority should establish a process to determine the compliance of building materials containing radionuclides of natural origin with the reference level. SSG-32 [1</w:t>
      </w:r>
      <w:r w:rsidR="00824FD8">
        <w:rPr>
          <w:lang w:val="en-US"/>
        </w:rPr>
        <w:t>5</w:t>
      </w:r>
      <w:r w:rsidRPr="00130700">
        <w:rPr>
          <w:lang w:val="en-US"/>
        </w:rPr>
        <w:t>] provides an example of such a process for a reference level of 1</w:t>
      </w:r>
      <w:r w:rsidR="0053237A">
        <w:rPr>
          <w:lang w:val="en-US"/>
        </w:rPr>
        <w:t> </w:t>
      </w:r>
      <w:proofErr w:type="spellStart"/>
      <w:r w:rsidRPr="00130700">
        <w:rPr>
          <w:lang w:val="en-US"/>
        </w:rPr>
        <w:t>mSv</w:t>
      </w:r>
      <w:proofErr w:type="spellEnd"/>
      <w:r w:rsidRPr="00130700">
        <w:rPr>
          <w:lang w:val="en-US"/>
        </w:rPr>
        <w:t xml:space="preserve"> </w:t>
      </w:r>
      <w:r w:rsidR="00086713">
        <w:rPr>
          <w:lang w:val="en-US"/>
        </w:rPr>
        <w:t xml:space="preserve">per year </w:t>
      </w:r>
      <w:r w:rsidR="003E2A64">
        <w:rPr>
          <w:lang w:val="en-US"/>
        </w:rPr>
        <w:t>for</w:t>
      </w:r>
      <w:r w:rsidR="003E2A64" w:rsidRPr="00130700">
        <w:rPr>
          <w:lang w:val="en-US"/>
        </w:rPr>
        <w:t xml:space="preserve"> </w:t>
      </w:r>
      <w:r w:rsidRPr="00130700">
        <w:rPr>
          <w:lang w:val="en-US"/>
        </w:rPr>
        <w:t xml:space="preserve">external exposure to gamma radiation </w:t>
      </w:r>
      <w:r w:rsidRPr="00086713">
        <w:rPr>
          <w:lang w:val="en-US"/>
        </w:rPr>
        <w:t xml:space="preserve">for the protection of members of the </w:t>
      </w:r>
      <w:r w:rsidRPr="0095256E">
        <w:rPr>
          <w:lang w:val="en-US"/>
        </w:rPr>
        <w:t>public against exposure indoors due to radionuclides in building materials.</w:t>
      </w:r>
      <w:r w:rsidR="00086713" w:rsidRPr="0095256E">
        <w:rPr>
          <w:lang w:val="en-US"/>
        </w:rPr>
        <w:t xml:space="preserve"> </w:t>
      </w:r>
      <w:r w:rsidR="00086713" w:rsidRPr="0095256E">
        <w:t>Factors to be considered include the amenability to control and the possibility of different values in different societal groups.</w:t>
      </w:r>
    </w:p>
    <w:p w:rsidR="001D410C" w:rsidRDefault="00130700" w:rsidP="0007276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lastRenderedPageBreak/>
        <w:t xml:space="preserve">The regulatory body or other national authority should establish a process to </w:t>
      </w:r>
      <w:r w:rsidR="007F04B5">
        <w:t xml:space="preserve">evaluate the levels of radionuclides in </w:t>
      </w:r>
      <w:r>
        <w:t xml:space="preserve">food grown in the </w:t>
      </w:r>
      <w:r w:rsidR="003E2A64">
        <w:t xml:space="preserve">State </w:t>
      </w:r>
      <w:r>
        <w:t xml:space="preserve">in areas that may be affected by past activities or </w:t>
      </w:r>
      <w:r w:rsidR="003E2A64">
        <w:t xml:space="preserve">by </w:t>
      </w:r>
      <w:r>
        <w:t xml:space="preserve">a nuclear or radiological emergency, and </w:t>
      </w:r>
      <w:r w:rsidR="007F04B5">
        <w:t xml:space="preserve">in food </w:t>
      </w:r>
      <w:r>
        <w:t xml:space="preserve">imported into the </w:t>
      </w:r>
      <w:r w:rsidR="003E2A64">
        <w:t xml:space="preserve">State </w:t>
      </w:r>
      <w:r>
        <w:t xml:space="preserve">that may incorporate radionuclides arising from residual radioactive material deriving from a nuclear or radiological emergency after it has been declared ended. This process should identify radionuclides that may be of concern, and should include a </w:t>
      </w:r>
      <w:r w:rsidRPr="00072763">
        <w:t>methodology</w:t>
      </w:r>
      <w:r w:rsidRPr="001D410C">
        <w:t xml:space="preserve"> for developing guideline levels of activity concentration for these radionuclides </w:t>
      </w:r>
      <w:r>
        <w:t xml:space="preserve">in food, on </w:t>
      </w:r>
      <w:r w:rsidR="00120A05">
        <w:t xml:space="preserve">the basis of </w:t>
      </w:r>
      <w:r>
        <w:t xml:space="preserve">the specific reference level </w:t>
      </w:r>
      <w:r w:rsidR="00CA464B">
        <w:t xml:space="preserve">for food that does not exceed a value of about 1 </w:t>
      </w:r>
      <w:proofErr w:type="spellStart"/>
      <w:r w:rsidR="00CA464B">
        <w:t>mSv</w:t>
      </w:r>
      <w:proofErr w:type="spellEnd"/>
      <w:r w:rsidR="00CA464B">
        <w:t xml:space="preserve"> </w:t>
      </w:r>
      <w:r>
        <w:t>established by the regulatory body</w:t>
      </w:r>
      <w:r w:rsidRPr="00CA464B">
        <w:t>.</w:t>
      </w:r>
      <w:r w:rsidR="00CA464B" w:rsidRPr="00CA464B">
        <w:t xml:space="preserve"> While in most instances a reference level of 1 </w:t>
      </w:r>
      <w:proofErr w:type="spellStart"/>
      <w:r w:rsidR="00CA464B" w:rsidRPr="00CA464B">
        <w:t>mSv</w:t>
      </w:r>
      <w:proofErr w:type="spellEnd"/>
      <w:r w:rsidR="00CA464B" w:rsidRPr="00CA464B">
        <w:t xml:space="preserve"> or less is appropriate, there may be special circumstances where consideration of a higher value for the reference level may be appropriate, </w:t>
      </w:r>
      <w:r w:rsidR="003E2A64">
        <w:t>owing</w:t>
      </w:r>
      <w:r w:rsidR="003E2A64" w:rsidRPr="00CA464B">
        <w:t xml:space="preserve"> </w:t>
      </w:r>
      <w:r w:rsidR="00CA464B" w:rsidRPr="00CA464B">
        <w:t>to local societal and economic circumstances</w:t>
      </w:r>
      <w:r w:rsidR="003E2A64">
        <w:t>.</w:t>
      </w:r>
    </w:p>
    <w:p w:rsidR="00130700" w:rsidRDefault="00130700" w:rsidP="00072763">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 xml:space="preserve">In developing the national guidelines, the regulatory body or other national authority should consider </w:t>
      </w:r>
      <w:r w:rsidRPr="001D410C">
        <w:t xml:space="preserve">the </w:t>
      </w:r>
      <w:r w:rsidRPr="0044298F">
        <w:t>methodology</w:t>
      </w:r>
      <w:r w:rsidRPr="001D410C">
        <w:t xml:space="preserve"> used, and is required </w:t>
      </w:r>
      <w:r>
        <w:t>to consider the guideline levels for radionuclides contained in food traded internationally that could contain radioactive substances as a result of a nuclear or radiological emergency, published by the Joint FAO/WH</w:t>
      </w:r>
      <w:r w:rsidR="001D410C">
        <w:t>O</w:t>
      </w:r>
      <w:r>
        <w:t xml:space="preserve"> Codex </w:t>
      </w:r>
      <w:proofErr w:type="spellStart"/>
      <w:r>
        <w:t>Alimentarius</w:t>
      </w:r>
      <w:proofErr w:type="spellEnd"/>
      <w:r>
        <w:t xml:space="preserve"> Commission [</w:t>
      </w:r>
      <w:r w:rsidR="00F26039">
        <w:t>2</w:t>
      </w:r>
      <w:r w:rsidR="008576A0">
        <w:t>4</w:t>
      </w:r>
      <w:r>
        <w:t>]</w:t>
      </w:r>
      <w:r w:rsidR="005379CE">
        <w:t xml:space="preserve"> </w:t>
      </w:r>
      <w:r w:rsidR="00EE1050">
        <w:t>(</w:t>
      </w:r>
      <w:r w:rsidR="005379CE">
        <w:t xml:space="preserve">para 5.23 of </w:t>
      </w:r>
      <w:r w:rsidR="00EE1050">
        <w:t xml:space="preserve">GSR Part 3 </w:t>
      </w:r>
      <w:r w:rsidR="005379CE">
        <w:t>[2]</w:t>
      </w:r>
      <w:r w:rsidR="00EE1050">
        <w:t>)</w:t>
      </w:r>
      <w:r>
        <w:t>. It is noted that the Codex guideline values for activity concentration of radionuclides in food were calculated assuming that 10% of the diet consists of imported food, all of which is contaminated, and</w:t>
      </w:r>
      <w:r w:rsidR="003E2A64" w:rsidRPr="003E2A64">
        <w:t xml:space="preserve"> </w:t>
      </w:r>
      <w:r w:rsidR="003E2A64">
        <w:t>assuming</w:t>
      </w:r>
      <w:r>
        <w:t xml:space="preserve"> an exemption level </w:t>
      </w:r>
      <w:r w:rsidR="003E2A64">
        <w:t xml:space="preserve">for interventions </w:t>
      </w:r>
      <w:r>
        <w:t xml:space="preserve">of 1 </w:t>
      </w:r>
      <w:proofErr w:type="spellStart"/>
      <w:r>
        <w:t>mSv</w:t>
      </w:r>
      <w:proofErr w:type="spellEnd"/>
      <w:r>
        <w:t xml:space="preserve"> per year. </w:t>
      </w:r>
    </w:p>
    <w:p w:rsidR="001D410C" w:rsidRDefault="00130700"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 xml:space="preserve">The regulatory body or other national authority should establish a process to determine the compliance of drinking water in the </w:t>
      </w:r>
      <w:r w:rsidR="003E2A64">
        <w:t xml:space="preserve">State </w:t>
      </w:r>
      <w:r>
        <w:t>with the guideline levels for drinking water published by the World Health Organization (WHO) [2</w:t>
      </w:r>
      <w:r w:rsidR="00F36D7D">
        <w:t>5</w:t>
      </w:r>
      <w:r>
        <w:t xml:space="preserve">]. The WHO guideline levels for specific radionuclides are calculated using a generic criterion of 0.1 </w:t>
      </w:r>
      <w:proofErr w:type="spellStart"/>
      <w:r>
        <w:t>mSv</w:t>
      </w:r>
      <w:proofErr w:type="spellEnd"/>
      <w:r>
        <w:t xml:space="preserve"> per year for ingestion.</w:t>
      </w:r>
    </w:p>
    <w:p w:rsidR="00EC0D5F" w:rsidRDefault="00EC0D5F"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t xml:space="preserve">The </w:t>
      </w:r>
      <w:r w:rsidRPr="00725ADC">
        <w:t xml:space="preserve">situation may arise where the </w:t>
      </w:r>
      <w:r w:rsidR="003E2A64">
        <w:t>guideline</w:t>
      </w:r>
      <w:r w:rsidR="003E2A64" w:rsidRPr="00725ADC">
        <w:t xml:space="preserve"> </w:t>
      </w:r>
      <w:r w:rsidRPr="00725ADC">
        <w:t>levels</w:t>
      </w:r>
      <w:r w:rsidR="003E2A64">
        <w:t xml:space="preserve"> for drinking water</w:t>
      </w:r>
      <w:r w:rsidRPr="00725ADC">
        <w:t xml:space="preserve"> are consistently exceeded for one or a combination of radionuclides. The regulatory body or other national authority will then need to make a decision regarding the need to implement protective actions or to place some restriction on the continued use of the water supply for drinking [2</w:t>
      </w:r>
      <w:r w:rsidR="00F36D7D">
        <w:t>5</w:t>
      </w:r>
      <w:r w:rsidRPr="00725ADC">
        <w:t xml:space="preserve">]. In such situations, the </w:t>
      </w:r>
      <w:r>
        <w:t xml:space="preserve">regulatory body or other national authority should establish a reference level for drinking water that would be applied to those water supplies that contain radionuclides that consistently exceed the guideline levels published by the WHO. The regulatory body or other national authority should provide guidance to the public and to water authorities on the need for protective actions or on the need to place restrictions on the use of </w:t>
      </w:r>
      <w:r>
        <w:lastRenderedPageBreak/>
        <w:t>the water supply for drinking</w:t>
      </w:r>
      <w:r w:rsidRPr="00725ADC">
        <w:t>.</w:t>
      </w:r>
      <w:r w:rsidRPr="00EC0D5F">
        <w:t xml:space="preserve"> </w:t>
      </w:r>
      <w:r w:rsidRPr="00725ADC">
        <w:t>The regulatory body or other national authority will need to take account of the availability of other drinking water supplies, and of the costs of protective actions</w:t>
      </w:r>
      <w:r w:rsidR="003E2A64">
        <w:t>,</w:t>
      </w:r>
      <w:r w:rsidRPr="00725ADC">
        <w:t xml:space="preserve"> such as additional water treatment </w:t>
      </w:r>
      <w:r>
        <w:t>[2</w:t>
      </w:r>
      <w:r w:rsidR="008576A0">
        <w:t>5</w:t>
      </w:r>
      <w:r>
        <w:t>].</w:t>
      </w:r>
    </w:p>
    <w:p w:rsidR="00075188" w:rsidRDefault="009B13BE" w:rsidP="000821AB">
      <w:pPr>
        <w:pStyle w:val="ListParagraph"/>
        <w:numPr>
          <w:ilvl w:val="0"/>
          <w:numId w:val="7"/>
        </w:numPr>
        <w:tabs>
          <w:tab w:val="left" w:pos="709"/>
        </w:tabs>
        <w:overflowPunct w:val="0"/>
        <w:autoSpaceDE w:val="0"/>
        <w:autoSpaceDN w:val="0"/>
        <w:adjustRightInd w:val="0"/>
        <w:spacing w:after="120" w:line="360" w:lineRule="auto"/>
        <w:ind w:left="0" w:firstLine="0"/>
        <w:contextualSpacing w:val="0"/>
        <w:jc w:val="both"/>
        <w:textAlignment w:val="baseline"/>
      </w:pPr>
      <w:r w:rsidRPr="00EB459A">
        <w:t>Para</w:t>
      </w:r>
      <w:r w:rsidR="0053237A">
        <w:t>graph</w:t>
      </w:r>
      <w:r w:rsidRPr="00EB459A">
        <w:t xml:space="preserve"> 5.9 of</w:t>
      </w:r>
      <w:r w:rsidR="0053237A">
        <w:t xml:space="preserve"> </w:t>
      </w:r>
      <w:r w:rsidR="008B2799">
        <w:t>GSR Part 3</w:t>
      </w:r>
      <w:r w:rsidR="005217D7" w:rsidRPr="00EB459A">
        <w:t xml:space="preserve"> </w:t>
      </w:r>
      <w:r w:rsidR="00871F51">
        <w:t xml:space="preserve">[2] </w:t>
      </w:r>
      <w:r w:rsidRPr="00EB459A">
        <w:t>state</w:t>
      </w:r>
      <w:r w:rsidR="00C64282">
        <w:t>s</w:t>
      </w:r>
      <w:r w:rsidRPr="00EB459A">
        <w:t xml:space="preserve"> that </w:t>
      </w:r>
    </w:p>
    <w:p w:rsidR="00C30F8F" w:rsidRPr="00EB459A" w:rsidRDefault="007F19DB" w:rsidP="00BB4496">
      <w:pPr>
        <w:tabs>
          <w:tab w:val="left" w:pos="709"/>
        </w:tabs>
        <w:spacing w:after="120" w:line="360" w:lineRule="auto"/>
        <w:ind w:left="567"/>
      </w:pPr>
      <w:r w:rsidRPr="00EB459A">
        <w:t>“</w:t>
      </w:r>
      <w:r w:rsidR="009B13BE" w:rsidRPr="00EB459A">
        <w:t>The regulatory body or other relevant authority shall periodically review the reference levels to ensure that they remain appropriate in the light of the prevailing circumstances.</w:t>
      </w:r>
      <w:r w:rsidRPr="00EB459A">
        <w:t>”</w:t>
      </w:r>
    </w:p>
    <w:p w:rsidR="00C30F8F" w:rsidRPr="00EB459A" w:rsidRDefault="008518DE" w:rsidP="00974B83">
      <w:pPr>
        <w:pStyle w:val="ListParagraph"/>
        <w:numPr>
          <w:ilvl w:val="0"/>
          <w:numId w:val="7"/>
        </w:numPr>
        <w:overflowPunct w:val="0"/>
        <w:autoSpaceDE w:val="0"/>
        <w:autoSpaceDN w:val="0"/>
        <w:adjustRightInd w:val="0"/>
        <w:spacing w:after="120" w:line="360" w:lineRule="auto"/>
        <w:contextualSpacing w:val="0"/>
        <w:jc w:val="both"/>
        <w:textAlignment w:val="baseline"/>
      </w:pPr>
      <w:r w:rsidRPr="00EB459A">
        <w:br w:type="page"/>
      </w:r>
    </w:p>
    <w:p w:rsidR="00D705FB" w:rsidRPr="00AD5541" w:rsidRDefault="00D705FB" w:rsidP="00AD5541">
      <w:pPr>
        <w:pStyle w:val="Heading1"/>
        <w:spacing w:after="120" w:line="360" w:lineRule="auto"/>
        <w:rPr>
          <w:lang w:val="en-GB"/>
        </w:rPr>
      </w:pPr>
      <w:bookmarkStart w:id="21" w:name="_Toc395194316"/>
      <w:bookmarkStart w:id="22" w:name="_Toc396137876"/>
      <w:r w:rsidRPr="00AD5541">
        <w:rPr>
          <w:lang w:val="en-GB"/>
        </w:rPr>
        <w:lastRenderedPageBreak/>
        <w:t>PROTECTION OF the ENVIRONMENT</w:t>
      </w:r>
      <w:bookmarkEnd w:id="21"/>
    </w:p>
    <w:p w:rsidR="000725EF" w:rsidRPr="00EB0A5B" w:rsidRDefault="000725EF" w:rsidP="000725EF">
      <w:pPr>
        <w:pStyle w:val="BodyText"/>
        <w:numPr>
          <w:ilvl w:val="1"/>
          <w:numId w:val="1"/>
        </w:numPr>
        <w:tabs>
          <w:tab w:val="clear" w:pos="360"/>
          <w:tab w:val="num" w:pos="709"/>
        </w:tabs>
        <w:spacing w:after="120" w:line="360" w:lineRule="auto"/>
        <w:rPr>
          <w:bCs/>
          <w:lang w:val="en-GB"/>
        </w:rPr>
      </w:pPr>
      <w:r w:rsidRPr="00AD5541">
        <w:rPr>
          <w:rFonts w:eastAsia="TimesNewRoman"/>
          <w:lang w:val="en-GB"/>
        </w:rPr>
        <w:t xml:space="preserve">According to </w:t>
      </w:r>
      <w:r w:rsidR="00474778">
        <w:rPr>
          <w:rFonts w:eastAsia="TimesNewRoman"/>
          <w:lang w:val="en-GB"/>
        </w:rPr>
        <w:t xml:space="preserve">the </w:t>
      </w:r>
      <w:r w:rsidRPr="00AD5541">
        <w:rPr>
          <w:rFonts w:eastAsia="TimesNewRoman"/>
          <w:lang w:val="en-GB"/>
        </w:rPr>
        <w:t xml:space="preserve">ICRP [5, </w:t>
      </w:r>
      <w:r w:rsidR="00F26039">
        <w:rPr>
          <w:rFonts w:eastAsia="TimesNewRoman"/>
          <w:lang w:val="en-GB"/>
        </w:rPr>
        <w:t xml:space="preserve">6, 7, </w:t>
      </w:r>
      <w:r w:rsidR="00855426">
        <w:rPr>
          <w:rFonts w:eastAsia="TimesNewRoman"/>
          <w:lang w:val="en-GB"/>
        </w:rPr>
        <w:t>2</w:t>
      </w:r>
      <w:r w:rsidR="008576A0">
        <w:rPr>
          <w:rFonts w:eastAsia="TimesNewRoman"/>
          <w:lang w:val="en-GB"/>
        </w:rPr>
        <w:t>6</w:t>
      </w:r>
      <w:r w:rsidRPr="00AD5541">
        <w:rPr>
          <w:rFonts w:eastAsia="TimesNewRoman"/>
          <w:lang w:val="en-GB"/>
        </w:rPr>
        <w:t>]</w:t>
      </w:r>
      <w:r w:rsidR="00474778">
        <w:rPr>
          <w:rFonts w:eastAsia="TimesNewRoman"/>
          <w:lang w:val="en-GB"/>
        </w:rPr>
        <w:t>,</w:t>
      </w:r>
      <w:r w:rsidRPr="00AD5541">
        <w:rPr>
          <w:rFonts w:eastAsia="TimesNewRoman"/>
          <w:lang w:val="en-GB"/>
        </w:rPr>
        <w:t xml:space="preserve"> the aims of environmental protection are to prevent or reduce the frequency of deleterious radiation effects on</w:t>
      </w:r>
      <w:r>
        <w:rPr>
          <w:rFonts w:eastAsia="TimesNewRoman"/>
          <w:lang w:val="en-GB"/>
        </w:rPr>
        <w:t xml:space="preserve"> flora and fauna</w:t>
      </w:r>
      <w:r w:rsidRPr="00AD5541">
        <w:rPr>
          <w:rFonts w:eastAsia="TimesNewRoman"/>
          <w:lang w:val="en-GB"/>
        </w:rPr>
        <w:t xml:space="preserve"> to a level where they would have a negligible impact on the maintenance of biological diversity, the conservation of species, or the health and </w:t>
      </w:r>
      <w:r w:rsidRPr="00EB0A5B">
        <w:rPr>
          <w:rFonts w:eastAsia="TimesNewRoman"/>
          <w:lang w:val="en-GB"/>
        </w:rPr>
        <w:t>status of natural habitats, communities, and ecosystems.</w:t>
      </w:r>
      <w:r w:rsidRPr="00AD5541">
        <w:rPr>
          <w:rFonts w:eastAsia="TimesNewRoman"/>
          <w:lang w:val="en-GB"/>
        </w:rPr>
        <w:t xml:space="preserve"> </w:t>
      </w:r>
      <w:r w:rsidR="00674991">
        <w:rPr>
          <w:rFonts w:eastAsia="TimesNewRoman"/>
          <w:lang w:val="en-GB"/>
        </w:rPr>
        <w:t xml:space="preserve">The </w:t>
      </w:r>
      <w:r w:rsidRPr="00AD5541">
        <w:rPr>
          <w:rFonts w:eastAsia="TimesNewRoman"/>
          <w:lang w:val="en-GB"/>
        </w:rPr>
        <w:t xml:space="preserve">IAEA </w:t>
      </w:r>
      <w:r w:rsidR="00674991">
        <w:rPr>
          <w:rFonts w:eastAsia="TimesNewRoman"/>
          <w:lang w:val="en-GB"/>
        </w:rPr>
        <w:t xml:space="preserve">Safety Fundamentals </w:t>
      </w:r>
      <w:r w:rsidR="00C00C3A">
        <w:rPr>
          <w:rFonts w:eastAsia="TimesNewRoman"/>
          <w:lang w:val="en-GB"/>
        </w:rPr>
        <w:t xml:space="preserve">SF-1 </w:t>
      </w:r>
      <w:r w:rsidRPr="00AD5541">
        <w:rPr>
          <w:rFonts w:eastAsia="TimesNewRoman"/>
          <w:lang w:val="en-GB"/>
        </w:rPr>
        <w:t>[</w:t>
      </w:r>
      <w:r w:rsidR="00674991">
        <w:rPr>
          <w:rFonts w:eastAsia="TimesNewRoman"/>
          <w:lang w:val="en-GB"/>
        </w:rPr>
        <w:t>1</w:t>
      </w:r>
      <w:r w:rsidRPr="00AD5541">
        <w:rPr>
          <w:rFonts w:eastAsia="TimesNewRoman"/>
          <w:lang w:val="en-GB"/>
        </w:rPr>
        <w:t xml:space="preserve">] </w:t>
      </w:r>
      <w:r w:rsidR="00674991">
        <w:rPr>
          <w:rFonts w:eastAsia="TimesNewRoman"/>
          <w:lang w:val="en-GB"/>
        </w:rPr>
        <w:t xml:space="preserve">recognizes that the present system of radiation protection generally provides appropriate protection of ecosystems in the human environment </w:t>
      </w:r>
      <w:r w:rsidR="00474778">
        <w:rPr>
          <w:rFonts w:eastAsia="TimesNewRoman"/>
          <w:lang w:val="en-GB"/>
        </w:rPr>
        <w:t xml:space="preserve">from </w:t>
      </w:r>
      <w:r w:rsidR="00674991">
        <w:rPr>
          <w:rFonts w:eastAsia="TimesNewRoman"/>
          <w:lang w:val="en-GB"/>
        </w:rPr>
        <w:t xml:space="preserve">harmful effects of radiation exposure. </w:t>
      </w:r>
      <w:r w:rsidR="00C00C3A">
        <w:rPr>
          <w:rFonts w:eastAsia="TimesNewRoman"/>
          <w:lang w:val="en-GB"/>
        </w:rPr>
        <w:t xml:space="preserve">Paragraph 3.28 of SF-1 states that </w:t>
      </w:r>
      <w:r w:rsidRPr="00EB0A5B">
        <w:rPr>
          <w:rFonts w:eastAsia="TimesNewRoman"/>
          <w:lang w:val="en-GB"/>
        </w:rPr>
        <w:t>“</w:t>
      </w:r>
      <w:r w:rsidRPr="00EB0A5B">
        <w:rPr>
          <w:rFonts w:eastAsia="TimesNewRoman"/>
        </w:rPr>
        <w:t>The general</w:t>
      </w:r>
      <w:r w:rsidRPr="007F19DB">
        <w:rPr>
          <w:rFonts w:eastAsia="TimesNewRoman"/>
        </w:rPr>
        <w:t xml:space="preserve"> intent of the measures taken for the purposes of environmental protection has been to </w:t>
      </w:r>
      <w:r w:rsidRPr="00EB0A5B">
        <w:rPr>
          <w:rFonts w:eastAsia="TimesNewRoman"/>
        </w:rPr>
        <w:t>protect</w:t>
      </w:r>
      <w:r w:rsidRPr="00EB0A5B">
        <w:rPr>
          <w:rFonts w:eastAsia="TimesNewRoman"/>
          <w:lang w:val="en-GB"/>
        </w:rPr>
        <w:t xml:space="preserve"> ecosystems against radiation exposure that would have adverse consequences for populations of a species (as distinct from individual organisms)”.</w:t>
      </w:r>
    </w:p>
    <w:p w:rsidR="00474778" w:rsidRPr="00FF3614" w:rsidRDefault="00C00C3A" w:rsidP="00C00C3A">
      <w:pPr>
        <w:pStyle w:val="BodyText"/>
        <w:numPr>
          <w:ilvl w:val="1"/>
          <w:numId w:val="1"/>
        </w:numPr>
        <w:tabs>
          <w:tab w:val="clear" w:pos="360"/>
          <w:tab w:val="num" w:pos="709"/>
        </w:tabs>
        <w:spacing w:after="120" w:line="360" w:lineRule="auto"/>
        <w:rPr>
          <w:lang w:val="en-GB"/>
        </w:rPr>
      </w:pPr>
      <w:r>
        <w:rPr>
          <w:bCs/>
          <w:lang w:val="en-GB"/>
        </w:rPr>
        <w:t xml:space="preserve">Paragraph 1.34 of </w:t>
      </w:r>
      <w:r w:rsidRPr="00C64282">
        <w:rPr>
          <w:bCs/>
          <w:lang w:val="en-GB"/>
        </w:rPr>
        <w:t>GSR Part 3</w:t>
      </w:r>
      <w:r>
        <w:rPr>
          <w:bCs/>
          <w:lang w:val="en-GB"/>
        </w:rPr>
        <w:t xml:space="preserve"> [2] </w:t>
      </w:r>
      <w:r w:rsidRPr="00C64282">
        <w:rPr>
          <w:bCs/>
          <w:lang w:val="en-GB"/>
        </w:rPr>
        <w:t xml:space="preserve">states that </w:t>
      </w:r>
    </w:p>
    <w:p w:rsidR="00474778" w:rsidRDefault="00C00C3A" w:rsidP="00BB4496">
      <w:pPr>
        <w:pStyle w:val="BodyText"/>
        <w:spacing w:after="120" w:line="360" w:lineRule="auto"/>
        <w:ind w:left="567"/>
        <w:rPr>
          <w:lang w:val="en-GB"/>
        </w:rPr>
      </w:pPr>
      <w:r w:rsidRPr="00C64282">
        <w:rPr>
          <w:bCs/>
          <w:lang w:val="en-GB"/>
        </w:rPr>
        <w:t>“Radiological impacts in a particular environment constitute only one type of impact and, in most cases, may not be the dominant impact</w:t>
      </w:r>
      <w:r w:rsidR="00474778">
        <w:rPr>
          <w:bCs/>
          <w:lang w:val="en-GB"/>
        </w:rPr>
        <w:t>s</w:t>
      </w:r>
      <w:r w:rsidRPr="00C64282">
        <w:rPr>
          <w:bCs/>
          <w:lang w:val="en-GB"/>
        </w:rPr>
        <w:t xml:space="preserve"> of a particular facility or activity. Furthermore, the assessment of impacts on the environment needs to be viewed in an integrated manner with other features of the system of protection and safety to establish the requirements applicable to a particular source. Since there are complex</w:t>
      </w:r>
      <w:r w:rsidRPr="00747E71">
        <w:rPr>
          <w:lang w:val="en-GB"/>
        </w:rPr>
        <w:t xml:space="preserve"> interrelations, the approach to the protection of people and the environment is not limited to the prevention of radiological effects on human health and on other species. When establishing regulations, an integrated perspective has to be adopted to ensure the sustainability, now and in the future, of agriculture, forestry, fisheries and tourism, and of the use of natural resources”. </w:t>
      </w:r>
    </w:p>
    <w:p w:rsidR="00C00C3A" w:rsidRPr="00747E71" w:rsidRDefault="00474778" w:rsidP="00BB4496">
      <w:pPr>
        <w:pStyle w:val="BodyText"/>
        <w:spacing w:after="120" w:line="360" w:lineRule="auto"/>
        <w:rPr>
          <w:lang w:val="en-GB"/>
        </w:rPr>
      </w:pPr>
      <w:r>
        <w:rPr>
          <w:lang w:val="en-GB"/>
        </w:rPr>
        <w:t>I</w:t>
      </w:r>
      <w:r w:rsidR="00C00C3A" w:rsidRPr="00747E71">
        <w:rPr>
          <w:lang w:val="en-GB"/>
        </w:rPr>
        <w:t>n general</w:t>
      </w:r>
      <w:r>
        <w:rPr>
          <w:lang w:val="en-GB"/>
        </w:rPr>
        <w:t xml:space="preserve"> this is</w:t>
      </w:r>
      <w:r w:rsidR="00C00C3A" w:rsidRPr="00747E71">
        <w:rPr>
          <w:lang w:val="en-GB"/>
        </w:rPr>
        <w:t xml:space="preserve"> </w:t>
      </w:r>
      <w:r>
        <w:rPr>
          <w:lang w:val="en-GB"/>
        </w:rPr>
        <w:t>achieved</w:t>
      </w:r>
      <w:r w:rsidRPr="00747E71">
        <w:rPr>
          <w:lang w:val="en-GB"/>
        </w:rPr>
        <w:t xml:space="preserve"> </w:t>
      </w:r>
      <w:r w:rsidR="00C00C3A" w:rsidRPr="00747E71">
        <w:rPr>
          <w:lang w:val="en-GB"/>
        </w:rPr>
        <w:t xml:space="preserve">by the appropriate application of the optimization principle [2]. </w:t>
      </w:r>
    </w:p>
    <w:p w:rsidR="00BF58ED" w:rsidRPr="00FC427C" w:rsidRDefault="00FC427C">
      <w:pPr>
        <w:pStyle w:val="BodyText"/>
        <w:numPr>
          <w:ilvl w:val="1"/>
          <w:numId w:val="1"/>
        </w:numPr>
        <w:tabs>
          <w:tab w:val="num" w:pos="709"/>
        </w:tabs>
        <w:spacing w:after="120" w:line="360" w:lineRule="auto"/>
        <w:rPr>
          <w:bCs/>
          <w:lang w:val="en-GB"/>
        </w:rPr>
      </w:pPr>
      <w:r w:rsidRPr="00FC427C">
        <w:rPr>
          <w:bCs/>
          <w:lang w:val="en-GB"/>
        </w:rPr>
        <w:t xml:space="preserve">Some States, on the basis of </w:t>
      </w:r>
      <w:r w:rsidR="001B5449">
        <w:rPr>
          <w:bCs/>
          <w:lang w:val="en-GB"/>
        </w:rPr>
        <w:t xml:space="preserve">evidence such as </w:t>
      </w:r>
      <w:r w:rsidRPr="00FC427C">
        <w:rPr>
          <w:bCs/>
          <w:lang w:val="en-GB"/>
        </w:rPr>
        <w:t xml:space="preserve">experience or simplified analysis, may consider that specific assessment of effects in the environment is not necessary. In these cases, the regulatory body may decide that the radiological environmental impact assessment does not need to include explicit consideration of exposures of flora and fauna. </w:t>
      </w:r>
    </w:p>
    <w:p w:rsidR="0095256E" w:rsidRDefault="00FC427C" w:rsidP="0095256E">
      <w:pPr>
        <w:pStyle w:val="BodyText"/>
        <w:numPr>
          <w:ilvl w:val="1"/>
          <w:numId w:val="1"/>
        </w:numPr>
        <w:tabs>
          <w:tab w:val="clear" w:pos="360"/>
          <w:tab w:val="num" w:pos="709"/>
        </w:tabs>
        <w:spacing w:after="120" w:line="360" w:lineRule="auto"/>
        <w:rPr>
          <w:bCs/>
          <w:lang w:val="en-GB"/>
        </w:rPr>
      </w:pPr>
      <w:bookmarkStart w:id="23" w:name="_GoBack"/>
      <w:r w:rsidRPr="00FC427C">
        <w:rPr>
          <w:bCs/>
          <w:lang w:val="en-GB"/>
        </w:rPr>
        <w:t xml:space="preserve">Other States may consider </w:t>
      </w:r>
      <w:r w:rsidRPr="00982E71">
        <w:rPr>
          <w:bCs/>
          <w:lang w:val="en-GB"/>
        </w:rPr>
        <w:t>that it is necessary to include in the radiological environmental impacts assessments for certain facilities and activities the estimation and control of exposures of flora and fauna.</w:t>
      </w:r>
      <w:bookmarkEnd w:id="23"/>
    </w:p>
    <w:p w:rsidR="00075188" w:rsidRPr="00392E6D" w:rsidRDefault="0056204A" w:rsidP="0056204A">
      <w:pPr>
        <w:pStyle w:val="BodyText"/>
        <w:numPr>
          <w:ilvl w:val="1"/>
          <w:numId w:val="1"/>
        </w:numPr>
        <w:tabs>
          <w:tab w:val="clear" w:pos="360"/>
          <w:tab w:val="num" w:pos="709"/>
        </w:tabs>
        <w:spacing w:after="120" w:line="360" w:lineRule="auto"/>
        <w:rPr>
          <w:lang w:val="en-GB"/>
        </w:rPr>
      </w:pPr>
      <w:r>
        <w:rPr>
          <w:bCs/>
          <w:lang w:val="en-GB"/>
        </w:rPr>
        <w:t xml:space="preserve">Paragraph 3.9(e) of </w:t>
      </w:r>
      <w:r w:rsidRPr="0045207A">
        <w:rPr>
          <w:bCs/>
          <w:lang w:val="en-GB"/>
        </w:rPr>
        <w:t xml:space="preserve">GSR Part 3 </w:t>
      </w:r>
      <w:r>
        <w:rPr>
          <w:bCs/>
          <w:lang w:val="en-GB"/>
        </w:rPr>
        <w:t xml:space="preserve">[2] </w:t>
      </w:r>
      <w:r w:rsidR="00075188">
        <w:rPr>
          <w:bCs/>
          <w:lang w:val="en-GB"/>
        </w:rPr>
        <w:t>states</w:t>
      </w:r>
      <w:r w:rsidR="00075188" w:rsidRPr="0045207A">
        <w:rPr>
          <w:bCs/>
          <w:lang w:val="en-GB"/>
        </w:rPr>
        <w:t xml:space="preserve"> </w:t>
      </w:r>
      <w:r w:rsidRPr="00B63159">
        <w:rPr>
          <w:bCs/>
          <w:lang w:val="en-GB"/>
        </w:rPr>
        <w:t xml:space="preserve">that </w:t>
      </w:r>
    </w:p>
    <w:p w:rsidR="0056204A" w:rsidRPr="00B63159" w:rsidRDefault="0056204A" w:rsidP="00BB4496">
      <w:pPr>
        <w:pStyle w:val="BodyText"/>
        <w:spacing w:after="120" w:line="360" w:lineRule="auto"/>
        <w:ind w:left="567"/>
        <w:rPr>
          <w:lang w:val="en-GB"/>
        </w:rPr>
      </w:pPr>
      <w:r w:rsidRPr="00B63159">
        <w:rPr>
          <w:bCs/>
          <w:lang w:val="en-GB"/>
        </w:rPr>
        <w:lastRenderedPageBreak/>
        <w:t>“</w:t>
      </w:r>
      <w:r w:rsidR="00075188">
        <w:rPr>
          <w:bCs/>
          <w:lang w:val="en-GB"/>
        </w:rPr>
        <w:t>A</w:t>
      </w:r>
      <w:r w:rsidRPr="00B63159">
        <w:rPr>
          <w:bCs/>
          <w:lang w:val="en-GB"/>
        </w:rPr>
        <w:t>ny person or organization applying for authorization</w:t>
      </w:r>
      <w:r w:rsidR="00075188">
        <w:rPr>
          <w:bCs/>
          <w:lang w:val="en-GB"/>
        </w:rPr>
        <w:t>….</w:t>
      </w:r>
      <w:r w:rsidRPr="00B63159">
        <w:rPr>
          <w:bCs/>
          <w:lang w:val="en-GB"/>
        </w:rPr>
        <w:t xml:space="preserve"> </w:t>
      </w:r>
      <w:r w:rsidR="00075188">
        <w:rPr>
          <w:lang w:val="en-GB"/>
        </w:rPr>
        <w:t>S</w:t>
      </w:r>
      <w:r w:rsidRPr="00B63159">
        <w:rPr>
          <w:lang w:val="en-GB"/>
        </w:rPr>
        <w:t>hall, as required by the regulatory body, have an appropriate prospective assessment made for radiological environmental impacts, commensurate with the radiation risks associated with the facility or activity”.</w:t>
      </w:r>
    </w:p>
    <w:p w:rsidR="00075188" w:rsidRPr="00392E6D" w:rsidRDefault="0056204A" w:rsidP="0056204A">
      <w:pPr>
        <w:pStyle w:val="BodyText"/>
        <w:numPr>
          <w:ilvl w:val="1"/>
          <w:numId w:val="1"/>
        </w:numPr>
        <w:tabs>
          <w:tab w:val="clear" w:pos="360"/>
          <w:tab w:val="num" w:pos="709"/>
        </w:tabs>
        <w:spacing w:after="120" w:line="360" w:lineRule="auto"/>
        <w:rPr>
          <w:lang w:val="en-GB"/>
        </w:rPr>
      </w:pPr>
      <w:r w:rsidRPr="00B63159">
        <w:rPr>
          <w:bCs/>
          <w:lang w:val="en-GB"/>
        </w:rPr>
        <w:t xml:space="preserve">Requirement 9 </w:t>
      </w:r>
      <w:r>
        <w:rPr>
          <w:bCs/>
          <w:lang w:val="en-GB"/>
        </w:rPr>
        <w:t xml:space="preserve">and para. 3.15 </w:t>
      </w:r>
      <w:r w:rsidRPr="00B63159">
        <w:rPr>
          <w:bCs/>
          <w:lang w:val="en-GB"/>
        </w:rPr>
        <w:t xml:space="preserve">of GSR Part 3 </w:t>
      </w:r>
      <w:r>
        <w:rPr>
          <w:lang w:val="en-GB"/>
        </w:rPr>
        <w:t>[2]</w:t>
      </w:r>
      <w:r w:rsidRPr="00B63159">
        <w:rPr>
          <w:bCs/>
          <w:lang w:val="en-GB"/>
        </w:rPr>
        <w:t xml:space="preserve"> </w:t>
      </w:r>
      <w:r w:rsidR="00474778">
        <w:rPr>
          <w:bCs/>
          <w:lang w:val="en-GB"/>
        </w:rPr>
        <w:t>state</w:t>
      </w:r>
      <w:r w:rsidR="00474778" w:rsidRPr="00B63159">
        <w:rPr>
          <w:bCs/>
          <w:lang w:val="en-GB"/>
        </w:rPr>
        <w:t xml:space="preserve"> </w:t>
      </w:r>
      <w:r w:rsidRPr="00B63159">
        <w:rPr>
          <w:bCs/>
          <w:lang w:val="en-GB"/>
        </w:rPr>
        <w:t xml:space="preserve">the responsibilities of registrants and licensees in planned exposure situations. </w:t>
      </w:r>
      <w:r w:rsidR="00474778">
        <w:rPr>
          <w:bCs/>
          <w:lang w:val="en-GB"/>
        </w:rPr>
        <w:t>Paragraph 3.15(d) of GSR Part 3 [2]</w:t>
      </w:r>
      <w:r w:rsidR="00474778" w:rsidRPr="00B63159">
        <w:rPr>
          <w:bCs/>
          <w:lang w:val="en-GB"/>
        </w:rPr>
        <w:t xml:space="preserve"> </w:t>
      </w:r>
      <w:r w:rsidRPr="00B63159">
        <w:rPr>
          <w:bCs/>
          <w:lang w:val="en-GB"/>
        </w:rPr>
        <w:t xml:space="preserve">states that </w:t>
      </w:r>
    </w:p>
    <w:p w:rsidR="0056204A" w:rsidRPr="00B63159" w:rsidRDefault="0056204A" w:rsidP="00BB4496">
      <w:pPr>
        <w:pStyle w:val="BodyText"/>
        <w:spacing w:after="120" w:line="360" w:lineRule="auto"/>
        <w:ind w:left="567"/>
        <w:rPr>
          <w:lang w:val="en-GB"/>
        </w:rPr>
      </w:pPr>
      <w:r w:rsidRPr="00B63159">
        <w:rPr>
          <w:bCs/>
          <w:lang w:val="en-GB"/>
        </w:rPr>
        <w:t>“</w:t>
      </w:r>
      <w:r w:rsidR="00075188">
        <w:rPr>
          <w:bCs/>
          <w:lang w:val="en-GB"/>
        </w:rPr>
        <w:t>R</w:t>
      </w:r>
      <w:r w:rsidRPr="00B63159">
        <w:rPr>
          <w:bCs/>
          <w:lang w:val="en-GB"/>
        </w:rPr>
        <w:t>egistrants and licensees</w:t>
      </w:r>
      <w:r w:rsidR="00075188">
        <w:rPr>
          <w:bCs/>
          <w:lang w:val="en-GB"/>
        </w:rPr>
        <w:t>….</w:t>
      </w:r>
      <w:r w:rsidRPr="00B63159">
        <w:rPr>
          <w:bCs/>
          <w:lang w:val="en-GB"/>
        </w:rPr>
        <w:t xml:space="preserve"> </w:t>
      </w:r>
      <w:r w:rsidR="00075188">
        <w:rPr>
          <w:lang w:val="en-GB"/>
        </w:rPr>
        <w:t>S</w:t>
      </w:r>
      <w:r w:rsidRPr="00B63159">
        <w:rPr>
          <w:lang w:val="en-GB"/>
        </w:rPr>
        <w:t xml:space="preserve">hall, for the sources for which they are authorized and for which the regulatory body requires a prospective assessment to be made for radiological environmental impacts…, conduct such an assessment and keep it up to date”. </w:t>
      </w:r>
    </w:p>
    <w:p w:rsidR="0095256E" w:rsidRPr="00BB3667" w:rsidRDefault="00F42444" w:rsidP="0095256E">
      <w:pPr>
        <w:pStyle w:val="BodyText"/>
        <w:numPr>
          <w:ilvl w:val="1"/>
          <w:numId w:val="1"/>
        </w:numPr>
        <w:tabs>
          <w:tab w:val="clear" w:pos="360"/>
          <w:tab w:val="num" w:pos="709"/>
        </w:tabs>
        <w:spacing w:after="120" w:line="360" w:lineRule="auto"/>
        <w:rPr>
          <w:bCs/>
          <w:lang w:val="en-GB"/>
        </w:rPr>
      </w:pPr>
      <w:r w:rsidRPr="0095256E">
        <w:rPr>
          <w:rFonts w:eastAsia="TimesNewRoman"/>
        </w:rPr>
        <w:t>DS427 [</w:t>
      </w:r>
      <w:r w:rsidR="00824FD8" w:rsidRPr="0095256E">
        <w:rPr>
          <w:rFonts w:eastAsia="TimesNewRoman"/>
        </w:rPr>
        <w:t>9</w:t>
      </w:r>
      <w:r w:rsidRPr="0095256E">
        <w:rPr>
          <w:rFonts w:eastAsia="TimesNewRoman"/>
        </w:rPr>
        <w:t>] provides a framework for the prospective assessment of radiological environmental impact in planned exposure situations</w:t>
      </w:r>
      <w:r w:rsidR="00572F18" w:rsidRPr="0095256E">
        <w:rPr>
          <w:rFonts w:eastAsia="TimesNewRoman"/>
        </w:rPr>
        <w:t>, which includes the assessment and control of the impact of radioactive releases during normal operation</w:t>
      </w:r>
      <w:r w:rsidR="00105226" w:rsidRPr="0095256E">
        <w:rPr>
          <w:rFonts w:eastAsia="TimesNewRoman"/>
        </w:rPr>
        <w:t xml:space="preserve">, on the </w:t>
      </w:r>
      <w:r w:rsidR="00474778">
        <w:rPr>
          <w:rFonts w:eastAsia="TimesNewRoman"/>
        </w:rPr>
        <w:t xml:space="preserve">basis of the </w:t>
      </w:r>
      <w:r w:rsidR="00105226" w:rsidRPr="0095256E">
        <w:rPr>
          <w:rFonts w:eastAsia="TimesNewRoman"/>
        </w:rPr>
        <w:t>scientific knowledge of radiation effects</w:t>
      </w:r>
      <w:r w:rsidR="00474778">
        <w:rPr>
          <w:rFonts w:eastAsia="TimesNewRoman"/>
        </w:rPr>
        <w:t>;</w:t>
      </w:r>
      <w:r w:rsidR="00105226" w:rsidRPr="0095256E">
        <w:rPr>
          <w:rFonts w:eastAsia="TimesNewRoman"/>
        </w:rPr>
        <w:t xml:space="preserve"> </w:t>
      </w:r>
      <w:r w:rsidR="00474778">
        <w:rPr>
          <w:rFonts w:eastAsia="TimesNewRoman"/>
        </w:rPr>
        <w:t>use of such a framework</w:t>
      </w:r>
      <w:r w:rsidR="00474778" w:rsidRPr="0095256E">
        <w:rPr>
          <w:rFonts w:eastAsia="TimesNewRoman"/>
        </w:rPr>
        <w:t xml:space="preserve"> </w:t>
      </w:r>
      <w:r w:rsidR="00105226" w:rsidRPr="0095256E">
        <w:rPr>
          <w:rFonts w:eastAsia="TimesNewRoman"/>
        </w:rPr>
        <w:t xml:space="preserve">should not impose </w:t>
      </w:r>
      <w:r w:rsidR="00474778">
        <w:rPr>
          <w:rFonts w:eastAsia="TimesNewRoman"/>
        </w:rPr>
        <w:t xml:space="preserve">an </w:t>
      </w:r>
      <w:r w:rsidR="00105226" w:rsidRPr="0095256E">
        <w:rPr>
          <w:rFonts w:eastAsia="TimesNewRoman"/>
        </w:rPr>
        <w:t xml:space="preserve">unnecessary burden </w:t>
      </w:r>
      <w:r w:rsidR="00474778">
        <w:rPr>
          <w:rFonts w:eastAsia="TimesNewRoman"/>
        </w:rPr>
        <w:t>on</w:t>
      </w:r>
      <w:r w:rsidR="00474778" w:rsidRPr="0095256E">
        <w:rPr>
          <w:rFonts w:eastAsia="TimesNewRoman"/>
        </w:rPr>
        <w:t xml:space="preserve"> </w:t>
      </w:r>
      <w:r w:rsidR="00D57F7C">
        <w:rPr>
          <w:rFonts w:eastAsia="TimesNewRoman"/>
        </w:rPr>
        <w:t>registrants and licensees or on the</w:t>
      </w:r>
      <w:r w:rsidR="00105226" w:rsidRPr="0095256E">
        <w:rPr>
          <w:rFonts w:eastAsia="TimesNewRoman"/>
        </w:rPr>
        <w:t xml:space="preserve"> regulator</w:t>
      </w:r>
      <w:r w:rsidR="00D57F7C">
        <w:rPr>
          <w:rFonts w:eastAsia="TimesNewRoman"/>
        </w:rPr>
        <w:t>y body</w:t>
      </w:r>
      <w:r w:rsidR="00105226" w:rsidRPr="0095256E">
        <w:rPr>
          <w:rFonts w:eastAsia="TimesNewRoman"/>
        </w:rPr>
        <w:t xml:space="preserve">. </w:t>
      </w:r>
      <w:r w:rsidR="000B7DC8" w:rsidRPr="0095256E">
        <w:rPr>
          <w:rFonts w:eastAsia="TimesNewRoman"/>
        </w:rPr>
        <w:t>DS427 [</w:t>
      </w:r>
      <w:r w:rsidR="00824FD8" w:rsidRPr="0095256E">
        <w:rPr>
          <w:rFonts w:eastAsia="TimesNewRoman"/>
        </w:rPr>
        <w:t>9</w:t>
      </w:r>
      <w:r w:rsidR="000B7DC8" w:rsidRPr="0095256E">
        <w:rPr>
          <w:rFonts w:eastAsia="TimesNewRoman"/>
        </w:rPr>
        <w:t xml:space="preserve">] discusses the aspects to be considered when assessing prospectively </w:t>
      </w:r>
      <w:r w:rsidR="00D57F7C">
        <w:rPr>
          <w:rFonts w:eastAsia="TimesNewRoman"/>
        </w:rPr>
        <w:t xml:space="preserve">the </w:t>
      </w:r>
      <w:r w:rsidR="000B7DC8" w:rsidRPr="0095256E">
        <w:rPr>
          <w:rFonts w:eastAsia="TimesNewRoman"/>
        </w:rPr>
        <w:t xml:space="preserve">radiological environmental impact for planned exposure situations and provides, in </w:t>
      </w:r>
      <w:r w:rsidR="009D6431" w:rsidRPr="0095256E">
        <w:rPr>
          <w:rFonts w:eastAsia="TimesNewRoman"/>
        </w:rPr>
        <w:t>A</w:t>
      </w:r>
      <w:r w:rsidR="000B7DC8" w:rsidRPr="0095256E">
        <w:rPr>
          <w:rFonts w:eastAsia="TimesNewRoman"/>
        </w:rPr>
        <w:t>nnex</w:t>
      </w:r>
      <w:r w:rsidR="009D6431" w:rsidRPr="0095256E">
        <w:rPr>
          <w:rFonts w:eastAsia="TimesNewRoman"/>
        </w:rPr>
        <w:t xml:space="preserve"> I</w:t>
      </w:r>
      <w:r w:rsidR="00D57F7C">
        <w:rPr>
          <w:rFonts w:eastAsia="TimesNewRoman"/>
        </w:rPr>
        <w:t xml:space="preserve"> of DS427 [9]</w:t>
      </w:r>
      <w:r w:rsidR="000B7DC8" w:rsidRPr="0095256E">
        <w:rPr>
          <w:rFonts w:eastAsia="TimesNewRoman"/>
        </w:rPr>
        <w:t xml:space="preserve">, a methodology to assess the radiological impact </w:t>
      </w:r>
      <w:r w:rsidR="00746E4E">
        <w:rPr>
          <w:rFonts w:eastAsia="TimesNewRoman"/>
        </w:rPr>
        <w:t>on</w:t>
      </w:r>
      <w:r w:rsidR="00746E4E" w:rsidRPr="0095256E">
        <w:rPr>
          <w:rFonts w:eastAsia="TimesNewRoman"/>
        </w:rPr>
        <w:t xml:space="preserve"> </w:t>
      </w:r>
      <w:r w:rsidR="000B7DC8" w:rsidRPr="0095256E">
        <w:rPr>
          <w:rFonts w:eastAsia="TimesNewRoman"/>
        </w:rPr>
        <w:t>flora and fauna on the</w:t>
      </w:r>
      <w:r w:rsidR="00746E4E">
        <w:rPr>
          <w:rFonts w:eastAsia="TimesNewRoman"/>
        </w:rPr>
        <w:t xml:space="preserve"> basis of the</w:t>
      </w:r>
      <w:r w:rsidR="000B7DC8" w:rsidRPr="0095256E">
        <w:rPr>
          <w:rFonts w:eastAsia="TimesNewRoman"/>
        </w:rPr>
        <w:t xml:space="preserve"> ICRP approach for the protection of the environment [</w:t>
      </w:r>
      <w:r w:rsidR="00C46416">
        <w:rPr>
          <w:rFonts w:eastAsia="TimesNewRoman"/>
        </w:rPr>
        <w:t>7, 2</w:t>
      </w:r>
      <w:r w:rsidR="008576A0">
        <w:rPr>
          <w:rFonts w:eastAsia="TimesNewRoman"/>
        </w:rPr>
        <w:t>6</w:t>
      </w:r>
      <w:r w:rsidR="000B7DC8" w:rsidRPr="00BB3667">
        <w:rPr>
          <w:rFonts w:eastAsia="TimesNewRoman"/>
        </w:rPr>
        <w:t>].</w:t>
      </w:r>
    </w:p>
    <w:p w:rsidR="0095256E" w:rsidRDefault="00AD5885" w:rsidP="0095256E">
      <w:pPr>
        <w:pStyle w:val="BodyText"/>
        <w:numPr>
          <w:ilvl w:val="1"/>
          <w:numId w:val="1"/>
        </w:numPr>
        <w:tabs>
          <w:tab w:val="clear" w:pos="360"/>
          <w:tab w:val="num" w:pos="709"/>
        </w:tabs>
        <w:spacing w:after="120" w:line="360" w:lineRule="auto"/>
        <w:rPr>
          <w:bCs/>
          <w:lang w:val="en-GB"/>
        </w:rPr>
      </w:pPr>
      <w:r w:rsidRPr="006C448D">
        <w:rPr>
          <w:lang w:val="en-GB"/>
        </w:rPr>
        <w:t xml:space="preserve">The requirements of GSR Part 3 </w:t>
      </w:r>
      <w:r>
        <w:rPr>
          <w:lang w:val="en-GB"/>
        </w:rPr>
        <w:t>[2]</w:t>
      </w:r>
      <w:r w:rsidRPr="006C448D">
        <w:rPr>
          <w:lang w:val="en-GB"/>
        </w:rPr>
        <w:t xml:space="preserve"> </w:t>
      </w:r>
      <w:r>
        <w:rPr>
          <w:lang w:val="en-GB"/>
        </w:rPr>
        <w:t>for</w:t>
      </w:r>
      <w:r w:rsidRPr="006C448D">
        <w:rPr>
          <w:lang w:val="en-GB"/>
        </w:rPr>
        <w:t xml:space="preserve"> a graded approach for the control of exposure</w:t>
      </w:r>
      <w:r>
        <w:rPr>
          <w:lang w:val="en-GB"/>
        </w:rPr>
        <w:t>s also apply to the assessment of radiological environmental impacts</w:t>
      </w:r>
      <w:r w:rsidRPr="006C448D">
        <w:rPr>
          <w:lang w:val="en-GB"/>
        </w:rPr>
        <w:t xml:space="preserve">. </w:t>
      </w:r>
      <w:r w:rsidR="00F42444" w:rsidRPr="0095256E">
        <w:rPr>
          <w:bCs/>
        </w:rPr>
        <w:t>The efforts to assess radiological environmental impact, including protection of flora and fauna if considered necessary, should be commensurate with the radiation risk</w:t>
      </w:r>
      <w:r w:rsidR="00E24C73">
        <w:rPr>
          <w:bCs/>
        </w:rPr>
        <w:t>s</w:t>
      </w:r>
      <w:r w:rsidR="00F42444" w:rsidRPr="0095256E">
        <w:rPr>
          <w:bCs/>
        </w:rPr>
        <w:t xml:space="preserve"> </w:t>
      </w:r>
      <w:r w:rsidR="00E24C73">
        <w:rPr>
          <w:bCs/>
        </w:rPr>
        <w:t>associated with</w:t>
      </w:r>
      <w:r w:rsidR="00F42444" w:rsidRPr="0095256E">
        <w:rPr>
          <w:bCs/>
        </w:rPr>
        <w:t xml:space="preserve"> the particular facility or activity.  </w:t>
      </w:r>
    </w:p>
    <w:p w:rsidR="00536B35" w:rsidRPr="0095256E" w:rsidRDefault="00536B35" w:rsidP="0095256E">
      <w:pPr>
        <w:pStyle w:val="BodyText"/>
        <w:numPr>
          <w:ilvl w:val="1"/>
          <w:numId w:val="1"/>
        </w:numPr>
        <w:tabs>
          <w:tab w:val="clear" w:pos="360"/>
          <w:tab w:val="num" w:pos="709"/>
        </w:tabs>
        <w:spacing w:after="120" w:line="360" w:lineRule="auto"/>
        <w:rPr>
          <w:bCs/>
          <w:lang w:val="en-GB"/>
        </w:rPr>
      </w:pPr>
      <w:r w:rsidRPr="00747E71">
        <w:t xml:space="preserve">For the management of environmental aspects </w:t>
      </w:r>
      <w:r w:rsidR="00B21B41">
        <w:t>in</w:t>
      </w:r>
      <w:r w:rsidR="00B21B41" w:rsidRPr="00747E71">
        <w:t xml:space="preserve"> </w:t>
      </w:r>
      <w:r w:rsidRPr="00747E71">
        <w:t xml:space="preserve">existing </w:t>
      </w:r>
      <w:r w:rsidR="006C38F6" w:rsidRPr="00747E71">
        <w:t xml:space="preserve">exposure situations </w:t>
      </w:r>
      <w:r w:rsidRPr="00747E71">
        <w:t xml:space="preserve">and emergency exposure situations, the impact on the environment </w:t>
      </w:r>
      <w:r w:rsidR="00CA2DB2" w:rsidRPr="00747E71">
        <w:t>should</w:t>
      </w:r>
      <w:r w:rsidRPr="00747E71">
        <w:t xml:space="preserve"> be considered as one of the elements in the process of optimization of protection </w:t>
      </w:r>
      <w:r w:rsidR="00C64282">
        <w:t>and safety</w:t>
      </w:r>
      <w:r w:rsidRPr="00747E71">
        <w:t xml:space="preserve">. It will be of particular importance to give consideration </w:t>
      </w:r>
      <w:r w:rsidR="00C64282">
        <w:t>to</w:t>
      </w:r>
      <w:r w:rsidRPr="00747E71">
        <w:t xml:space="preserve"> the impact</w:t>
      </w:r>
      <w:r w:rsidR="00B21B41">
        <w:t>s</w:t>
      </w:r>
      <w:r w:rsidRPr="00747E71">
        <w:t xml:space="preserve"> on the environment from the protective </w:t>
      </w:r>
      <w:r w:rsidR="00B21B41">
        <w:t xml:space="preserve">actions </w:t>
      </w:r>
      <w:r w:rsidRPr="00747E71">
        <w:t xml:space="preserve">and remedial actions to be taken to reduce the </w:t>
      </w:r>
      <w:r w:rsidR="00B21B41">
        <w:t>exposure of</w:t>
      </w:r>
      <w:r w:rsidRPr="00747E71">
        <w:t xml:space="preserve"> members of the </w:t>
      </w:r>
      <w:proofErr w:type="gramStart"/>
      <w:r w:rsidRPr="00747E71">
        <w:t>public</w:t>
      </w:r>
      <w:r w:rsidR="00B21B41">
        <w:t>,</w:t>
      </w:r>
      <w:proofErr w:type="gramEnd"/>
      <w:r w:rsidRPr="00747E71">
        <w:t xml:space="preserve"> as </w:t>
      </w:r>
      <w:r w:rsidR="00B21B41">
        <w:t>such</w:t>
      </w:r>
      <w:r w:rsidR="00B21B41" w:rsidRPr="00747E71">
        <w:t xml:space="preserve"> </w:t>
      </w:r>
      <w:r w:rsidRPr="00747E71">
        <w:t xml:space="preserve">impacts may in some cases </w:t>
      </w:r>
      <w:r w:rsidR="00B21B41" w:rsidRPr="00747E71">
        <w:t xml:space="preserve">be </w:t>
      </w:r>
      <w:r w:rsidRPr="00747E71">
        <w:t xml:space="preserve">irreversible. These impacts </w:t>
      </w:r>
      <w:r w:rsidR="00CA2DB2" w:rsidRPr="00747E71">
        <w:t>should</w:t>
      </w:r>
      <w:r w:rsidRPr="00747E71">
        <w:t xml:space="preserve"> be</w:t>
      </w:r>
      <w:r w:rsidRPr="006C448D">
        <w:t xml:space="preserve"> considered in the justification and optimization processes of the overall protection strategy</w:t>
      </w:r>
      <w:r w:rsidR="00B21B41">
        <w:t>,</w:t>
      </w:r>
      <w:r w:rsidRPr="006C448D">
        <w:t xml:space="preserve"> as well as of individual protective</w:t>
      </w:r>
      <w:r w:rsidR="00B21B41">
        <w:t xml:space="preserve"> actions</w:t>
      </w:r>
      <w:r w:rsidRPr="006C448D">
        <w:t xml:space="preserve"> and remedial actions.</w:t>
      </w:r>
    </w:p>
    <w:p w:rsidR="00D705FB" w:rsidRPr="0045207A" w:rsidRDefault="00D705FB" w:rsidP="00AD5541">
      <w:pPr>
        <w:overflowPunct/>
        <w:autoSpaceDE/>
        <w:autoSpaceDN/>
        <w:adjustRightInd/>
        <w:spacing w:after="120" w:line="360" w:lineRule="auto"/>
        <w:jc w:val="left"/>
        <w:textAlignment w:val="auto"/>
      </w:pPr>
      <w:r w:rsidRPr="0045207A">
        <w:lastRenderedPageBreak/>
        <w:br w:type="page"/>
      </w:r>
    </w:p>
    <w:p w:rsidR="00AD3343" w:rsidRPr="006C448D" w:rsidRDefault="00D03714" w:rsidP="00AD5541">
      <w:pPr>
        <w:pStyle w:val="Heading1"/>
        <w:numPr>
          <w:ilvl w:val="0"/>
          <w:numId w:val="0"/>
        </w:numPr>
        <w:spacing w:after="120" w:line="360" w:lineRule="auto"/>
        <w:rPr>
          <w:lang w:val="en-GB"/>
        </w:rPr>
      </w:pPr>
      <w:bookmarkStart w:id="24" w:name="_Toc396137877"/>
      <w:bookmarkEnd w:id="22"/>
      <w:r w:rsidRPr="006C448D">
        <w:rPr>
          <w:lang w:val="en-GB"/>
        </w:rPr>
        <w:lastRenderedPageBreak/>
        <w:t>APPENDIX</w:t>
      </w:r>
      <w:r w:rsidR="001D7C8E">
        <w:rPr>
          <w:lang w:val="en-GB"/>
        </w:rPr>
        <w:br/>
      </w:r>
      <w:r w:rsidR="001D7C8E" w:rsidRPr="0095256E">
        <w:rPr>
          <w:szCs w:val="24"/>
        </w:rPr>
        <w:t>dose c</w:t>
      </w:r>
      <w:r w:rsidR="001909AA">
        <w:rPr>
          <w:szCs w:val="24"/>
        </w:rPr>
        <w:t>onstraints and reference levels</w:t>
      </w:r>
      <w:bookmarkEnd w:id="24"/>
    </w:p>
    <w:p w:rsidR="0042662C" w:rsidRDefault="001D7C8E" w:rsidP="006C448D">
      <w:pPr>
        <w:overflowPunct/>
        <w:autoSpaceDE/>
        <w:autoSpaceDN/>
        <w:adjustRightInd/>
        <w:spacing w:after="120" w:line="360" w:lineRule="auto"/>
        <w:textAlignment w:val="auto"/>
      </w:pPr>
      <w:r>
        <w:t>I.1.</w:t>
      </w:r>
      <w:r>
        <w:tab/>
      </w:r>
      <w:r w:rsidR="00D03714" w:rsidRPr="0045207A">
        <w:t xml:space="preserve">Table </w:t>
      </w:r>
      <w:r w:rsidR="00953F58" w:rsidRPr="0045207A">
        <w:t xml:space="preserve">1 </w:t>
      </w:r>
      <w:r w:rsidR="007155D1">
        <w:t>summarizes</w:t>
      </w:r>
      <w:r w:rsidR="007155D1" w:rsidRPr="0045207A">
        <w:t xml:space="preserve"> </w:t>
      </w:r>
      <w:r w:rsidR="00D03714" w:rsidRPr="0045207A">
        <w:t>the dose constraints and reference levels</w:t>
      </w:r>
      <w:r w:rsidR="00B21B41">
        <w:t xml:space="preserve"> for existing exposure situations, planned exposure situations and emergency exposure situations, and for different categories of exposure</w:t>
      </w:r>
      <w:r w:rsidR="005A23F0" w:rsidRPr="0045207A">
        <w:t>,</w:t>
      </w:r>
      <w:r w:rsidR="00D03714" w:rsidRPr="0045207A">
        <w:t xml:space="preserve"> </w:t>
      </w:r>
      <w:r w:rsidR="005A23F0" w:rsidRPr="0045207A">
        <w:t>as establish</w:t>
      </w:r>
      <w:r w:rsidR="00953F58" w:rsidRPr="0045207A">
        <w:t xml:space="preserve">ed in GSR Part 3 </w:t>
      </w:r>
      <w:r w:rsidR="00C05FFE">
        <w:t>[2]</w:t>
      </w:r>
      <w:r w:rsidR="00D03714" w:rsidRPr="0045207A">
        <w:t>.</w:t>
      </w:r>
    </w:p>
    <w:p w:rsidR="00D03714" w:rsidRPr="006C448D" w:rsidRDefault="00D03714" w:rsidP="006C448D">
      <w:pPr>
        <w:spacing w:after="120" w:line="360" w:lineRule="auto"/>
        <w:rPr>
          <w:szCs w:val="24"/>
        </w:rPr>
      </w:pPr>
      <w:proofErr w:type="gramStart"/>
      <w:r w:rsidRPr="006C448D">
        <w:rPr>
          <w:szCs w:val="24"/>
        </w:rPr>
        <w:t>TABLE 1.</w:t>
      </w:r>
      <w:proofErr w:type="gramEnd"/>
      <w:r w:rsidRPr="006C448D">
        <w:rPr>
          <w:szCs w:val="24"/>
        </w:rPr>
        <w:t xml:space="preserve"> FRAMEWORK FOR SOURCE</w:t>
      </w:r>
      <w:r w:rsidR="00A825D8">
        <w:rPr>
          <w:szCs w:val="24"/>
        </w:rPr>
        <w:t xml:space="preserve"> </w:t>
      </w:r>
      <w:r w:rsidRPr="006C448D">
        <w:rPr>
          <w:szCs w:val="24"/>
        </w:rPr>
        <w:t xml:space="preserve">RELATED DOSE CONSTRAINTS AND REFERENCE LEVELS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6519"/>
      </w:tblGrid>
      <w:tr w:rsidR="00A63C45" w:rsidRPr="0042662C" w:rsidTr="00072763">
        <w:trPr>
          <w:trHeight w:val="340"/>
        </w:trPr>
        <w:tc>
          <w:tcPr>
            <w:tcW w:w="2661" w:type="dxa"/>
            <w:tcBorders>
              <w:top w:val="single" w:sz="4" w:space="0" w:color="auto"/>
              <w:bottom w:val="single" w:sz="4" w:space="0" w:color="auto"/>
            </w:tcBorders>
          </w:tcPr>
          <w:p w:rsidR="00A63C45" w:rsidRPr="00E36DB1" w:rsidRDefault="007155D1" w:rsidP="00BB4496">
            <w:pPr>
              <w:spacing w:before="120" w:after="120"/>
              <w:jc w:val="left"/>
              <w:rPr>
                <w:rFonts w:ascii="Times New Roman" w:hAnsi="Times New Roman" w:cs="Times New Roman"/>
              </w:rPr>
            </w:pPr>
            <w:r w:rsidRPr="00E36DB1">
              <w:rPr>
                <w:rFonts w:ascii="Times New Roman" w:hAnsi="Times New Roman" w:cs="Times New Roman"/>
              </w:rPr>
              <w:t>Range in which the v</w:t>
            </w:r>
            <w:r w:rsidR="00953F58" w:rsidRPr="00E36DB1">
              <w:rPr>
                <w:rFonts w:ascii="Times New Roman" w:hAnsi="Times New Roman" w:cs="Times New Roman"/>
              </w:rPr>
              <w:t>alue for</w:t>
            </w:r>
            <w:r w:rsidR="00A63C45" w:rsidRPr="00E36DB1">
              <w:rPr>
                <w:rFonts w:ascii="Times New Roman" w:hAnsi="Times New Roman" w:cs="Times New Roman"/>
              </w:rPr>
              <w:t xml:space="preserve"> </w:t>
            </w:r>
            <w:r w:rsidRPr="00E36DB1">
              <w:rPr>
                <w:rFonts w:ascii="Times New Roman" w:hAnsi="Times New Roman" w:cs="Times New Roman"/>
              </w:rPr>
              <w:t xml:space="preserve">a dose </w:t>
            </w:r>
            <w:r w:rsidR="00A63C45" w:rsidRPr="00E36DB1">
              <w:rPr>
                <w:rFonts w:ascii="Times New Roman" w:hAnsi="Times New Roman" w:cs="Times New Roman"/>
              </w:rPr>
              <w:t xml:space="preserve">constraint </w:t>
            </w:r>
            <w:r w:rsidRPr="00E36DB1">
              <w:rPr>
                <w:rFonts w:ascii="Times New Roman" w:hAnsi="Times New Roman" w:cs="Times New Roman"/>
              </w:rPr>
              <w:t xml:space="preserve">or </w:t>
            </w:r>
            <w:r w:rsidR="00A63C45" w:rsidRPr="00E36DB1">
              <w:rPr>
                <w:rFonts w:ascii="Times New Roman" w:hAnsi="Times New Roman" w:cs="Times New Roman"/>
              </w:rPr>
              <w:t>reference level</w:t>
            </w:r>
            <w:r w:rsidRPr="00E36DB1">
              <w:rPr>
                <w:rFonts w:ascii="Times New Roman" w:hAnsi="Times New Roman" w:cs="Times New Roman"/>
              </w:rPr>
              <w:t xml:space="preserve"> is set</w:t>
            </w:r>
          </w:p>
        </w:tc>
        <w:tc>
          <w:tcPr>
            <w:tcW w:w="6519" w:type="dxa"/>
            <w:tcBorders>
              <w:top w:val="single" w:sz="4" w:space="0" w:color="auto"/>
              <w:bottom w:val="single" w:sz="4" w:space="0" w:color="auto"/>
            </w:tcBorders>
            <w:vAlign w:val="center"/>
          </w:tcPr>
          <w:p w:rsidR="00A63C45" w:rsidRPr="00E36DB1" w:rsidRDefault="000823C3" w:rsidP="00072763">
            <w:pPr>
              <w:spacing w:before="120" w:after="120"/>
              <w:jc w:val="center"/>
              <w:rPr>
                <w:rFonts w:ascii="Times New Roman" w:hAnsi="Times New Roman" w:cs="Times New Roman"/>
              </w:rPr>
            </w:pPr>
            <w:r w:rsidRPr="00E36DB1">
              <w:rPr>
                <w:rFonts w:ascii="Times New Roman" w:hAnsi="Times New Roman" w:cs="Times New Roman"/>
              </w:rPr>
              <w:t>Category of exposure and type of exposure situation</w:t>
            </w:r>
          </w:p>
        </w:tc>
      </w:tr>
      <w:tr w:rsidR="00A63C45" w:rsidRPr="0042662C" w:rsidTr="00072763">
        <w:trPr>
          <w:trHeight w:val="530"/>
        </w:trPr>
        <w:tc>
          <w:tcPr>
            <w:tcW w:w="2661" w:type="dxa"/>
            <w:tcBorders>
              <w:top w:val="single" w:sz="4" w:space="0" w:color="auto"/>
              <w:bottom w:val="single" w:sz="4" w:space="0" w:color="auto"/>
            </w:tcBorders>
          </w:tcPr>
          <w:p w:rsidR="00A63C45" w:rsidRPr="00E36DB1" w:rsidRDefault="00A63C45" w:rsidP="00EB459A">
            <w:pPr>
              <w:spacing w:before="120" w:after="120"/>
              <w:rPr>
                <w:rFonts w:ascii="Times New Roman" w:hAnsi="Times New Roman" w:cs="Times New Roman"/>
              </w:rPr>
            </w:pPr>
            <w:r w:rsidRPr="00E36DB1">
              <w:rPr>
                <w:rFonts w:ascii="Times New Roman" w:hAnsi="Times New Roman" w:cs="Times New Roman"/>
              </w:rPr>
              <w:t>20 to 100</w:t>
            </w:r>
            <w:r w:rsidR="00953F58" w:rsidRPr="00E36DB1">
              <w:rPr>
                <w:rFonts w:ascii="Times New Roman" w:hAnsi="Times New Roman" w:cs="Times New Roman"/>
              </w:rPr>
              <w:t xml:space="preserve"> </w:t>
            </w:r>
            <w:proofErr w:type="spellStart"/>
            <w:r w:rsidR="00953F58" w:rsidRPr="00E36DB1">
              <w:rPr>
                <w:rFonts w:ascii="Times New Roman" w:hAnsi="Times New Roman" w:cs="Times New Roman"/>
              </w:rPr>
              <w:t>mSv</w:t>
            </w:r>
            <w:proofErr w:type="spellEnd"/>
            <w:r w:rsidR="00953F58" w:rsidRPr="00E36DB1">
              <w:rPr>
                <w:rFonts w:ascii="Times New Roman" w:hAnsi="Times New Roman" w:cs="Times New Roman"/>
              </w:rPr>
              <w:t xml:space="preserve"> </w:t>
            </w:r>
            <w:proofErr w:type="spellStart"/>
            <w:r w:rsidR="00953F58" w:rsidRPr="00E36DB1">
              <w:rPr>
                <w:rFonts w:ascii="Times New Roman" w:hAnsi="Times New Roman" w:cs="Times New Roman"/>
                <w:vertAlign w:val="superscript"/>
              </w:rPr>
              <w:t>a,b</w:t>
            </w:r>
            <w:r w:rsidRPr="00E36DB1">
              <w:rPr>
                <w:rFonts w:ascii="Times New Roman" w:hAnsi="Times New Roman" w:cs="Times New Roman"/>
                <w:vertAlign w:val="superscript"/>
              </w:rPr>
              <w:t>,c</w:t>
            </w:r>
            <w:proofErr w:type="spellEnd"/>
          </w:p>
        </w:tc>
        <w:tc>
          <w:tcPr>
            <w:tcW w:w="6519" w:type="dxa"/>
            <w:tcBorders>
              <w:top w:val="single" w:sz="4" w:space="0" w:color="auto"/>
              <w:bottom w:val="single" w:sz="4" w:space="0" w:color="auto"/>
            </w:tcBorders>
          </w:tcPr>
          <w:p w:rsidR="000B5AB8" w:rsidRPr="00E36DB1" w:rsidRDefault="00A63C45" w:rsidP="00897E61">
            <w:pPr>
              <w:pStyle w:val="ListParagraph"/>
              <w:numPr>
                <w:ilvl w:val="0"/>
                <w:numId w:val="14"/>
              </w:numPr>
              <w:spacing w:before="120" w:after="120"/>
              <w:ind w:left="714" w:hanging="357"/>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 xml:space="preserve">Reference level for public exposure in </w:t>
            </w:r>
            <w:r w:rsidR="000823C3" w:rsidRPr="00E36DB1">
              <w:rPr>
                <w:rFonts w:ascii="Times New Roman" w:eastAsiaTheme="minorHAnsi" w:hAnsi="Times New Roman" w:cs="Times New Roman"/>
                <w:szCs w:val="22"/>
              </w:rPr>
              <w:t xml:space="preserve">an </w:t>
            </w:r>
            <w:r w:rsidRPr="00E36DB1">
              <w:rPr>
                <w:rFonts w:ascii="Times New Roman" w:eastAsiaTheme="minorHAnsi" w:hAnsi="Times New Roman" w:cs="Times New Roman"/>
                <w:szCs w:val="22"/>
              </w:rPr>
              <w:t>emergency exposure situation.</w:t>
            </w:r>
          </w:p>
        </w:tc>
      </w:tr>
      <w:tr w:rsidR="00A63C45" w:rsidRPr="0042662C" w:rsidTr="00072763">
        <w:trPr>
          <w:trHeight w:val="3880"/>
        </w:trPr>
        <w:tc>
          <w:tcPr>
            <w:tcW w:w="2661" w:type="dxa"/>
            <w:tcBorders>
              <w:bottom w:val="single" w:sz="4" w:space="0" w:color="auto"/>
            </w:tcBorders>
          </w:tcPr>
          <w:p w:rsidR="00A63C45" w:rsidRPr="00E36DB1" w:rsidRDefault="00A63C45" w:rsidP="00EB459A">
            <w:pPr>
              <w:spacing w:before="120" w:after="120"/>
              <w:rPr>
                <w:rFonts w:ascii="Times New Roman" w:hAnsi="Times New Roman" w:cs="Times New Roman"/>
              </w:rPr>
            </w:pPr>
            <w:r w:rsidRPr="00E36DB1">
              <w:rPr>
                <w:rFonts w:ascii="Times New Roman" w:hAnsi="Times New Roman" w:cs="Times New Roman"/>
              </w:rPr>
              <w:t>1 to 20</w:t>
            </w:r>
            <w:r w:rsidR="00953F58" w:rsidRPr="00E36DB1">
              <w:rPr>
                <w:rFonts w:ascii="Times New Roman" w:hAnsi="Times New Roman" w:cs="Times New Roman"/>
              </w:rPr>
              <w:t xml:space="preserve"> </w:t>
            </w:r>
            <w:proofErr w:type="spellStart"/>
            <w:r w:rsidR="00953F58" w:rsidRPr="00E36DB1">
              <w:rPr>
                <w:rFonts w:ascii="Times New Roman" w:hAnsi="Times New Roman" w:cs="Times New Roman"/>
              </w:rPr>
              <w:t>mSv</w:t>
            </w:r>
            <w:proofErr w:type="spellEnd"/>
            <w:r w:rsidR="00961556" w:rsidRPr="00E36DB1">
              <w:rPr>
                <w:rFonts w:ascii="Times New Roman" w:hAnsi="Times New Roman" w:cs="Times New Roman"/>
              </w:rPr>
              <w:t xml:space="preserve"> per year</w:t>
            </w:r>
          </w:p>
        </w:tc>
        <w:tc>
          <w:tcPr>
            <w:tcW w:w="6519" w:type="dxa"/>
            <w:tcBorders>
              <w:bottom w:val="single" w:sz="4" w:space="0" w:color="auto"/>
            </w:tcBorders>
          </w:tcPr>
          <w:p w:rsidR="00A63C45" w:rsidRPr="00E36DB1" w:rsidRDefault="00A63C45" w:rsidP="00897E61">
            <w:pPr>
              <w:pStyle w:val="ListParagraph"/>
              <w:numPr>
                <w:ilvl w:val="0"/>
                <w:numId w:val="14"/>
              </w:numPr>
              <w:spacing w:before="120" w:after="120"/>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Dose constraint for occupational exposure in a planned exposure situation.</w:t>
            </w:r>
          </w:p>
          <w:p w:rsidR="005754B9" w:rsidRPr="00E36DB1" w:rsidRDefault="005754B9" w:rsidP="00897E61">
            <w:pPr>
              <w:pStyle w:val="ListParagraph"/>
              <w:numPr>
                <w:ilvl w:val="0"/>
                <w:numId w:val="14"/>
              </w:numPr>
              <w:spacing w:before="120" w:after="120"/>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 xml:space="preserve">Dose constraint for medical exposure of </w:t>
            </w:r>
            <w:r w:rsidR="00F63729" w:rsidRPr="00E36DB1">
              <w:rPr>
                <w:rFonts w:ascii="Times New Roman" w:eastAsiaTheme="minorHAnsi" w:hAnsi="Times New Roman" w:cs="Times New Roman"/>
                <w:szCs w:val="22"/>
              </w:rPr>
              <w:t xml:space="preserve">carers and </w:t>
            </w:r>
            <w:r w:rsidRPr="00E36DB1">
              <w:rPr>
                <w:rFonts w:ascii="Times New Roman" w:eastAsiaTheme="minorHAnsi" w:hAnsi="Times New Roman" w:cs="Times New Roman"/>
                <w:szCs w:val="22"/>
              </w:rPr>
              <w:t xml:space="preserve">comforters </w:t>
            </w:r>
            <w:r w:rsidR="000823C3" w:rsidRPr="00E36DB1">
              <w:rPr>
                <w:rFonts w:ascii="Times New Roman" w:eastAsiaTheme="minorHAnsi" w:hAnsi="Times New Roman" w:cs="Times New Roman"/>
                <w:szCs w:val="22"/>
              </w:rPr>
              <w:t>in a planned exposure situation</w:t>
            </w:r>
            <w:r w:rsidRPr="00E36DB1">
              <w:rPr>
                <w:rFonts w:ascii="Times New Roman" w:eastAsiaTheme="minorHAnsi" w:hAnsi="Times New Roman" w:cs="Times New Roman"/>
                <w:szCs w:val="22"/>
              </w:rPr>
              <w:t>.</w:t>
            </w:r>
          </w:p>
          <w:p w:rsidR="005754B9" w:rsidRPr="00E36DB1" w:rsidRDefault="005754B9" w:rsidP="00897E61">
            <w:pPr>
              <w:pStyle w:val="ListParagraph"/>
              <w:numPr>
                <w:ilvl w:val="0"/>
                <w:numId w:val="14"/>
              </w:numPr>
              <w:spacing w:before="120" w:after="120"/>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Dose constraint for individuals undergoing non-medical human imaging that is conducted by medical personnel using medical radiological equipment</w:t>
            </w:r>
            <w:r w:rsidR="000823C3" w:rsidRPr="00E36DB1">
              <w:rPr>
                <w:rFonts w:ascii="Times New Roman" w:eastAsiaTheme="minorHAnsi" w:hAnsi="Times New Roman" w:cs="Times New Roman"/>
                <w:szCs w:val="22"/>
              </w:rPr>
              <w:t xml:space="preserve"> in a planned exposure situation</w:t>
            </w:r>
            <w:r w:rsidRPr="00E36DB1">
              <w:rPr>
                <w:rFonts w:ascii="Times New Roman" w:eastAsiaTheme="minorHAnsi" w:hAnsi="Times New Roman" w:cs="Times New Roman"/>
                <w:szCs w:val="22"/>
              </w:rPr>
              <w:t>.</w:t>
            </w:r>
          </w:p>
          <w:p w:rsidR="00A63C45" w:rsidRPr="00E36DB1" w:rsidRDefault="00A63C45" w:rsidP="00897E61">
            <w:pPr>
              <w:pStyle w:val="ListParagraph"/>
              <w:numPr>
                <w:ilvl w:val="0"/>
                <w:numId w:val="14"/>
              </w:numPr>
              <w:spacing w:before="120" w:after="120"/>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 xml:space="preserve">Reference level for workers in </w:t>
            </w:r>
            <w:r w:rsidR="000823C3" w:rsidRPr="00E36DB1">
              <w:rPr>
                <w:rFonts w:ascii="Times New Roman" w:eastAsiaTheme="minorHAnsi" w:hAnsi="Times New Roman" w:cs="Times New Roman"/>
                <w:szCs w:val="22"/>
              </w:rPr>
              <w:t xml:space="preserve">an </w:t>
            </w:r>
            <w:r w:rsidRPr="00E36DB1">
              <w:rPr>
                <w:rFonts w:ascii="Times New Roman" w:eastAsiaTheme="minorHAnsi" w:hAnsi="Times New Roman" w:cs="Times New Roman"/>
                <w:szCs w:val="22"/>
              </w:rPr>
              <w:t>existing exposure situation.</w:t>
            </w:r>
          </w:p>
          <w:p w:rsidR="00C64282" w:rsidRPr="00E36DB1" w:rsidRDefault="00A63C45" w:rsidP="00897E61">
            <w:pPr>
              <w:pStyle w:val="ListParagraph"/>
              <w:numPr>
                <w:ilvl w:val="0"/>
                <w:numId w:val="14"/>
              </w:numPr>
              <w:spacing w:before="120" w:after="120"/>
              <w:ind w:left="714" w:hanging="357"/>
              <w:contextualSpacing w:val="0"/>
              <w:rPr>
                <w:rFonts w:ascii="Times New Roman" w:hAnsi="Times New Roman" w:cs="Times New Roman"/>
              </w:rPr>
            </w:pPr>
            <w:r w:rsidRPr="00E36DB1">
              <w:rPr>
                <w:rFonts w:ascii="Times New Roman" w:eastAsiaTheme="minorHAnsi" w:hAnsi="Times New Roman" w:cs="Times New Roman"/>
                <w:szCs w:val="22"/>
              </w:rPr>
              <w:t>Reference level for public</w:t>
            </w:r>
            <w:r w:rsidR="000823C3" w:rsidRPr="00E36DB1">
              <w:rPr>
                <w:rFonts w:ascii="Times New Roman" w:eastAsiaTheme="minorHAnsi" w:hAnsi="Times New Roman" w:cs="Times New Roman"/>
                <w:szCs w:val="22"/>
              </w:rPr>
              <w:t xml:space="preserve"> exposure</w:t>
            </w:r>
            <w:r w:rsidRPr="00E36DB1">
              <w:rPr>
                <w:rFonts w:ascii="Times New Roman" w:eastAsiaTheme="minorHAnsi" w:hAnsi="Times New Roman" w:cs="Times New Roman"/>
                <w:szCs w:val="22"/>
              </w:rPr>
              <w:t xml:space="preserve"> in specific existing exposure situations</w:t>
            </w:r>
            <w:r w:rsidR="007155D1" w:rsidRPr="00E36DB1">
              <w:rPr>
                <w:rFonts w:ascii="Times New Roman" w:eastAsiaTheme="minorHAnsi" w:hAnsi="Times New Roman" w:cs="Times New Roman"/>
                <w:szCs w:val="22"/>
              </w:rPr>
              <w:t>,</w:t>
            </w:r>
            <w:r w:rsidRPr="00E36DB1">
              <w:rPr>
                <w:rFonts w:ascii="Times New Roman" w:eastAsiaTheme="minorHAnsi" w:hAnsi="Times New Roman" w:cs="Times New Roman"/>
                <w:szCs w:val="22"/>
              </w:rPr>
              <w:t xml:space="preserve"> e.g. exposure due to radon in dwellings, areas with residual radioactive material.</w:t>
            </w:r>
          </w:p>
        </w:tc>
      </w:tr>
      <w:tr w:rsidR="00A63C45" w:rsidRPr="0042662C" w:rsidTr="00072763">
        <w:tc>
          <w:tcPr>
            <w:tcW w:w="2661" w:type="dxa"/>
            <w:tcBorders>
              <w:bottom w:val="single" w:sz="4" w:space="0" w:color="auto"/>
            </w:tcBorders>
          </w:tcPr>
          <w:p w:rsidR="00A63C45" w:rsidRPr="00E36DB1" w:rsidRDefault="00A63C45" w:rsidP="00EB459A">
            <w:pPr>
              <w:spacing w:before="120" w:after="120"/>
              <w:rPr>
                <w:rFonts w:ascii="Times New Roman" w:hAnsi="Times New Roman" w:cs="Times New Roman"/>
              </w:rPr>
            </w:pPr>
            <w:r w:rsidRPr="00E36DB1">
              <w:rPr>
                <w:rFonts w:ascii="Times New Roman" w:hAnsi="Times New Roman" w:cs="Times New Roman"/>
              </w:rPr>
              <w:t>Not greater than 1</w:t>
            </w:r>
            <w:r w:rsidR="00953F58" w:rsidRPr="00E36DB1">
              <w:rPr>
                <w:rFonts w:ascii="Times New Roman" w:hAnsi="Times New Roman" w:cs="Times New Roman"/>
              </w:rPr>
              <w:t xml:space="preserve"> </w:t>
            </w:r>
            <w:proofErr w:type="spellStart"/>
            <w:r w:rsidR="00953F58" w:rsidRPr="00E36DB1">
              <w:rPr>
                <w:rFonts w:ascii="Times New Roman" w:hAnsi="Times New Roman" w:cs="Times New Roman"/>
              </w:rPr>
              <w:t>mSv</w:t>
            </w:r>
            <w:proofErr w:type="spellEnd"/>
            <w:r w:rsidR="00961556" w:rsidRPr="00E36DB1">
              <w:rPr>
                <w:rFonts w:ascii="Times New Roman" w:hAnsi="Times New Roman" w:cs="Times New Roman"/>
              </w:rPr>
              <w:t xml:space="preserve"> per year</w:t>
            </w:r>
          </w:p>
        </w:tc>
        <w:tc>
          <w:tcPr>
            <w:tcW w:w="6519" w:type="dxa"/>
            <w:tcBorders>
              <w:bottom w:val="single" w:sz="4" w:space="0" w:color="auto"/>
            </w:tcBorders>
          </w:tcPr>
          <w:p w:rsidR="00A63C45" w:rsidRPr="00E36DB1" w:rsidRDefault="00A63C45" w:rsidP="00897E61">
            <w:pPr>
              <w:pStyle w:val="ListParagraph"/>
              <w:numPr>
                <w:ilvl w:val="0"/>
                <w:numId w:val="14"/>
              </w:numPr>
              <w:spacing w:before="120" w:after="120"/>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Dose constraint for public exposure in planned exposure situations.</w:t>
            </w:r>
          </w:p>
          <w:p w:rsidR="00A63C45" w:rsidRPr="00E36DB1" w:rsidRDefault="00A63C45">
            <w:pPr>
              <w:pStyle w:val="ListParagraph"/>
              <w:numPr>
                <w:ilvl w:val="0"/>
                <w:numId w:val="14"/>
              </w:numPr>
              <w:spacing w:before="120" w:after="120"/>
              <w:ind w:left="714" w:hanging="357"/>
              <w:contextualSpacing w:val="0"/>
              <w:rPr>
                <w:rFonts w:ascii="Times New Roman" w:eastAsiaTheme="minorHAnsi" w:hAnsi="Times New Roman" w:cs="Times New Roman"/>
                <w:szCs w:val="22"/>
              </w:rPr>
            </w:pPr>
            <w:r w:rsidRPr="00E36DB1">
              <w:rPr>
                <w:rFonts w:ascii="Times New Roman" w:eastAsiaTheme="minorHAnsi" w:hAnsi="Times New Roman" w:cs="Times New Roman"/>
                <w:szCs w:val="22"/>
              </w:rPr>
              <w:t>Reference level for public exposure in specific existing exposure situations</w:t>
            </w:r>
            <w:r w:rsidR="007155D1" w:rsidRPr="00E36DB1">
              <w:rPr>
                <w:rFonts w:ascii="Times New Roman" w:eastAsiaTheme="minorHAnsi" w:hAnsi="Times New Roman" w:cs="Times New Roman"/>
                <w:szCs w:val="22"/>
              </w:rPr>
              <w:t>,</w:t>
            </w:r>
            <w:r w:rsidRPr="00E36DB1">
              <w:rPr>
                <w:rFonts w:ascii="Times New Roman" w:eastAsiaTheme="minorHAnsi" w:hAnsi="Times New Roman" w:cs="Times New Roman"/>
                <w:szCs w:val="22"/>
              </w:rPr>
              <w:t xml:space="preserve"> e.g. exposure due to radionuclides in commodities such as food, drinking water</w:t>
            </w:r>
            <w:r w:rsidR="007155D1" w:rsidRPr="00E36DB1">
              <w:rPr>
                <w:rFonts w:ascii="Times New Roman" w:eastAsiaTheme="minorHAnsi" w:hAnsi="Times New Roman" w:cs="Times New Roman"/>
                <w:szCs w:val="22"/>
              </w:rPr>
              <w:t xml:space="preserve"> or</w:t>
            </w:r>
            <w:r w:rsidRPr="00E36DB1">
              <w:rPr>
                <w:rFonts w:ascii="Times New Roman" w:eastAsiaTheme="minorHAnsi" w:hAnsi="Times New Roman" w:cs="Times New Roman"/>
                <w:szCs w:val="22"/>
              </w:rPr>
              <w:t xml:space="preserve"> construction materials. </w:t>
            </w:r>
          </w:p>
        </w:tc>
      </w:tr>
    </w:tbl>
    <w:p w:rsidR="00D03714" w:rsidRPr="006C448D" w:rsidRDefault="00D03714" w:rsidP="00EB459A">
      <w:pPr>
        <w:spacing w:after="120"/>
        <w:rPr>
          <w:sz w:val="20"/>
        </w:rPr>
      </w:pPr>
      <w:proofErr w:type="spellStart"/>
      <w:proofErr w:type="gramStart"/>
      <w:r w:rsidRPr="006C448D">
        <w:rPr>
          <w:sz w:val="20"/>
          <w:vertAlign w:val="superscript"/>
        </w:rPr>
        <w:t>a</w:t>
      </w:r>
      <w:proofErr w:type="spellEnd"/>
      <w:r w:rsidRPr="006C448D">
        <w:rPr>
          <w:sz w:val="20"/>
          <w:vertAlign w:val="superscript"/>
        </w:rPr>
        <w:t xml:space="preserve"> </w:t>
      </w:r>
      <w:r w:rsidRPr="006C448D">
        <w:rPr>
          <w:sz w:val="20"/>
        </w:rPr>
        <w:t xml:space="preserve"> Acute</w:t>
      </w:r>
      <w:proofErr w:type="gramEnd"/>
      <w:r w:rsidRPr="006C448D">
        <w:rPr>
          <w:sz w:val="20"/>
        </w:rPr>
        <w:t xml:space="preserve"> </w:t>
      </w:r>
      <w:r w:rsidR="001909AA">
        <w:rPr>
          <w:sz w:val="20"/>
        </w:rPr>
        <w:t xml:space="preserve">dose </w:t>
      </w:r>
      <w:r w:rsidRPr="006C448D">
        <w:rPr>
          <w:sz w:val="20"/>
        </w:rPr>
        <w:t>or annual dose.</w:t>
      </w:r>
      <w:r w:rsidRPr="006C448D">
        <w:rPr>
          <w:sz w:val="20"/>
        </w:rPr>
        <w:br/>
      </w:r>
      <w:proofErr w:type="gramStart"/>
      <w:r w:rsidRPr="006C448D">
        <w:rPr>
          <w:sz w:val="20"/>
          <w:vertAlign w:val="superscript"/>
        </w:rPr>
        <w:t>b</w:t>
      </w:r>
      <w:proofErr w:type="gramEnd"/>
      <w:r w:rsidRPr="006C448D">
        <w:rPr>
          <w:sz w:val="20"/>
        </w:rPr>
        <w:t xml:space="preserve"> In exceptional situations, informed volunteer workers may receive doses above this band </w:t>
      </w:r>
      <w:r w:rsidR="007155D1">
        <w:rPr>
          <w:sz w:val="20"/>
        </w:rPr>
        <w:t>of values</w:t>
      </w:r>
      <w:r w:rsidR="007155D1" w:rsidRPr="006C448D">
        <w:rPr>
          <w:sz w:val="20"/>
        </w:rPr>
        <w:t xml:space="preserve"> </w:t>
      </w:r>
      <w:r w:rsidRPr="006C448D">
        <w:rPr>
          <w:sz w:val="20"/>
        </w:rPr>
        <w:t xml:space="preserve">to save lives, </w:t>
      </w:r>
      <w:r w:rsidR="007155D1">
        <w:rPr>
          <w:sz w:val="20"/>
        </w:rPr>
        <w:t xml:space="preserve">to </w:t>
      </w:r>
      <w:r w:rsidRPr="006C448D">
        <w:rPr>
          <w:sz w:val="20"/>
        </w:rPr>
        <w:t xml:space="preserve">prevent severe </w:t>
      </w:r>
      <w:r w:rsidR="007155D1">
        <w:rPr>
          <w:sz w:val="20"/>
        </w:rPr>
        <w:t>deterministic</w:t>
      </w:r>
      <w:r w:rsidRPr="006C448D">
        <w:rPr>
          <w:sz w:val="20"/>
        </w:rPr>
        <w:t xml:space="preserve"> health effects, or </w:t>
      </w:r>
      <w:r w:rsidR="007155D1">
        <w:rPr>
          <w:sz w:val="20"/>
        </w:rPr>
        <w:t xml:space="preserve">to </w:t>
      </w:r>
      <w:r w:rsidRPr="006C448D">
        <w:rPr>
          <w:sz w:val="20"/>
        </w:rPr>
        <w:t>prevent the development of catastrophic conditions.</w:t>
      </w:r>
      <w:r w:rsidRPr="006C448D">
        <w:rPr>
          <w:sz w:val="20"/>
        </w:rPr>
        <w:br/>
      </w:r>
      <w:proofErr w:type="gramStart"/>
      <w:r w:rsidRPr="006C448D">
        <w:rPr>
          <w:sz w:val="20"/>
          <w:vertAlign w:val="superscript"/>
        </w:rPr>
        <w:t xml:space="preserve">c </w:t>
      </w:r>
      <w:r w:rsidRPr="006C448D">
        <w:rPr>
          <w:sz w:val="20"/>
        </w:rPr>
        <w:t xml:space="preserve"> Situations</w:t>
      </w:r>
      <w:proofErr w:type="gramEnd"/>
      <w:r w:rsidRPr="006C448D">
        <w:rPr>
          <w:sz w:val="20"/>
        </w:rPr>
        <w:t xml:space="preserve"> in which the dose threshold for deterministic effects in relevant organs or tissues could be exceeded always require action.</w:t>
      </w:r>
    </w:p>
    <w:p w:rsidR="00953F58" w:rsidRPr="0045207A" w:rsidRDefault="00953F58" w:rsidP="006C448D">
      <w:pPr>
        <w:overflowPunct/>
        <w:autoSpaceDE/>
        <w:autoSpaceDN/>
        <w:adjustRightInd/>
        <w:spacing w:after="120" w:line="360" w:lineRule="auto"/>
        <w:jc w:val="left"/>
        <w:textAlignment w:val="auto"/>
        <w:rPr>
          <w:sz w:val="18"/>
          <w:szCs w:val="18"/>
        </w:rPr>
      </w:pPr>
      <w:r w:rsidRPr="0045207A">
        <w:rPr>
          <w:sz w:val="18"/>
          <w:szCs w:val="18"/>
        </w:rPr>
        <w:br w:type="page"/>
      </w:r>
    </w:p>
    <w:p w:rsidR="00AD3343" w:rsidRPr="006C448D" w:rsidRDefault="00721161" w:rsidP="006C448D">
      <w:pPr>
        <w:pStyle w:val="Heading1"/>
        <w:numPr>
          <w:ilvl w:val="0"/>
          <w:numId w:val="0"/>
        </w:numPr>
        <w:spacing w:after="120" w:line="360" w:lineRule="auto"/>
        <w:rPr>
          <w:lang w:val="en-GB"/>
        </w:rPr>
      </w:pPr>
      <w:bookmarkStart w:id="25" w:name="_Toc396137878"/>
      <w:r w:rsidRPr="006C448D">
        <w:rPr>
          <w:lang w:val="en-GB"/>
        </w:rPr>
        <w:lastRenderedPageBreak/>
        <w:t>REFERENCES</w:t>
      </w:r>
      <w:bookmarkEnd w:id="25"/>
    </w:p>
    <w:tbl>
      <w:tblPr>
        <w:tblW w:w="9606" w:type="dxa"/>
        <w:tblLayout w:type="fixed"/>
        <w:tblLook w:val="0000" w:firstRow="0" w:lastRow="0" w:firstColumn="0" w:lastColumn="0" w:noHBand="0" w:noVBand="0"/>
      </w:tblPr>
      <w:tblGrid>
        <w:gridCol w:w="959"/>
        <w:gridCol w:w="8647"/>
      </w:tblGrid>
      <w:tr w:rsidR="00FE248E" w:rsidRPr="00A61379" w:rsidTr="00BB4496">
        <w:trPr>
          <w:cantSplit/>
        </w:trPr>
        <w:tc>
          <w:tcPr>
            <w:tcW w:w="959" w:type="dxa"/>
          </w:tcPr>
          <w:p w:rsidR="00FE248E" w:rsidRPr="00A61379" w:rsidRDefault="00FE248E" w:rsidP="006C448D">
            <w:pPr>
              <w:pStyle w:val="BodyText"/>
              <w:spacing w:after="120" w:line="360" w:lineRule="auto"/>
              <w:rPr>
                <w:sz w:val="22"/>
                <w:szCs w:val="22"/>
                <w:lang w:val="en-GB"/>
              </w:rPr>
            </w:pPr>
            <w:r w:rsidRPr="00A61379">
              <w:rPr>
                <w:sz w:val="22"/>
                <w:szCs w:val="22"/>
                <w:lang w:val="en-GB"/>
              </w:rPr>
              <w:t>[1]</w:t>
            </w:r>
          </w:p>
        </w:tc>
        <w:tc>
          <w:tcPr>
            <w:tcW w:w="8647" w:type="dxa"/>
          </w:tcPr>
          <w:p w:rsidR="00FE248E" w:rsidRPr="00A61379" w:rsidRDefault="00C05FFE" w:rsidP="00C05FFE">
            <w:pPr>
              <w:pStyle w:val="BodyText"/>
              <w:spacing w:after="120" w:line="360" w:lineRule="auto"/>
              <w:rPr>
                <w:sz w:val="22"/>
                <w:szCs w:val="22"/>
                <w:lang w:val="en-GB"/>
              </w:rPr>
            </w:pPr>
            <w:r w:rsidRPr="00A61379">
              <w:rPr>
                <w:sz w:val="22"/>
                <w:szCs w:val="22"/>
                <w:lang w:val="en-GB"/>
              </w:rPr>
              <w:t>EUROPEAN ATOMIC ENERGY COMMUNITY, FOOD AND AGRICULTURE ORGANIZATION OF THE UNITED NATIONS, INTERNATIONAL ATOMIC ENERGY AGENCY, INTERNATIONAL LABOUR ORGANIZATION, INTERNATIONAL MARITIME ORGANIZATION, OECD NUCLEAR ENERGY AGENCY, PAN AMERICAN HEALTH ORGANIZATION, UNITED NATIONS ENVIRONMENT PROGRAMME, WORLD HEALTH ORGANIZATION, Fundamental Safety Principles, IAEA Safety Standards Series No. SF 1, IAEA, Vienna (2006).</w:t>
            </w:r>
          </w:p>
        </w:tc>
      </w:tr>
      <w:tr w:rsidR="00FE248E" w:rsidRPr="00A61379" w:rsidTr="00BB4496">
        <w:trPr>
          <w:cantSplit/>
        </w:trPr>
        <w:tc>
          <w:tcPr>
            <w:tcW w:w="959" w:type="dxa"/>
          </w:tcPr>
          <w:p w:rsidR="00FE248E" w:rsidRPr="00A61379" w:rsidRDefault="00FE248E" w:rsidP="006C448D">
            <w:pPr>
              <w:pStyle w:val="BodyText"/>
              <w:spacing w:after="120" w:line="360" w:lineRule="auto"/>
              <w:rPr>
                <w:sz w:val="22"/>
                <w:szCs w:val="22"/>
                <w:lang w:val="en-GB"/>
              </w:rPr>
            </w:pPr>
            <w:r w:rsidRPr="00A61379">
              <w:rPr>
                <w:sz w:val="22"/>
                <w:szCs w:val="22"/>
                <w:lang w:val="en-GB"/>
              </w:rPr>
              <w:t>[2]</w:t>
            </w:r>
          </w:p>
        </w:tc>
        <w:tc>
          <w:tcPr>
            <w:tcW w:w="8647" w:type="dxa"/>
          </w:tcPr>
          <w:p w:rsidR="00FE248E" w:rsidRPr="00A61379" w:rsidRDefault="00C05FFE" w:rsidP="00A61379">
            <w:pPr>
              <w:pStyle w:val="BodyText"/>
              <w:spacing w:after="120" w:line="360" w:lineRule="auto"/>
              <w:rPr>
                <w:sz w:val="22"/>
                <w:szCs w:val="22"/>
                <w:lang w:val="en-GB"/>
              </w:rPr>
            </w:pPr>
            <w:r w:rsidRPr="00A61379">
              <w:rPr>
                <w:sz w:val="22"/>
                <w:szCs w:val="22"/>
                <w:lang w:val="en-GB"/>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w:t>
            </w:r>
            <w:r w:rsidR="00A61379">
              <w:rPr>
                <w:sz w:val="22"/>
                <w:szCs w:val="22"/>
                <w:lang w:val="en-GB"/>
              </w:rPr>
              <w:t> </w:t>
            </w:r>
            <w:r w:rsidRPr="00A61379">
              <w:rPr>
                <w:sz w:val="22"/>
                <w:szCs w:val="22"/>
                <w:lang w:val="en-GB"/>
              </w:rPr>
              <w:t>GSR Part 3, IAEA, Vienna (2014).</w:t>
            </w:r>
          </w:p>
        </w:tc>
      </w:tr>
      <w:tr w:rsidR="00B046B8" w:rsidRPr="00A61379" w:rsidTr="00BB4496">
        <w:trPr>
          <w:cantSplit/>
        </w:trPr>
        <w:tc>
          <w:tcPr>
            <w:tcW w:w="959" w:type="dxa"/>
          </w:tcPr>
          <w:p w:rsidR="00B046B8" w:rsidRPr="00A61379" w:rsidRDefault="00B046B8" w:rsidP="006C448D">
            <w:pPr>
              <w:pStyle w:val="BodyText"/>
              <w:spacing w:after="120" w:line="360" w:lineRule="auto"/>
              <w:rPr>
                <w:sz w:val="22"/>
                <w:szCs w:val="22"/>
                <w:lang w:val="en-GB"/>
              </w:rPr>
            </w:pPr>
            <w:r w:rsidRPr="00A61379">
              <w:rPr>
                <w:sz w:val="22"/>
                <w:szCs w:val="22"/>
                <w:lang w:val="en-GB"/>
              </w:rPr>
              <w:t>[3]</w:t>
            </w:r>
          </w:p>
        </w:tc>
        <w:tc>
          <w:tcPr>
            <w:tcW w:w="8647" w:type="dxa"/>
          </w:tcPr>
          <w:p w:rsidR="00B046B8" w:rsidRPr="00A61379" w:rsidRDefault="00B046B8" w:rsidP="00D54913">
            <w:pPr>
              <w:pStyle w:val="BodyText"/>
              <w:spacing w:after="120" w:line="360" w:lineRule="auto"/>
              <w:rPr>
                <w:sz w:val="22"/>
                <w:szCs w:val="22"/>
                <w:lang w:val="en-GB"/>
              </w:rPr>
            </w:pPr>
            <w:r w:rsidRPr="00A61379">
              <w:rPr>
                <w:sz w:val="22"/>
                <w:szCs w:val="22"/>
                <w:lang w:val="en-GB"/>
              </w:rPr>
              <w:t xml:space="preserve">INTERNATIONAL ATOMIC ENERGY AGENCY, Governmental, Legal and Regulatory Framework for Safety, </w:t>
            </w:r>
            <w:r w:rsidR="00CF0372" w:rsidRPr="00A61379">
              <w:rPr>
                <w:sz w:val="22"/>
                <w:szCs w:val="22"/>
                <w:lang w:val="en-GB"/>
              </w:rPr>
              <w:t xml:space="preserve">IAEA Safety Standards Series </w:t>
            </w:r>
            <w:r w:rsidRPr="00A61379">
              <w:rPr>
                <w:sz w:val="22"/>
                <w:szCs w:val="22"/>
                <w:lang w:val="en-GB"/>
              </w:rPr>
              <w:t>No. GSR Part 1</w:t>
            </w:r>
            <w:r w:rsidR="00F23CEE">
              <w:rPr>
                <w:sz w:val="22"/>
                <w:szCs w:val="22"/>
                <w:lang w:val="en-GB"/>
              </w:rPr>
              <w:t xml:space="preserve"> (Rev. 1)</w:t>
            </w:r>
            <w:r w:rsidRPr="00A61379">
              <w:rPr>
                <w:sz w:val="22"/>
                <w:szCs w:val="22"/>
                <w:lang w:val="en-GB"/>
              </w:rPr>
              <w:t>, IAEA, Vienna (201</w:t>
            </w:r>
            <w:r w:rsidR="001909AA">
              <w:rPr>
                <w:sz w:val="22"/>
                <w:szCs w:val="22"/>
                <w:lang w:val="en-GB"/>
              </w:rPr>
              <w:t>6</w:t>
            </w:r>
            <w:r w:rsidRPr="00A61379">
              <w:rPr>
                <w:sz w:val="22"/>
                <w:szCs w:val="22"/>
                <w:lang w:val="en-GB"/>
              </w:rPr>
              <w:t>)</w:t>
            </w:r>
            <w:r w:rsidRPr="00D54913">
              <w:rPr>
                <w:sz w:val="22"/>
                <w:szCs w:val="22"/>
                <w:lang w:val="en-GB"/>
              </w:rPr>
              <w:t>.</w:t>
            </w:r>
          </w:p>
        </w:tc>
      </w:tr>
      <w:tr w:rsidR="00BB1302" w:rsidRPr="00A61379" w:rsidTr="00BB4496">
        <w:trPr>
          <w:cantSplit/>
        </w:trPr>
        <w:tc>
          <w:tcPr>
            <w:tcW w:w="959" w:type="dxa"/>
          </w:tcPr>
          <w:p w:rsidR="00BB1302" w:rsidRPr="00BB3667" w:rsidRDefault="00BB1302" w:rsidP="006C448D">
            <w:pPr>
              <w:pStyle w:val="BodyText"/>
              <w:spacing w:after="120" w:line="360" w:lineRule="auto"/>
              <w:rPr>
                <w:sz w:val="22"/>
                <w:szCs w:val="22"/>
                <w:lang w:val="en-GB"/>
              </w:rPr>
            </w:pPr>
            <w:r w:rsidRPr="00BB3667">
              <w:rPr>
                <w:sz w:val="22"/>
                <w:szCs w:val="22"/>
                <w:lang w:val="en-GB"/>
              </w:rPr>
              <w:t>[4]</w:t>
            </w:r>
          </w:p>
        </w:tc>
        <w:tc>
          <w:tcPr>
            <w:tcW w:w="8647" w:type="dxa"/>
          </w:tcPr>
          <w:p w:rsidR="00BB1302" w:rsidRPr="00A61379" w:rsidRDefault="00072763" w:rsidP="00453B85">
            <w:pPr>
              <w:pStyle w:val="BodyText"/>
              <w:spacing w:after="120" w:line="360" w:lineRule="auto"/>
              <w:rPr>
                <w:sz w:val="22"/>
                <w:szCs w:val="22"/>
                <w:lang w:val="en-GB"/>
              </w:rPr>
            </w:pPr>
            <w:r w:rsidRPr="00453B85">
              <w:rPr>
                <w:sz w:val="22"/>
              </w:rPr>
              <w:t>COMPREHENSIVE NUCLEAR-TEST-BAN TREATY ORGANIZATION, FOOD AND AGRICULTURE ORGANIZATION OF THE UNITED NATIONS, INTERNATIONAL ATOMIC ENERGY AGENCY, INTERNATIONAL CIVIL AVIATION ORGANIZATION, INTERNATIONAL LABOUR ORGANIZATION, INTERNATIONAL MARITIME ORGANIZATION, INTERPOL, OECD NUCLEAR ENERGY AGENCY, PAN AMERICAN HEALTH ORGANIZATION, UNITED NATIONS ENVIRONMENT PROGRAMME, UNITED NATIONS OFFICE FOR THE CO-ORDINATION OF HUMANITARIAN AFFAIRS, WORLD HEALTH ORGANIZATION, WORLD METEOROLOGICAL ORGANIZATION, Preparedness and Response for a Nuclear or Radiological Emergency, IAEA Safety Standards Series No. GSR Part 7, IAEA, Vienna (2015).</w:t>
            </w:r>
          </w:p>
        </w:tc>
      </w:tr>
      <w:tr w:rsidR="00FE248E" w:rsidRPr="00A61379" w:rsidTr="00BB4496">
        <w:trPr>
          <w:cantSplit/>
        </w:trPr>
        <w:tc>
          <w:tcPr>
            <w:tcW w:w="959" w:type="dxa"/>
          </w:tcPr>
          <w:p w:rsidR="00FE248E" w:rsidRPr="00A61379" w:rsidRDefault="00B046B8" w:rsidP="00BB1302">
            <w:pPr>
              <w:pStyle w:val="BodyText"/>
              <w:spacing w:after="120" w:line="360" w:lineRule="auto"/>
              <w:rPr>
                <w:sz w:val="22"/>
                <w:szCs w:val="22"/>
                <w:lang w:val="en-GB"/>
              </w:rPr>
            </w:pPr>
            <w:r w:rsidRPr="00A61379">
              <w:rPr>
                <w:sz w:val="22"/>
                <w:szCs w:val="22"/>
                <w:lang w:val="en-GB"/>
              </w:rPr>
              <w:t>[</w:t>
            </w:r>
            <w:r w:rsidR="00BB1302">
              <w:rPr>
                <w:sz w:val="22"/>
                <w:szCs w:val="22"/>
                <w:lang w:val="en-GB"/>
              </w:rPr>
              <w:t>5</w:t>
            </w:r>
            <w:r w:rsidR="00FE248E" w:rsidRPr="00A61379">
              <w:rPr>
                <w:sz w:val="22"/>
                <w:szCs w:val="22"/>
                <w:lang w:val="en-GB"/>
              </w:rPr>
              <w:t>]</w:t>
            </w:r>
          </w:p>
        </w:tc>
        <w:tc>
          <w:tcPr>
            <w:tcW w:w="8647" w:type="dxa"/>
          </w:tcPr>
          <w:p w:rsidR="00FE248E" w:rsidRPr="00A61379" w:rsidRDefault="00FE248E" w:rsidP="006C448D">
            <w:pPr>
              <w:pStyle w:val="BodyText"/>
              <w:spacing w:after="120" w:line="360" w:lineRule="auto"/>
              <w:rPr>
                <w:sz w:val="22"/>
                <w:szCs w:val="22"/>
                <w:lang w:val="en-GB"/>
              </w:rPr>
            </w:pPr>
            <w:r w:rsidRPr="00A61379">
              <w:rPr>
                <w:sz w:val="22"/>
                <w:szCs w:val="22"/>
                <w:lang w:val="en-GB"/>
              </w:rPr>
              <w:t>INTERNATIONAL COMMISSION ON RADIOLOGICAL PROTECTION, The 2007 Recommendations of the International Commission on Radiological Protection, ICRP Publication 103, Elsevier (2007).</w:t>
            </w:r>
          </w:p>
        </w:tc>
      </w:tr>
      <w:tr w:rsidR="00FE248E" w:rsidRPr="00A61379" w:rsidTr="00BB4496">
        <w:trPr>
          <w:cantSplit/>
        </w:trPr>
        <w:tc>
          <w:tcPr>
            <w:tcW w:w="959" w:type="dxa"/>
          </w:tcPr>
          <w:p w:rsidR="00FE248E" w:rsidRPr="00A61379" w:rsidRDefault="00FE248E" w:rsidP="00BB1302">
            <w:pPr>
              <w:pStyle w:val="BodyText"/>
              <w:spacing w:after="120" w:line="360" w:lineRule="auto"/>
              <w:rPr>
                <w:sz w:val="22"/>
                <w:szCs w:val="22"/>
                <w:lang w:val="en-GB"/>
              </w:rPr>
            </w:pPr>
            <w:r w:rsidRPr="00A61379">
              <w:rPr>
                <w:sz w:val="22"/>
                <w:szCs w:val="22"/>
                <w:lang w:val="en-GB"/>
              </w:rPr>
              <w:t>[</w:t>
            </w:r>
            <w:r w:rsidR="00BB1302">
              <w:rPr>
                <w:sz w:val="22"/>
                <w:szCs w:val="22"/>
                <w:lang w:val="en-GB"/>
              </w:rPr>
              <w:t>6</w:t>
            </w:r>
            <w:r w:rsidRPr="00A61379">
              <w:rPr>
                <w:sz w:val="22"/>
                <w:szCs w:val="22"/>
                <w:lang w:val="en-GB"/>
              </w:rPr>
              <w:t>]</w:t>
            </w:r>
          </w:p>
        </w:tc>
        <w:tc>
          <w:tcPr>
            <w:tcW w:w="8647" w:type="dxa"/>
          </w:tcPr>
          <w:p w:rsidR="00EE1BFC" w:rsidRPr="00A61379" w:rsidRDefault="00FE248E" w:rsidP="006C448D">
            <w:pPr>
              <w:pStyle w:val="BodyText"/>
              <w:spacing w:after="120" w:line="360" w:lineRule="auto"/>
              <w:rPr>
                <w:sz w:val="22"/>
                <w:szCs w:val="22"/>
                <w:lang w:val="en-GB"/>
              </w:rPr>
            </w:pPr>
            <w:r w:rsidRPr="00A61379">
              <w:rPr>
                <w:sz w:val="22"/>
                <w:szCs w:val="22"/>
                <w:lang w:val="en-GB"/>
              </w:rPr>
              <w:t>INTERNATIONAL COMMISSION ON RADIOLOGICAL PROTECTION, Environmental Protection: the Concept and Use of Reference Animals and Plants, ICRP Publication 108, Elsevier (2008).</w:t>
            </w:r>
          </w:p>
        </w:tc>
      </w:tr>
      <w:tr w:rsidR="006A18FB" w:rsidRPr="00A61379" w:rsidTr="00BB4496">
        <w:trPr>
          <w:cantSplit/>
        </w:trPr>
        <w:tc>
          <w:tcPr>
            <w:tcW w:w="959" w:type="dxa"/>
          </w:tcPr>
          <w:p w:rsidR="006A18FB" w:rsidRPr="00A61379" w:rsidRDefault="006A18FB" w:rsidP="00BB1302">
            <w:pPr>
              <w:pStyle w:val="BodyText"/>
              <w:spacing w:after="120" w:line="360" w:lineRule="auto"/>
              <w:rPr>
                <w:sz w:val="22"/>
                <w:szCs w:val="22"/>
                <w:lang w:val="en-GB"/>
              </w:rPr>
            </w:pPr>
            <w:r w:rsidRPr="00A61379">
              <w:rPr>
                <w:sz w:val="22"/>
                <w:szCs w:val="22"/>
                <w:lang w:val="en-GB"/>
              </w:rPr>
              <w:lastRenderedPageBreak/>
              <w:t>[</w:t>
            </w:r>
            <w:r w:rsidR="00BB1302">
              <w:rPr>
                <w:sz w:val="22"/>
                <w:szCs w:val="22"/>
                <w:lang w:val="en-GB"/>
              </w:rPr>
              <w:t>7</w:t>
            </w:r>
            <w:r w:rsidRPr="00A61379">
              <w:rPr>
                <w:sz w:val="22"/>
                <w:szCs w:val="22"/>
                <w:lang w:val="en-GB"/>
              </w:rPr>
              <w:t>]</w:t>
            </w:r>
          </w:p>
        </w:tc>
        <w:tc>
          <w:tcPr>
            <w:tcW w:w="8647" w:type="dxa"/>
          </w:tcPr>
          <w:p w:rsidR="006A18FB" w:rsidRPr="00A61379" w:rsidRDefault="00BB1302" w:rsidP="00BB1302">
            <w:pPr>
              <w:pStyle w:val="BodyText"/>
              <w:spacing w:after="120" w:line="360" w:lineRule="auto"/>
              <w:rPr>
                <w:sz w:val="22"/>
                <w:szCs w:val="22"/>
                <w:lang w:val="en-GB"/>
              </w:rPr>
            </w:pPr>
            <w:r w:rsidRPr="00A61379">
              <w:rPr>
                <w:sz w:val="22"/>
                <w:szCs w:val="22"/>
                <w:lang w:val="en-GB"/>
              </w:rPr>
              <w:t xml:space="preserve">INTERNATIONAL COMMISSION ON RADIOLOGICAL PROTECTION, </w:t>
            </w:r>
            <w:r>
              <w:rPr>
                <w:sz w:val="22"/>
                <w:szCs w:val="22"/>
                <w:lang w:val="en-GB"/>
              </w:rPr>
              <w:t>Protection of the Environment under Different Exposure Situations</w:t>
            </w:r>
            <w:r w:rsidRPr="00A61379">
              <w:rPr>
                <w:sz w:val="22"/>
                <w:szCs w:val="22"/>
                <w:lang w:val="en-GB"/>
              </w:rPr>
              <w:t>, ICRP Publication 1</w:t>
            </w:r>
            <w:r>
              <w:rPr>
                <w:sz w:val="22"/>
                <w:szCs w:val="22"/>
                <w:lang w:val="en-GB"/>
              </w:rPr>
              <w:t>24, Elsevier (2014</w:t>
            </w:r>
            <w:r w:rsidRPr="00A61379">
              <w:rPr>
                <w:sz w:val="22"/>
                <w:szCs w:val="22"/>
                <w:lang w:val="en-GB"/>
              </w:rPr>
              <w:t>).</w:t>
            </w:r>
          </w:p>
        </w:tc>
      </w:tr>
      <w:tr w:rsidR="00F84F73" w:rsidRPr="00A61379" w:rsidTr="00BB4496">
        <w:trPr>
          <w:cantSplit/>
        </w:trPr>
        <w:tc>
          <w:tcPr>
            <w:tcW w:w="959" w:type="dxa"/>
          </w:tcPr>
          <w:p w:rsidR="00F84F73" w:rsidRPr="00A61379" w:rsidRDefault="00F84F73" w:rsidP="006C448D">
            <w:pPr>
              <w:pStyle w:val="BodyText"/>
              <w:spacing w:after="120" w:line="360" w:lineRule="auto"/>
              <w:rPr>
                <w:sz w:val="22"/>
                <w:szCs w:val="22"/>
                <w:lang w:val="en-GB"/>
              </w:rPr>
            </w:pPr>
            <w:r w:rsidRPr="00A61379">
              <w:rPr>
                <w:sz w:val="22"/>
                <w:szCs w:val="22"/>
                <w:lang w:val="en-GB"/>
              </w:rPr>
              <w:t>[</w:t>
            </w:r>
            <w:r w:rsidR="00A66876">
              <w:rPr>
                <w:sz w:val="22"/>
                <w:szCs w:val="22"/>
                <w:lang w:val="en-GB"/>
              </w:rPr>
              <w:t>8</w:t>
            </w:r>
            <w:r w:rsidRPr="00A61379">
              <w:rPr>
                <w:sz w:val="22"/>
                <w:szCs w:val="22"/>
                <w:lang w:val="en-GB"/>
              </w:rPr>
              <w:t>]</w:t>
            </w:r>
          </w:p>
        </w:tc>
        <w:tc>
          <w:tcPr>
            <w:tcW w:w="8647" w:type="dxa"/>
          </w:tcPr>
          <w:p w:rsidR="00F84F73" w:rsidRPr="00A61379" w:rsidRDefault="00F84F73" w:rsidP="00A61379">
            <w:pPr>
              <w:pStyle w:val="BodyText"/>
              <w:spacing w:after="120" w:line="360" w:lineRule="auto"/>
              <w:rPr>
                <w:sz w:val="22"/>
                <w:szCs w:val="22"/>
                <w:lang w:val="en-GB"/>
              </w:rPr>
            </w:pPr>
            <w:r w:rsidRPr="00A61379">
              <w:rPr>
                <w:sz w:val="22"/>
                <w:szCs w:val="22"/>
                <w:lang w:val="en-GB"/>
              </w:rPr>
              <w:t>INTERNATIONAL ATOMIC ENERGY AGENCY, Justification of Practices, including Non-Medical Human Imaging, IAEA Safety Standards Series No. GSG-5, IAEA, Vienna</w:t>
            </w:r>
            <w:r w:rsidR="00A61379">
              <w:rPr>
                <w:sz w:val="22"/>
                <w:szCs w:val="22"/>
                <w:lang w:val="en-GB"/>
              </w:rPr>
              <w:t xml:space="preserve"> (</w:t>
            </w:r>
            <w:r w:rsidRPr="00A61379">
              <w:rPr>
                <w:sz w:val="22"/>
                <w:szCs w:val="22"/>
                <w:lang w:val="en-GB"/>
              </w:rPr>
              <w:t>2014</w:t>
            </w:r>
            <w:r w:rsidR="00A61379">
              <w:rPr>
                <w:sz w:val="22"/>
                <w:szCs w:val="22"/>
                <w:lang w:val="en-GB"/>
              </w:rPr>
              <w:t>)</w:t>
            </w:r>
            <w:r w:rsidRPr="00A61379">
              <w:rPr>
                <w:sz w:val="22"/>
                <w:szCs w:val="22"/>
                <w:lang w:val="en-GB"/>
              </w:rPr>
              <w:t>.</w:t>
            </w:r>
          </w:p>
        </w:tc>
      </w:tr>
      <w:tr w:rsidR="00F84F73" w:rsidRPr="00A61379" w:rsidTr="00BB4496">
        <w:trPr>
          <w:cantSplit/>
        </w:trPr>
        <w:tc>
          <w:tcPr>
            <w:tcW w:w="959" w:type="dxa"/>
          </w:tcPr>
          <w:p w:rsidR="00F84F73" w:rsidRPr="00A61379" w:rsidRDefault="00F84F73" w:rsidP="00A66876">
            <w:pPr>
              <w:pStyle w:val="BodyText"/>
              <w:spacing w:after="120" w:line="360" w:lineRule="auto"/>
              <w:rPr>
                <w:sz w:val="22"/>
                <w:szCs w:val="22"/>
                <w:lang w:val="en-GB"/>
              </w:rPr>
            </w:pPr>
            <w:r w:rsidRPr="00A61379">
              <w:rPr>
                <w:sz w:val="22"/>
                <w:szCs w:val="22"/>
                <w:lang w:val="en-GB"/>
              </w:rPr>
              <w:t>[</w:t>
            </w:r>
            <w:r w:rsidR="00A66876">
              <w:rPr>
                <w:sz w:val="22"/>
                <w:szCs w:val="22"/>
                <w:lang w:val="en-GB"/>
              </w:rPr>
              <w:t>9</w:t>
            </w:r>
            <w:r w:rsidRPr="00A61379">
              <w:rPr>
                <w:sz w:val="22"/>
                <w:szCs w:val="22"/>
                <w:lang w:val="en-GB"/>
              </w:rPr>
              <w:t>]</w:t>
            </w:r>
          </w:p>
        </w:tc>
        <w:tc>
          <w:tcPr>
            <w:tcW w:w="8647" w:type="dxa"/>
          </w:tcPr>
          <w:p w:rsidR="00F84F73" w:rsidRPr="00A61379" w:rsidRDefault="00F84F73" w:rsidP="00940A8A">
            <w:pPr>
              <w:pStyle w:val="BodyText"/>
              <w:spacing w:after="120" w:line="360" w:lineRule="auto"/>
              <w:rPr>
                <w:sz w:val="22"/>
                <w:szCs w:val="22"/>
                <w:lang w:val="en-GB"/>
              </w:rPr>
            </w:pPr>
            <w:r w:rsidRPr="00A61379">
              <w:rPr>
                <w:sz w:val="22"/>
                <w:szCs w:val="22"/>
                <w:lang w:val="en-GB"/>
              </w:rPr>
              <w:t xml:space="preserve">INTERNATIONAL ATOMIC ENERGY AGENCY, </w:t>
            </w:r>
            <w:r w:rsidR="00940A8A">
              <w:rPr>
                <w:bCs/>
                <w:sz w:val="22"/>
                <w:szCs w:val="22"/>
                <w:lang w:val="en-GB" w:eastAsia="en-GB"/>
              </w:rPr>
              <w:t>P</w:t>
            </w:r>
            <w:r w:rsidR="00DF2D3B" w:rsidRPr="00813A36">
              <w:rPr>
                <w:bCs/>
                <w:sz w:val="22"/>
                <w:szCs w:val="22"/>
                <w:lang w:val="en-GB" w:eastAsia="en-GB"/>
              </w:rPr>
              <w:t xml:space="preserve">rospective </w:t>
            </w:r>
            <w:r w:rsidR="00940A8A">
              <w:rPr>
                <w:bCs/>
                <w:sz w:val="22"/>
                <w:szCs w:val="22"/>
                <w:lang w:val="en-GB" w:eastAsia="en-GB"/>
              </w:rPr>
              <w:t>R</w:t>
            </w:r>
            <w:r w:rsidR="00DF2D3B" w:rsidRPr="00813A36">
              <w:rPr>
                <w:bCs/>
                <w:sz w:val="22"/>
                <w:szCs w:val="22"/>
                <w:lang w:val="en-GB" w:eastAsia="en-GB"/>
              </w:rPr>
              <w:t xml:space="preserve">adiological </w:t>
            </w:r>
            <w:r w:rsidR="00940A8A">
              <w:rPr>
                <w:bCs/>
                <w:sz w:val="22"/>
                <w:szCs w:val="22"/>
                <w:lang w:val="en-GB" w:eastAsia="en-GB"/>
              </w:rPr>
              <w:t>E</w:t>
            </w:r>
            <w:r w:rsidR="00DF2D3B" w:rsidRPr="00813A36">
              <w:rPr>
                <w:bCs/>
                <w:sz w:val="22"/>
                <w:szCs w:val="22"/>
                <w:lang w:val="en-GB" w:eastAsia="en-GB"/>
              </w:rPr>
              <w:t xml:space="preserve">nvironmental </w:t>
            </w:r>
            <w:r w:rsidR="00940A8A">
              <w:rPr>
                <w:bCs/>
                <w:sz w:val="22"/>
                <w:szCs w:val="22"/>
                <w:lang w:val="en-GB" w:eastAsia="en-GB"/>
              </w:rPr>
              <w:t>I</w:t>
            </w:r>
            <w:r w:rsidR="00DF2D3B" w:rsidRPr="00813A36">
              <w:rPr>
                <w:bCs/>
                <w:sz w:val="22"/>
                <w:szCs w:val="22"/>
                <w:lang w:val="en-GB" w:eastAsia="en-GB"/>
              </w:rPr>
              <w:t xml:space="preserve">mpact </w:t>
            </w:r>
            <w:r w:rsidR="00940A8A">
              <w:rPr>
                <w:bCs/>
                <w:sz w:val="22"/>
                <w:szCs w:val="22"/>
                <w:lang w:val="en-GB" w:eastAsia="en-GB"/>
              </w:rPr>
              <w:t>A</w:t>
            </w:r>
            <w:r w:rsidR="00DF2D3B" w:rsidRPr="00813A36">
              <w:rPr>
                <w:bCs/>
                <w:sz w:val="22"/>
                <w:szCs w:val="22"/>
                <w:lang w:val="en-GB" w:eastAsia="en-GB"/>
              </w:rPr>
              <w:t xml:space="preserve">ssessment </w:t>
            </w:r>
            <w:r w:rsidR="00940A8A">
              <w:rPr>
                <w:bCs/>
                <w:sz w:val="22"/>
                <w:szCs w:val="22"/>
                <w:lang w:val="en-GB" w:eastAsia="en-GB"/>
              </w:rPr>
              <w:t>for Facilities and Activities</w:t>
            </w:r>
            <w:r w:rsidRPr="00813A36">
              <w:rPr>
                <w:sz w:val="22"/>
                <w:szCs w:val="22"/>
                <w:lang w:val="en-GB"/>
              </w:rPr>
              <w:t>,</w:t>
            </w:r>
            <w:r w:rsidRPr="00A61379">
              <w:rPr>
                <w:sz w:val="22"/>
                <w:szCs w:val="22"/>
                <w:lang w:val="en-GB"/>
              </w:rPr>
              <w:t xml:space="preserve"> </w:t>
            </w:r>
            <w:r w:rsidR="00C40BEB">
              <w:rPr>
                <w:sz w:val="22"/>
                <w:szCs w:val="22"/>
                <w:lang w:val="en-GB"/>
              </w:rPr>
              <w:t xml:space="preserve">IAEA Safety Standards </w:t>
            </w:r>
            <w:r w:rsidR="00940A8A">
              <w:rPr>
                <w:sz w:val="22"/>
                <w:szCs w:val="22"/>
                <w:lang w:val="en-GB"/>
              </w:rPr>
              <w:t>Series</w:t>
            </w:r>
            <w:r w:rsidR="00C40BEB">
              <w:rPr>
                <w:sz w:val="22"/>
                <w:szCs w:val="22"/>
                <w:lang w:val="en-GB"/>
              </w:rPr>
              <w:t xml:space="preserve">, </w:t>
            </w:r>
            <w:r w:rsidRPr="00A61379">
              <w:rPr>
                <w:sz w:val="22"/>
                <w:szCs w:val="22"/>
                <w:lang w:val="en-GB"/>
              </w:rPr>
              <w:t xml:space="preserve">IAEA, Vienna </w:t>
            </w:r>
            <w:r w:rsidR="00C40BEB">
              <w:rPr>
                <w:sz w:val="22"/>
                <w:szCs w:val="22"/>
                <w:lang w:val="en-GB"/>
              </w:rPr>
              <w:t>(</w:t>
            </w:r>
            <w:r w:rsidR="00940A8A">
              <w:rPr>
                <w:sz w:val="22"/>
                <w:szCs w:val="22"/>
                <w:lang w:val="en-GB"/>
              </w:rPr>
              <w:t>in preparation</w:t>
            </w:r>
            <w:r w:rsidR="00DF2D3B">
              <w:rPr>
                <w:sz w:val="22"/>
                <w:szCs w:val="22"/>
                <w:lang w:val="en-GB"/>
              </w:rPr>
              <w:t>)</w:t>
            </w:r>
            <w:r w:rsidRPr="00A61379">
              <w:rPr>
                <w:sz w:val="22"/>
                <w:szCs w:val="22"/>
                <w:lang w:val="en-GB"/>
              </w:rPr>
              <w:t>.</w:t>
            </w:r>
            <w:r w:rsidR="00940A8A">
              <w:rPr>
                <w:sz w:val="22"/>
                <w:szCs w:val="22"/>
                <w:lang w:val="en-GB"/>
              </w:rPr>
              <w:t>[DS427]</w:t>
            </w:r>
          </w:p>
        </w:tc>
      </w:tr>
      <w:tr w:rsidR="001E3541" w:rsidRPr="00A61379" w:rsidTr="00BB4496">
        <w:trPr>
          <w:cantSplit/>
        </w:trPr>
        <w:tc>
          <w:tcPr>
            <w:tcW w:w="959" w:type="dxa"/>
          </w:tcPr>
          <w:p w:rsidR="001E3541" w:rsidRPr="00A61379" w:rsidRDefault="001E3541" w:rsidP="00A66876">
            <w:pPr>
              <w:pStyle w:val="BodyText"/>
              <w:spacing w:after="120" w:line="360" w:lineRule="auto"/>
              <w:rPr>
                <w:sz w:val="22"/>
                <w:szCs w:val="22"/>
                <w:lang w:val="en-GB"/>
              </w:rPr>
            </w:pPr>
            <w:r>
              <w:rPr>
                <w:sz w:val="22"/>
                <w:szCs w:val="22"/>
                <w:lang w:val="en-GB"/>
              </w:rPr>
              <w:t>[</w:t>
            </w:r>
            <w:r w:rsidR="00A66876">
              <w:rPr>
                <w:sz w:val="22"/>
                <w:szCs w:val="22"/>
                <w:lang w:val="en-GB"/>
              </w:rPr>
              <w:t>10</w:t>
            </w:r>
            <w:r>
              <w:rPr>
                <w:sz w:val="22"/>
                <w:szCs w:val="22"/>
                <w:lang w:val="en-GB"/>
              </w:rPr>
              <w:t>]</w:t>
            </w:r>
          </w:p>
        </w:tc>
        <w:tc>
          <w:tcPr>
            <w:tcW w:w="8647" w:type="dxa"/>
          </w:tcPr>
          <w:p w:rsidR="001E3541" w:rsidRPr="00A61379" w:rsidRDefault="00A17868" w:rsidP="00940A8A">
            <w:pPr>
              <w:pStyle w:val="BodyText"/>
              <w:spacing w:after="120" w:line="360" w:lineRule="auto"/>
              <w:rPr>
                <w:sz w:val="22"/>
                <w:szCs w:val="22"/>
                <w:lang w:val="en-GB"/>
              </w:rPr>
            </w:pPr>
            <w:r w:rsidRPr="009A5B87">
              <w:rPr>
                <w:sz w:val="22"/>
                <w:szCs w:val="22"/>
                <w:lang w:val="en-GB"/>
              </w:rPr>
              <w:t xml:space="preserve">INTERNATIONAL ATOMIC ENERGY AGENCY, Regulatory Control of Radioactive </w:t>
            </w:r>
            <w:r w:rsidRPr="009A5B87">
              <w:rPr>
                <w:sz w:val="22"/>
                <w:szCs w:val="22"/>
              </w:rPr>
              <w:t>Discharges to the Environment</w:t>
            </w:r>
            <w:r w:rsidR="009A5B87">
              <w:rPr>
                <w:sz w:val="22"/>
                <w:szCs w:val="22"/>
              </w:rPr>
              <w:t>,</w:t>
            </w:r>
            <w:r w:rsidRPr="009A5B87" w:rsidDel="00CF0372">
              <w:rPr>
                <w:sz w:val="22"/>
                <w:szCs w:val="22"/>
                <w:lang w:val="en-GB"/>
              </w:rPr>
              <w:t xml:space="preserve"> </w:t>
            </w:r>
            <w:r w:rsidR="009A5B87">
              <w:rPr>
                <w:sz w:val="22"/>
                <w:szCs w:val="22"/>
                <w:lang w:val="en-GB"/>
              </w:rPr>
              <w:t xml:space="preserve">IAEA Safety Standards </w:t>
            </w:r>
            <w:r w:rsidR="00940A8A">
              <w:rPr>
                <w:sz w:val="22"/>
                <w:szCs w:val="22"/>
                <w:lang w:val="en-GB"/>
              </w:rPr>
              <w:t>Series</w:t>
            </w:r>
            <w:r w:rsidRPr="00A61379">
              <w:rPr>
                <w:sz w:val="22"/>
                <w:szCs w:val="22"/>
                <w:lang w:val="en-GB"/>
              </w:rPr>
              <w:t>, IAEA, Vienna (</w:t>
            </w:r>
            <w:r w:rsidR="00940A8A">
              <w:rPr>
                <w:sz w:val="22"/>
                <w:szCs w:val="22"/>
                <w:lang w:val="en-GB"/>
              </w:rPr>
              <w:t>in preparation</w:t>
            </w:r>
            <w:r w:rsidRPr="00A61379">
              <w:rPr>
                <w:sz w:val="22"/>
                <w:szCs w:val="22"/>
                <w:lang w:val="en-GB"/>
              </w:rPr>
              <w:t>).</w:t>
            </w:r>
            <w:r w:rsidR="00940A8A">
              <w:rPr>
                <w:sz w:val="22"/>
                <w:szCs w:val="22"/>
                <w:lang w:val="en-GB"/>
              </w:rPr>
              <w:t>[DS442]</w:t>
            </w:r>
          </w:p>
        </w:tc>
      </w:tr>
      <w:tr w:rsidR="001E3541" w:rsidRPr="00A61379" w:rsidTr="00BB4496">
        <w:trPr>
          <w:cantSplit/>
        </w:trPr>
        <w:tc>
          <w:tcPr>
            <w:tcW w:w="959" w:type="dxa"/>
          </w:tcPr>
          <w:p w:rsidR="001E3541" w:rsidRPr="00A61379" w:rsidRDefault="001E3541" w:rsidP="00A66876">
            <w:pPr>
              <w:pStyle w:val="BodyText"/>
              <w:spacing w:after="120" w:line="360" w:lineRule="auto"/>
              <w:rPr>
                <w:sz w:val="22"/>
                <w:szCs w:val="22"/>
                <w:lang w:val="en-GB"/>
              </w:rPr>
            </w:pPr>
            <w:r>
              <w:rPr>
                <w:sz w:val="22"/>
                <w:szCs w:val="22"/>
                <w:lang w:val="en-GB"/>
              </w:rPr>
              <w:t>[1</w:t>
            </w:r>
            <w:r w:rsidR="00A66876">
              <w:rPr>
                <w:sz w:val="22"/>
                <w:szCs w:val="22"/>
                <w:lang w:val="en-GB"/>
              </w:rPr>
              <w:t>1</w:t>
            </w:r>
            <w:r>
              <w:rPr>
                <w:sz w:val="22"/>
                <w:szCs w:val="22"/>
                <w:lang w:val="en-GB"/>
              </w:rPr>
              <w:t>]</w:t>
            </w:r>
          </w:p>
        </w:tc>
        <w:tc>
          <w:tcPr>
            <w:tcW w:w="8647" w:type="dxa"/>
          </w:tcPr>
          <w:p w:rsidR="001E3541" w:rsidRPr="00A61379" w:rsidRDefault="00A17868" w:rsidP="00122582">
            <w:pPr>
              <w:pStyle w:val="BodyText"/>
              <w:spacing w:after="120" w:line="360" w:lineRule="auto"/>
              <w:rPr>
                <w:sz w:val="22"/>
                <w:szCs w:val="22"/>
                <w:lang w:val="en-GB"/>
              </w:rPr>
            </w:pPr>
            <w:r w:rsidRPr="00A61379">
              <w:rPr>
                <w:sz w:val="22"/>
                <w:szCs w:val="22"/>
                <w:lang w:val="en-GB"/>
              </w:rPr>
              <w:t>INTERNATIONAL ATOMIC ENERGY AGENCY,</w:t>
            </w:r>
            <w:r>
              <w:rPr>
                <w:sz w:val="22"/>
                <w:szCs w:val="22"/>
                <w:lang w:val="en-GB"/>
              </w:rPr>
              <w:t xml:space="preserve"> </w:t>
            </w:r>
            <w:r w:rsidR="009A5B87">
              <w:rPr>
                <w:sz w:val="22"/>
                <w:szCs w:val="22"/>
                <w:lang w:val="en-GB"/>
              </w:rPr>
              <w:t xml:space="preserve">Radiation </w:t>
            </w:r>
            <w:r w:rsidR="00D54913">
              <w:rPr>
                <w:sz w:val="22"/>
                <w:szCs w:val="22"/>
                <w:lang w:val="en-GB"/>
              </w:rPr>
              <w:t>Safety</w:t>
            </w:r>
            <w:r w:rsidR="009A5B87">
              <w:rPr>
                <w:sz w:val="22"/>
                <w:szCs w:val="22"/>
                <w:lang w:val="en-GB"/>
              </w:rPr>
              <w:t xml:space="preserve"> for Consumer Products</w:t>
            </w:r>
            <w:r>
              <w:rPr>
                <w:sz w:val="22"/>
                <w:szCs w:val="22"/>
                <w:lang w:val="en-GB"/>
              </w:rPr>
              <w:t xml:space="preserve">, </w:t>
            </w:r>
            <w:r w:rsidR="00122582">
              <w:rPr>
                <w:sz w:val="22"/>
                <w:szCs w:val="22"/>
                <w:lang w:val="en-GB"/>
              </w:rPr>
              <w:t>IAEA Safety Standards No.</w:t>
            </w:r>
            <w:r w:rsidR="00122582" w:rsidRPr="00A61379">
              <w:rPr>
                <w:sz w:val="22"/>
                <w:szCs w:val="22"/>
                <w:lang w:val="en-GB"/>
              </w:rPr>
              <w:t xml:space="preserve"> </w:t>
            </w:r>
            <w:r w:rsidR="00122582">
              <w:rPr>
                <w:sz w:val="22"/>
                <w:szCs w:val="22"/>
                <w:lang w:val="en-GB"/>
              </w:rPr>
              <w:t xml:space="preserve">SSG-36, </w:t>
            </w:r>
            <w:r>
              <w:rPr>
                <w:sz w:val="22"/>
                <w:szCs w:val="22"/>
                <w:lang w:val="en-GB"/>
              </w:rPr>
              <w:t>IAEA, Vienna (</w:t>
            </w:r>
            <w:r w:rsidR="00A63A1E">
              <w:rPr>
                <w:sz w:val="22"/>
                <w:szCs w:val="22"/>
                <w:lang w:val="en-GB"/>
              </w:rPr>
              <w:t>20</w:t>
            </w:r>
            <w:r w:rsidR="00122582">
              <w:rPr>
                <w:sz w:val="22"/>
                <w:szCs w:val="22"/>
                <w:lang w:val="en-GB"/>
              </w:rPr>
              <w:t>16</w:t>
            </w:r>
            <w:r>
              <w:rPr>
                <w:sz w:val="22"/>
                <w:szCs w:val="22"/>
                <w:lang w:val="en-GB"/>
              </w:rPr>
              <w:t>)</w:t>
            </w:r>
            <w:r w:rsidR="00122582">
              <w:rPr>
                <w:sz w:val="22"/>
                <w:szCs w:val="22"/>
                <w:lang w:val="en-GB"/>
              </w:rPr>
              <w:t>.</w:t>
            </w:r>
          </w:p>
        </w:tc>
      </w:tr>
      <w:tr w:rsidR="001E3541" w:rsidRPr="00A61379" w:rsidTr="00BB4496">
        <w:trPr>
          <w:cantSplit/>
        </w:trPr>
        <w:tc>
          <w:tcPr>
            <w:tcW w:w="959" w:type="dxa"/>
          </w:tcPr>
          <w:p w:rsidR="001E3541" w:rsidRPr="00A61379" w:rsidRDefault="001E3541" w:rsidP="00A66876">
            <w:pPr>
              <w:pStyle w:val="BodyText"/>
              <w:spacing w:after="120" w:line="360" w:lineRule="auto"/>
              <w:rPr>
                <w:sz w:val="22"/>
                <w:szCs w:val="22"/>
                <w:lang w:val="en-GB"/>
              </w:rPr>
            </w:pPr>
            <w:r>
              <w:rPr>
                <w:sz w:val="22"/>
                <w:szCs w:val="22"/>
                <w:lang w:val="en-GB"/>
              </w:rPr>
              <w:t>[1</w:t>
            </w:r>
            <w:r w:rsidR="00A66876">
              <w:rPr>
                <w:sz w:val="22"/>
                <w:szCs w:val="22"/>
                <w:lang w:val="en-GB"/>
              </w:rPr>
              <w:t>2</w:t>
            </w:r>
            <w:r>
              <w:rPr>
                <w:sz w:val="22"/>
                <w:szCs w:val="22"/>
                <w:lang w:val="en-GB"/>
              </w:rPr>
              <w:t>]</w:t>
            </w:r>
          </w:p>
        </w:tc>
        <w:tc>
          <w:tcPr>
            <w:tcW w:w="8647" w:type="dxa"/>
          </w:tcPr>
          <w:p w:rsidR="001E3541" w:rsidRPr="00A61379" w:rsidRDefault="000C6860" w:rsidP="000C6860">
            <w:pPr>
              <w:pStyle w:val="BodyText"/>
              <w:spacing w:after="120" w:line="360" w:lineRule="auto"/>
              <w:rPr>
                <w:sz w:val="22"/>
                <w:szCs w:val="22"/>
                <w:lang w:val="en-GB"/>
              </w:rPr>
            </w:pPr>
            <w:r w:rsidRPr="00453B85">
              <w:rPr>
                <w:sz w:val="22"/>
              </w:rPr>
              <w:t xml:space="preserve">FOOD AND AGRICULTURE ORGANIZATION OF THE UNITED NATIONS, </w:t>
            </w:r>
            <w:r w:rsidR="00A17868" w:rsidRPr="00A61379">
              <w:rPr>
                <w:sz w:val="22"/>
                <w:szCs w:val="22"/>
                <w:lang w:val="en-GB"/>
              </w:rPr>
              <w:t xml:space="preserve">INTERNATIONAL ATOMIC ENERGY AGENCY, </w:t>
            </w:r>
            <w:r w:rsidRPr="00453B85">
              <w:rPr>
                <w:sz w:val="22"/>
              </w:rPr>
              <w:t xml:space="preserve">INTERNATIONAL LABOUR </w:t>
            </w:r>
            <w:r>
              <w:rPr>
                <w:sz w:val="22"/>
              </w:rPr>
              <w:t>OFFICE</w:t>
            </w:r>
            <w:r w:rsidRPr="00453B85">
              <w:rPr>
                <w:sz w:val="22"/>
              </w:rPr>
              <w:t>, PA</w:t>
            </w:r>
            <w:r>
              <w:rPr>
                <w:sz w:val="22"/>
              </w:rPr>
              <w:t xml:space="preserve">N AMERICAN HEALTH ORGANIZATION, </w:t>
            </w:r>
            <w:r w:rsidRPr="00453B85">
              <w:rPr>
                <w:sz w:val="22"/>
              </w:rPr>
              <w:t>WORLD HEALTH ORGANIZATION</w:t>
            </w:r>
            <w:r>
              <w:rPr>
                <w:sz w:val="22"/>
              </w:rPr>
              <w:t xml:space="preserve">, </w:t>
            </w:r>
            <w:r w:rsidR="00A17868" w:rsidRPr="00A61379">
              <w:rPr>
                <w:sz w:val="22"/>
                <w:szCs w:val="22"/>
                <w:lang w:val="en-GB"/>
              </w:rPr>
              <w:t>Criteria for Use in Preparedness and Response for a Nuclear or Radiological Emergency, IAEA Safety Standards Series No. GSG-2, IAEA, Vienna</w:t>
            </w:r>
            <w:r w:rsidR="00A17868">
              <w:rPr>
                <w:sz w:val="22"/>
                <w:szCs w:val="22"/>
                <w:lang w:val="en-GB"/>
              </w:rPr>
              <w:t xml:space="preserve"> (</w:t>
            </w:r>
            <w:r w:rsidR="00A17868" w:rsidRPr="00A61379">
              <w:rPr>
                <w:sz w:val="22"/>
                <w:szCs w:val="22"/>
                <w:lang w:val="en-GB"/>
              </w:rPr>
              <w:t>2011</w:t>
            </w:r>
            <w:r w:rsidR="00A17868">
              <w:rPr>
                <w:sz w:val="22"/>
                <w:szCs w:val="22"/>
                <w:lang w:val="en-GB"/>
              </w:rPr>
              <w:t>)</w:t>
            </w:r>
            <w:r w:rsidR="00A17868" w:rsidRPr="00A61379">
              <w:rPr>
                <w:sz w:val="22"/>
                <w:szCs w:val="22"/>
                <w:lang w:val="en-GB"/>
              </w:rPr>
              <w:t>.</w:t>
            </w:r>
          </w:p>
        </w:tc>
      </w:tr>
      <w:tr w:rsidR="00F84F73" w:rsidRPr="00A61379" w:rsidTr="00BB4496">
        <w:trPr>
          <w:cantSplit/>
        </w:trPr>
        <w:tc>
          <w:tcPr>
            <w:tcW w:w="959" w:type="dxa"/>
          </w:tcPr>
          <w:p w:rsidR="00F84F73" w:rsidRPr="00A61379" w:rsidRDefault="00F84F73" w:rsidP="00A66876">
            <w:pPr>
              <w:pStyle w:val="BodyText"/>
              <w:spacing w:after="120" w:line="360" w:lineRule="auto"/>
              <w:rPr>
                <w:sz w:val="22"/>
                <w:szCs w:val="22"/>
                <w:lang w:val="en-GB"/>
              </w:rPr>
            </w:pPr>
            <w:r w:rsidRPr="00A61379">
              <w:rPr>
                <w:sz w:val="22"/>
                <w:szCs w:val="22"/>
                <w:lang w:val="en-GB"/>
              </w:rPr>
              <w:t>[</w:t>
            </w:r>
            <w:r w:rsidR="001E3541">
              <w:rPr>
                <w:sz w:val="22"/>
                <w:szCs w:val="22"/>
                <w:lang w:val="en-GB"/>
              </w:rPr>
              <w:t>1</w:t>
            </w:r>
            <w:r w:rsidR="00A66876">
              <w:rPr>
                <w:sz w:val="22"/>
                <w:szCs w:val="22"/>
                <w:lang w:val="en-GB"/>
              </w:rPr>
              <w:t>3</w:t>
            </w:r>
            <w:r w:rsidRPr="00A61379">
              <w:rPr>
                <w:sz w:val="22"/>
                <w:szCs w:val="22"/>
                <w:lang w:val="en-GB"/>
              </w:rPr>
              <w:t>]</w:t>
            </w:r>
          </w:p>
        </w:tc>
        <w:tc>
          <w:tcPr>
            <w:tcW w:w="8647" w:type="dxa"/>
          </w:tcPr>
          <w:p w:rsidR="00F84F73" w:rsidRPr="00A61379" w:rsidRDefault="000C6860" w:rsidP="00CF0372">
            <w:pPr>
              <w:pStyle w:val="BodyText"/>
              <w:spacing w:after="120" w:line="360" w:lineRule="auto"/>
              <w:rPr>
                <w:sz w:val="22"/>
                <w:szCs w:val="22"/>
                <w:lang w:val="en-GB"/>
              </w:rPr>
            </w:pPr>
            <w:r w:rsidRPr="00453B85">
              <w:rPr>
                <w:sz w:val="22"/>
              </w:rPr>
              <w:t>FOOD AND AGRICULTURE ORGANIZATION OF THE UNITED NATIONS,</w:t>
            </w:r>
            <w:r>
              <w:rPr>
                <w:sz w:val="22"/>
              </w:rPr>
              <w:t xml:space="preserve"> </w:t>
            </w:r>
            <w:r w:rsidR="00A17868" w:rsidRPr="00A61379">
              <w:rPr>
                <w:sz w:val="22"/>
                <w:szCs w:val="22"/>
                <w:lang w:val="en-GB"/>
              </w:rPr>
              <w:t xml:space="preserve">INTERNATIONAL ATOMIC ENERGY AGENCY, </w:t>
            </w:r>
            <w:r w:rsidRPr="00453B85">
              <w:rPr>
                <w:sz w:val="22"/>
              </w:rPr>
              <w:t xml:space="preserve">INTERNATIONAL LABOUR </w:t>
            </w:r>
            <w:r>
              <w:rPr>
                <w:sz w:val="22"/>
              </w:rPr>
              <w:t>OFFICE</w:t>
            </w:r>
            <w:r w:rsidRPr="00453B85">
              <w:rPr>
                <w:sz w:val="22"/>
              </w:rPr>
              <w:t>, PA</w:t>
            </w:r>
            <w:r>
              <w:rPr>
                <w:sz w:val="22"/>
              </w:rPr>
              <w:t xml:space="preserve">N AMERICAN HEALTH ORGANIZATION, </w:t>
            </w:r>
            <w:r w:rsidRPr="00453B85">
              <w:rPr>
                <w:sz w:val="22"/>
              </w:rPr>
              <w:t>UNITED NATIONS OFFICE FOR THE CO-ORDINATION OF HUMANITARIAN AFFAIRS, WORLD HEALTH ORGANIZATION</w:t>
            </w:r>
            <w:r>
              <w:rPr>
                <w:sz w:val="22"/>
              </w:rPr>
              <w:t xml:space="preserve">, </w:t>
            </w:r>
            <w:r w:rsidR="00A17868" w:rsidRPr="00A61379">
              <w:rPr>
                <w:rStyle w:val="Strong"/>
                <w:b w:val="0"/>
                <w:sz w:val="22"/>
                <w:szCs w:val="22"/>
                <w:lang w:val="en-GB"/>
              </w:rPr>
              <w:t>Arrangements for Preparedness for a Nuclear or Radiological Emergency</w:t>
            </w:r>
            <w:r w:rsidR="00A17868" w:rsidRPr="00A61379">
              <w:rPr>
                <w:sz w:val="22"/>
                <w:szCs w:val="22"/>
                <w:lang w:val="en-GB"/>
              </w:rPr>
              <w:t>, IAEA Safety Standards Series No. GS-G-2.1, IAEA, Vienna</w:t>
            </w:r>
            <w:r w:rsidR="00A17868">
              <w:rPr>
                <w:sz w:val="22"/>
                <w:szCs w:val="22"/>
                <w:lang w:val="en-GB"/>
              </w:rPr>
              <w:t xml:space="preserve"> (</w:t>
            </w:r>
            <w:r w:rsidR="00A17868" w:rsidRPr="00A61379">
              <w:rPr>
                <w:sz w:val="22"/>
                <w:szCs w:val="22"/>
                <w:lang w:val="en-GB"/>
              </w:rPr>
              <w:t>2007</w:t>
            </w:r>
            <w:r w:rsidR="00A17868">
              <w:rPr>
                <w:sz w:val="22"/>
                <w:szCs w:val="22"/>
                <w:lang w:val="en-GB"/>
              </w:rPr>
              <w:t>)</w:t>
            </w:r>
            <w:r w:rsidR="00A17868" w:rsidRPr="00A61379">
              <w:rPr>
                <w:sz w:val="22"/>
                <w:szCs w:val="22"/>
                <w:lang w:val="en-GB"/>
              </w:rPr>
              <w:t>.</w:t>
            </w:r>
          </w:p>
        </w:tc>
      </w:tr>
      <w:tr w:rsidR="00F84F73" w:rsidRPr="00C500A5" w:rsidTr="00BB4496">
        <w:trPr>
          <w:cantSplit/>
        </w:trPr>
        <w:tc>
          <w:tcPr>
            <w:tcW w:w="959" w:type="dxa"/>
          </w:tcPr>
          <w:p w:rsidR="00F84F73" w:rsidRPr="00427C57" w:rsidRDefault="00F84F73" w:rsidP="00A66876">
            <w:pPr>
              <w:pStyle w:val="BodyText"/>
              <w:spacing w:after="120" w:line="360" w:lineRule="auto"/>
              <w:rPr>
                <w:bCs/>
                <w:sz w:val="22"/>
                <w:szCs w:val="22"/>
                <w:lang w:val="en-GB"/>
              </w:rPr>
            </w:pPr>
            <w:r w:rsidRPr="00427C57">
              <w:rPr>
                <w:bCs/>
                <w:sz w:val="22"/>
                <w:szCs w:val="22"/>
                <w:lang w:val="en-GB"/>
              </w:rPr>
              <w:t>[</w:t>
            </w:r>
            <w:r w:rsidR="00D4761A" w:rsidRPr="00427C57">
              <w:rPr>
                <w:bCs/>
                <w:sz w:val="22"/>
                <w:szCs w:val="22"/>
                <w:lang w:val="en-GB"/>
              </w:rPr>
              <w:t>1</w:t>
            </w:r>
            <w:r w:rsidR="00A66876">
              <w:rPr>
                <w:bCs/>
                <w:sz w:val="22"/>
                <w:szCs w:val="22"/>
                <w:lang w:val="en-GB"/>
              </w:rPr>
              <w:t>4</w:t>
            </w:r>
            <w:r w:rsidRPr="00427C57">
              <w:rPr>
                <w:bCs/>
                <w:sz w:val="22"/>
                <w:szCs w:val="22"/>
                <w:lang w:val="en-GB"/>
              </w:rPr>
              <w:t>]</w:t>
            </w:r>
          </w:p>
        </w:tc>
        <w:tc>
          <w:tcPr>
            <w:tcW w:w="8647" w:type="dxa"/>
          </w:tcPr>
          <w:p w:rsidR="00F84F73" w:rsidRPr="00427C57" w:rsidRDefault="009A5B87" w:rsidP="00AF0B56">
            <w:pPr>
              <w:pStyle w:val="BodyText"/>
              <w:spacing w:after="120" w:line="360" w:lineRule="auto"/>
              <w:rPr>
                <w:bCs/>
                <w:sz w:val="22"/>
                <w:szCs w:val="22"/>
                <w:lang w:val="en-GB"/>
              </w:rPr>
            </w:pPr>
            <w:r w:rsidRPr="00427C57">
              <w:rPr>
                <w:sz w:val="22"/>
                <w:szCs w:val="22"/>
                <w:lang w:val="en-GB"/>
              </w:rPr>
              <w:t xml:space="preserve">INTERNATIONAL ATOMIC ENERGY AGENCY, </w:t>
            </w:r>
            <w:r w:rsidRPr="00427C57">
              <w:rPr>
                <w:sz w:val="22"/>
                <w:szCs w:val="22"/>
              </w:rPr>
              <w:t xml:space="preserve">Remediation Process for Areas Affected by Past Activities and Accidents, IAEA Safety Standards </w:t>
            </w:r>
            <w:r w:rsidR="00AF0B56">
              <w:rPr>
                <w:sz w:val="22"/>
                <w:szCs w:val="22"/>
              </w:rPr>
              <w:t xml:space="preserve">Series </w:t>
            </w:r>
            <w:r w:rsidRPr="00427C57">
              <w:rPr>
                <w:sz w:val="22"/>
                <w:szCs w:val="22"/>
              </w:rPr>
              <w:t>No. WS-G-3.1, IAEA, Vienna, (2007) (</w:t>
            </w:r>
            <w:r w:rsidR="00AF0B56">
              <w:rPr>
                <w:sz w:val="22"/>
                <w:szCs w:val="22"/>
              </w:rPr>
              <w:t>A revision of this publication is in preparation</w:t>
            </w:r>
            <w:r w:rsidRPr="00427C57">
              <w:rPr>
                <w:sz w:val="22"/>
                <w:szCs w:val="22"/>
              </w:rPr>
              <w:t>).</w:t>
            </w:r>
          </w:p>
        </w:tc>
      </w:tr>
      <w:tr w:rsidR="00F84F73" w:rsidRPr="00A61379" w:rsidTr="00BB4496">
        <w:trPr>
          <w:cantSplit/>
        </w:trPr>
        <w:tc>
          <w:tcPr>
            <w:tcW w:w="959" w:type="dxa"/>
          </w:tcPr>
          <w:p w:rsidR="00F84F73" w:rsidRPr="00A61379" w:rsidRDefault="00F84F73" w:rsidP="00A66876">
            <w:pPr>
              <w:pStyle w:val="BodyText"/>
              <w:spacing w:after="120" w:line="360" w:lineRule="auto"/>
              <w:rPr>
                <w:bCs/>
                <w:sz w:val="22"/>
                <w:szCs w:val="22"/>
                <w:lang w:val="en-GB"/>
              </w:rPr>
            </w:pPr>
            <w:r w:rsidRPr="00A61379">
              <w:rPr>
                <w:bCs/>
                <w:sz w:val="22"/>
                <w:szCs w:val="22"/>
                <w:lang w:val="en-GB"/>
              </w:rPr>
              <w:t>[1</w:t>
            </w:r>
            <w:r w:rsidR="00A66876">
              <w:rPr>
                <w:bCs/>
                <w:sz w:val="22"/>
                <w:szCs w:val="22"/>
                <w:lang w:val="en-GB"/>
              </w:rPr>
              <w:t>5</w:t>
            </w:r>
            <w:r w:rsidRPr="00A61379">
              <w:rPr>
                <w:bCs/>
                <w:sz w:val="22"/>
                <w:szCs w:val="22"/>
                <w:lang w:val="en-GB"/>
              </w:rPr>
              <w:t>]</w:t>
            </w:r>
          </w:p>
        </w:tc>
        <w:tc>
          <w:tcPr>
            <w:tcW w:w="8647" w:type="dxa"/>
          </w:tcPr>
          <w:p w:rsidR="00F84F73" w:rsidRPr="00A61379" w:rsidRDefault="00A17868" w:rsidP="00D54913">
            <w:pPr>
              <w:pStyle w:val="BodyText"/>
              <w:spacing w:after="120" w:line="360" w:lineRule="auto"/>
              <w:rPr>
                <w:sz w:val="22"/>
                <w:szCs w:val="22"/>
                <w:lang w:val="en-GB"/>
              </w:rPr>
            </w:pPr>
            <w:r w:rsidRPr="00A61379">
              <w:rPr>
                <w:sz w:val="22"/>
                <w:szCs w:val="22"/>
                <w:lang w:val="en-GB"/>
              </w:rPr>
              <w:t>INTERNATIONAL ATOMIC ENERGY AGENCY, Protection of the Public against Exposure Indoors due to Radon and Other Natural Sources of Radiation, IAEA Safety Standards Series No. SSG-32, IAEA, Vienna</w:t>
            </w:r>
            <w:r>
              <w:rPr>
                <w:sz w:val="22"/>
                <w:szCs w:val="22"/>
                <w:lang w:val="en-GB"/>
              </w:rPr>
              <w:t xml:space="preserve"> (</w:t>
            </w:r>
            <w:r w:rsidRPr="00A61379">
              <w:rPr>
                <w:sz w:val="22"/>
                <w:szCs w:val="22"/>
                <w:lang w:val="en-GB"/>
              </w:rPr>
              <w:t>201</w:t>
            </w:r>
            <w:r w:rsidR="00D54913">
              <w:rPr>
                <w:sz w:val="22"/>
                <w:szCs w:val="22"/>
                <w:lang w:val="en-GB"/>
              </w:rPr>
              <w:t>5</w:t>
            </w:r>
            <w:r>
              <w:rPr>
                <w:sz w:val="22"/>
                <w:szCs w:val="22"/>
                <w:lang w:val="en-GB"/>
              </w:rPr>
              <w:t>)</w:t>
            </w:r>
            <w:r w:rsidRPr="00A61379">
              <w:rPr>
                <w:sz w:val="22"/>
                <w:szCs w:val="22"/>
                <w:lang w:val="en-GB"/>
              </w:rPr>
              <w:t>.</w:t>
            </w:r>
          </w:p>
        </w:tc>
      </w:tr>
      <w:tr w:rsidR="002334A9" w:rsidRPr="00A61379" w:rsidTr="00BB4496">
        <w:trPr>
          <w:cantSplit/>
        </w:trPr>
        <w:tc>
          <w:tcPr>
            <w:tcW w:w="959" w:type="dxa"/>
          </w:tcPr>
          <w:p w:rsidR="002334A9" w:rsidRPr="00A61379" w:rsidRDefault="002334A9" w:rsidP="00A66876">
            <w:pPr>
              <w:pStyle w:val="BodyText"/>
              <w:spacing w:after="120" w:line="360" w:lineRule="auto"/>
              <w:rPr>
                <w:bCs/>
                <w:sz w:val="22"/>
                <w:szCs w:val="22"/>
                <w:lang w:val="en-GB"/>
              </w:rPr>
            </w:pPr>
            <w:r>
              <w:rPr>
                <w:bCs/>
                <w:sz w:val="22"/>
                <w:szCs w:val="22"/>
                <w:lang w:val="en-GB"/>
              </w:rPr>
              <w:t>[16]</w:t>
            </w:r>
          </w:p>
        </w:tc>
        <w:tc>
          <w:tcPr>
            <w:tcW w:w="8647" w:type="dxa"/>
          </w:tcPr>
          <w:p w:rsidR="002334A9" w:rsidRPr="00A61379" w:rsidRDefault="002334A9" w:rsidP="002334A9">
            <w:pPr>
              <w:pStyle w:val="BodyText"/>
              <w:spacing w:after="120" w:line="360" w:lineRule="auto"/>
              <w:rPr>
                <w:sz w:val="22"/>
                <w:szCs w:val="22"/>
                <w:lang w:val="en-GB"/>
              </w:rPr>
            </w:pPr>
            <w:r w:rsidRPr="00A61379">
              <w:rPr>
                <w:sz w:val="22"/>
                <w:szCs w:val="22"/>
                <w:lang w:val="en-GB"/>
              </w:rPr>
              <w:t xml:space="preserve">INTERNATIONAL ATOMIC ENERGY AGENCY, </w:t>
            </w:r>
            <w:r>
              <w:rPr>
                <w:sz w:val="22"/>
                <w:szCs w:val="22"/>
                <w:lang w:val="en-GB"/>
              </w:rPr>
              <w:t>Occupational Radiation Protection</w:t>
            </w:r>
            <w:r w:rsidRPr="00A61379">
              <w:rPr>
                <w:sz w:val="22"/>
                <w:szCs w:val="22"/>
                <w:lang w:val="en-GB"/>
              </w:rPr>
              <w:t>, IAEA Safety Standards Series, IAEA, Vienna</w:t>
            </w:r>
            <w:r>
              <w:rPr>
                <w:sz w:val="22"/>
                <w:szCs w:val="22"/>
                <w:lang w:val="en-GB"/>
              </w:rPr>
              <w:t xml:space="preserve"> (in preparation)</w:t>
            </w:r>
            <w:r w:rsidRPr="00A61379">
              <w:rPr>
                <w:sz w:val="22"/>
                <w:szCs w:val="22"/>
                <w:lang w:val="en-GB"/>
              </w:rPr>
              <w:t>.</w:t>
            </w:r>
            <w:r>
              <w:rPr>
                <w:sz w:val="22"/>
                <w:szCs w:val="22"/>
                <w:lang w:val="en-GB"/>
              </w:rPr>
              <w:t>[DS453]</w:t>
            </w:r>
          </w:p>
        </w:tc>
      </w:tr>
      <w:tr w:rsidR="002334A9" w:rsidRPr="00A61379" w:rsidTr="00BB4496">
        <w:trPr>
          <w:cantSplit/>
        </w:trPr>
        <w:tc>
          <w:tcPr>
            <w:tcW w:w="959" w:type="dxa"/>
          </w:tcPr>
          <w:p w:rsidR="002334A9" w:rsidRPr="00A61379" w:rsidRDefault="002334A9" w:rsidP="00A66876">
            <w:pPr>
              <w:pStyle w:val="BodyText"/>
              <w:spacing w:after="120" w:line="360" w:lineRule="auto"/>
              <w:rPr>
                <w:bCs/>
                <w:sz w:val="22"/>
                <w:szCs w:val="22"/>
                <w:lang w:val="en-GB"/>
              </w:rPr>
            </w:pPr>
            <w:r>
              <w:rPr>
                <w:bCs/>
                <w:sz w:val="22"/>
                <w:szCs w:val="22"/>
                <w:lang w:val="en-GB"/>
              </w:rPr>
              <w:lastRenderedPageBreak/>
              <w:t>[17]</w:t>
            </w:r>
          </w:p>
        </w:tc>
        <w:tc>
          <w:tcPr>
            <w:tcW w:w="8647" w:type="dxa"/>
          </w:tcPr>
          <w:p w:rsidR="002334A9" w:rsidRPr="00A61379" w:rsidRDefault="002334A9" w:rsidP="002334A9">
            <w:pPr>
              <w:pStyle w:val="BodyText"/>
              <w:spacing w:after="120" w:line="360" w:lineRule="auto"/>
              <w:rPr>
                <w:sz w:val="22"/>
                <w:szCs w:val="22"/>
                <w:lang w:val="en-GB"/>
              </w:rPr>
            </w:pPr>
            <w:r w:rsidRPr="00A61379">
              <w:rPr>
                <w:sz w:val="22"/>
                <w:szCs w:val="22"/>
                <w:lang w:val="en-GB"/>
              </w:rPr>
              <w:t xml:space="preserve">INTERNATIONAL ATOMIC ENERGY AGENCY, </w:t>
            </w:r>
            <w:r>
              <w:rPr>
                <w:sz w:val="22"/>
                <w:szCs w:val="22"/>
                <w:lang w:val="en-GB"/>
              </w:rPr>
              <w:t>Radiation Protection and Safety in Medical Uses of Ionizing Radiation</w:t>
            </w:r>
            <w:r w:rsidRPr="00A61379">
              <w:rPr>
                <w:sz w:val="22"/>
                <w:szCs w:val="22"/>
                <w:lang w:val="en-GB"/>
              </w:rPr>
              <w:t>, IAEA Safety Standards Series, IAEA, Vienna</w:t>
            </w:r>
            <w:r>
              <w:rPr>
                <w:sz w:val="22"/>
                <w:szCs w:val="22"/>
                <w:lang w:val="en-GB"/>
              </w:rPr>
              <w:t xml:space="preserve"> (in preparation)</w:t>
            </w:r>
            <w:r w:rsidRPr="00A61379">
              <w:rPr>
                <w:sz w:val="22"/>
                <w:szCs w:val="22"/>
                <w:lang w:val="en-GB"/>
              </w:rPr>
              <w:t>.</w:t>
            </w:r>
            <w:r>
              <w:rPr>
                <w:sz w:val="22"/>
                <w:szCs w:val="22"/>
                <w:lang w:val="en-GB"/>
              </w:rPr>
              <w:t>[DS399]</w:t>
            </w:r>
          </w:p>
        </w:tc>
      </w:tr>
      <w:tr w:rsidR="00F36D7D" w:rsidRPr="00A61379" w:rsidTr="008576A0">
        <w:trPr>
          <w:cantSplit/>
        </w:trPr>
        <w:tc>
          <w:tcPr>
            <w:tcW w:w="959" w:type="dxa"/>
          </w:tcPr>
          <w:p w:rsidR="00F36D7D" w:rsidRDefault="00F36D7D" w:rsidP="00A66876">
            <w:pPr>
              <w:pStyle w:val="BodyText"/>
              <w:spacing w:after="120" w:line="360" w:lineRule="auto"/>
              <w:rPr>
                <w:bCs/>
                <w:sz w:val="22"/>
                <w:szCs w:val="22"/>
                <w:lang w:val="en-GB"/>
              </w:rPr>
            </w:pPr>
            <w:r>
              <w:rPr>
                <w:sz w:val="22"/>
                <w:szCs w:val="22"/>
                <w:lang w:val="en-GB"/>
              </w:rPr>
              <w:t>[18]</w:t>
            </w:r>
          </w:p>
        </w:tc>
        <w:tc>
          <w:tcPr>
            <w:tcW w:w="8647" w:type="dxa"/>
          </w:tcPr>
          <w:p w:rsidR="00F36D7D" w:rsidRPr="00A61379" w:rsidRDefault="00F36D7D" w:rsidP="002334A9">
            <w:pPr>
              <w:pStyle w:val="BodyText"/>
              <w:spacing w:after="120" w:line="360" w:lineRule="auto"/>
              <w:rPr>
                <w:sz w:val="22"/>
                <w:szCs w:val="22"/>
                <w:lang w:val="en-GB"/>
              </w:rPr>
            </w:pPr>
            <w:r w:rsidRPr="005928D1">
              <w:rPr>
                <w:sz w:val="22"/>
                <w:szCs w:val="22"/>
                <w:lang w:val="en-GB"/>
              </w:rPr>
              <w:t>INTERNATIONAL ATOMIC ENERGY AGENCY,</w:t>
            </w:r>
            <w:r>
              <w:rPr>
                <w:sz w:val="22"/>
                <w:szCs w:val="22"/>
                <w:lang w:val="en-GB"/>
              </w:rPr>
              <w:t xml:space="preserve"> Leadership and Management for Safety, </w:t>
            </w:r>
            <w:r w:rsidRPr="005928D1">
              <w:rPr>
                <w:sz w:val="22"/>
                <w:szCs w:val="22"/>
                <w:lang w:val="en-GB"/>
              </w:rPr>
              <w:t xml:space="preserve">IAEA Safety Standards Series No. </w:t>
            </w:r>
            <w:r>
              <w:rPr>
                <w:sz w:val="22"/>
                <w:szCs w:val="22"/>
                <w:lang w:val="en-GB"/>
              </w:rPr>
              <w:t>GSR Part 2</w:t>
            </w:r>
            <w:r w:rsidRPr="005928D1">
              <w:rPr>
                <w:sz w:val="22"/>
                <w:szCs w:val="22"/>
                <w:lang w:val="en-GB"/>
              </w:rPr>
              <w:t>, IAEA, Vienna (</w:t>
            </w:r>
            <w:r>
              <w:rPr>
                <w:sz w:val="22"/>
                <w:szCs w:val="22"/>
                <w:lang w:val="en-GB"/>
              </w:rPr>
              <w:t>in preparation</w:t>
            </w:r>
            <w:r w:rsidRPr="005928D1">
              <w:rPr>
                <w:sz w:val="22"/>
                <w:szCs w:val="22"/>
                <w:lang w:val="en-GB"/>
              </w:rPr>
              <w:t>).</w:t>
            </w:r>
          </w:p>
        </w:tc>
      </w:tr>
      <w:tr w:rsidR="00F36D7D" w:rsidRPr="00A61379" w:rsidTr="00BB4496">
        <w:trPr>
          <w:cantSplit/>
        </w:trPr>
        <w:tc>
          <w:tcPr>
            <w:tcW w:w="959" w:type="dxa"/>
          </w:tcPr>
          <w:p w:rsidR="00F36D7D" w:rsidRPr="00A61379" w:rsidRDefault="00F36D7D" w:rsidP="00F26039">
            <w:pPr>
              <w:pStyle w:val="BodyText"/>
              <w:spacing w:after="120" w:line="360" w:lineRule="auto"/>
              <w:rPr>
                <w:sz w:val="22"/>
                <w:szCs w:val="22"/>
                <w:lang w:val="en-GB"/>
              </w:rPr>
            </w:pPr>
            <w:r>
              <w:rPr>
                <w:sz w:val="22"/>
                <w:szCs w:val="22"/>
                <w:lang w:val="en-GB"/>
              </w:rPr>
              <w:t>[19]</w:t>
            </w:r>
          </w:p>
        </w:tc>
        <w:tc>
          <w:tcPr>
            <w:tcW w:w="8647" w:type="dxa"/>
          </w:tcPr>
          <w:p w:rsidR="00F36D7D" w:rsidRPr="00A61379" w:rsidRDefault="00F36D7D" w:rsidP="00A61379">
            <w:pPr>
              <w:pStyle w:val="BodyText"/>
              <w:spacing w:after="120" w:line="360" w:lineRule="auto"/>
              <w:rPr>
                <w:sz w:val="22"/>
                <w:szCs w:val="22"/>
                <w:lang w:val="en-GB"/>
              </w:rPr>
            </w:pPr>
            <w:r w:rsidRPr="00A61379">
              <w:rPr>
                <w:sz w:val="22"/>
                <w:szCs w:val="22"/>
                <w:lang w:val="en-GB"/>
              </w:rPr>
              <w:t>INTERNATIONAL ATOMIC ENERGY AGENCY, IAEA Safety Glossary: Terminology used in Nuclear Safety and Radiation Protection,</w:t>
            </w:r>
            <w:r>
              <w:rPr>
                <w:sz w:val="22"/>
                <w:szCs w:val="22"/>
                <w:lang w:val="en-GB"/>
              </w:rPr>
              <w:t xml:space="preserve"> 2007 Edition,</w:t>
            </w:r>
            <w:r w:rsidRPr="00A61379">
              <w:rPr>
                <w:sz w:val="22"/>
                <w:szCs w:val="22"/>
                <w:lang w:val="en-GB"/>
              </w:rPr>
              <w:t xml:space="preserve"> IAEA, Vienna </w:t>
            </w:r>
            <w:r>
              <w:rPr>
                <w:sz w:val="22"/>
                <w:szCs w:val="22"/>
                <w:lang w:val="en-GB"/>
              </w:rPr>
              <w:t>(</w:t>
            </w:r>
            <w:r w:rsidRPr="00A61379">
              <w:rPr>
                <w:sz w:val="22"/>
                <w:szCs w:val="22"/>
                <w:lang w:val="en-GB"/>
              </w:rPr>
              <w:t>2007</w:t>
            </w:r>
            <w:r>
              <w:rPr>
                <w:sz w:val="22"/>
                <w:szCs w:val="22"/>
                <w:lang w:val="en-GB"/>
              </w:rPr>
              <w:t>)</w:t>
            </w:r>
            <w:r w:rsidRPr="00A61379">
              <w:rPr>
                <w:sz w:val="22"/>
                <w:szCs w:val="22"/>
                <w:lang w:val="en-GB"/>
              </w:rPr>
              <w:t>.</w:t>
            </w:r>
          </w:p>
        </w:tc>
      </w:tr>
      <w:tr w:rsidR="00F36D7D" w:rsidRPr="00A61379" w:rsidTr="00BB4496">
        <w:trPr>
          <w:cantSplit/>
        </w:trPr>
        <w:tc>
          <w:tcPr>
            <w:tcW w:w="959" w:type="dxa"/>
          </w:tcPr>
          <w:p w:rsidR="00F36D7D" w:rsidRPr="00A61379" w:rsidRDefault="00F36D7D" w:rsidP="00F26039">
            <w:pPr>
              <w:pStyle w:val="BodyText"/>
              <w:spacing w:after="120" w:line="360" w:lineRule="auto"/>
              <w:rPr>
                <w:bCs/>
                <w:sz w:val="22"/>
                <w:szCs w:val="22"/>
                <w:lang w:val="en-GB"/>
              </w:rPr>
            </w:pPr>
            <w:r w:rsidRPr="00A61379">
              <w:rPr>
                <w:sz w:val="22"/>
                <w:szCs w:val="22"/>
                <w:lang w:val="en-GB"/>
              </w:rPr>
              <w:t>[</w:t>
            </w:r>
            <w:r>
              <w:rPr>
                <w:sz w:val="22"/>
                <w:szCs w:val="22"/>
                <w:lang w:val="en-GB"/>
              </w:rPr>
              <w:t>20</w:t>
            </w:r>
            <w:r w:rsidRPr="00A61379">
              <w:rPr>
                <w:sz w:val="22"/>
                <w:szCs w:val="22"/>
                <w:lang w:val="en-GB"/>
              </w:rPr>
              <w:t>]</w:t>
            </w:r>
          </w:p>
        </w:tc>
        <w:tc>
          <w:tcPr>
            <w:tcW w:w="8647" w:type="dxa"/>
          </w:tcPr>
          <w:p w:rsidR="00F36D7D" w:rsidRPr="00A61379" w:rsidRDefault="00F36D7D" w:rsidP="00A61379">
            <w:pPr>
              <w:pStyle w:val="BodyText"/>
              <w:spacing w:after="120" w:line="360" w:lineRule="auto"/>
              <w:rPr>
                <w:sz w:val="22"/>
                <w:szCs w:val="22"/>
                <w:lang w:val="en-GB"/>
              </w:rPr>
            </w:pPr>
            <w:r w:rsidRPr="00A61379">
              <w:rPr>
                <w:sz w:val="22"/>
                <w:szCs w:val="22"/>
                <w:lang w:val="en-GB"/>
              </w:rPr>
              <w:t xml:space="preserve">INTERNATIONAL COMMISSION ON RADIOLOGICAL PROTECTION, </w:t>
            </w:r>
            <w:r w:rsidRPr="00A61379">
              <w:rPr>
                <w:sz w:val="22"/>
                <w:szCs w:val="22"/>
              </w:rPr>
              <w:t xml:space="preserve">Protection from Potential Exposure - A Conceptual Framework, ICRP Publication 64, </w:t>
            </w:r>
            <w:r w:rsidRPr="00A61379">
              <w:rPr>
                <w:color w:val="000000"/>
                <w:sz w:val="22"/>
                <w:szCs w:val="22"/>
              </w:rPr>
              <w:t xml:space="preserve">Ann. ICRP 23 (1), </w:t>
            </w:r>
            <w:proofErr w:type="spellStart"/>
            <w:r>
              <w:rPr>
                <w:color w:val="000000"/>
                <w:sz w:val="22"/>
                <w:szCs w:val="22"/>
              </w:rPr>
              <w:t>Pergamon</w:t>
            </w:r>
            <w:proofErr w:type="spellEnd"/>
            <w:r w:rsidRPr="00A61379">
              <w:rPr>
                <w:color w:val="000000"/>
                <w:sz w:val="22"/>
                <w:szCs w:val="22"/>
              </w:rPr>
              <w:t xml:space="preserve"> </w:t>
            </w:r>
            <w:r>
              <w:rPr>
                <w:color w:val="000000"/>
                <w:sz w:val="22"/>
                <w:szCs w:val="22"/>
              </w:rPr>
              <w:t>(</w:t>
            </w:r>
            <w:r w:rsidRPr="00A61379">
              <w:rPr>
                <w:color w:val="000000"/>
                <w:sz w:val="22"/>
                <w:szCs w:val="22"/>
              </w:rPr>
              <w:t>1993</w:t>
            </w:r>
            <w:r>
              <w:rPr>
                <w:color w:val="000000"/>
                <w:sz w:val="22"/>
                <w:szCs w:val="22"/>
              </w:rPr>
              <w:t>).</w:t>
            </w:r>
          </w:p>
        </w:tc>
      </w:tr>
      <w:tr w:rsidR="00F36D7D" w:rsidRPr="005928D1" w:rsidTr="00BB4496">
        <w:trPr>
          <w:cantSplit/>
        </w:trPr>
        <w:tc>
          <w:tcPr>
            <w:tcW w:w="959" w:type="dxa"/>
          </w:tcPr>
          <w:p w:rsidR="00F36D7D" w:rsidRPr="005928D1" w:rsidRDefault="00F36D7D" w:rsidP="009C2E02">
            <w:pPr>
              <w:pStyle w:val="BodyText"/>
              <w:spacing w:after="120" w:line="360" w:lineRule="auto"/>
              <w:rPr>
                <w:sz w:val="22"/>
                <w:szCs w:val="22"/>
                <w:lang w:val="en-GB"/>
              </w:rPr>
            </w:pPr>
            <w:r w:rsidRPr="005928D1">
              <w:rPr>
                <w:sz w:val="22"/>
                <w:szCs w:val="22"/>
                <w:lang w:val="en-GB"/>
              </w:rPr>
              <w:t>[</w:t>
            </w:r>
            <w:r>
              <w:rPr>
                <w:sz w:val="22"/>
                <w:szCs w:val="22"/>
                <w:lang w:val="en-GB"/>
              </w:rPr>
              <w:t>21</w:t>
            </w:r>
            <w:r w:rsidRPr="005928D1">
              <w:rPr>
                <w:sz w:val="22"/>
                <w:szCs w:val="22"/>
                <w:lang w:val="en-GB"/>
              </w:rPr>
              <w:t>]</w:t>
            </w:r>
          </w:p>
        </w:tc>
        <w:tc>
          <w:tcPr>
            <w:tcW w:w="8647" w:type="dxa"/>
          </w:tcPr>
          <w:p w:rsidR="00F36D7D" w:rsidRPr="005928D1" w:rsidRDefault="00F36D7D" w:rsidP="0060361F">
            <w:pPr>
              <w:pStyle w:val="BodyText"/>
              <w:spacing w:after="120" w:line="360" w:lineRule="auto"/>
              <w:rPr>
                <w:sz w:val="22"/>
                <w:szCs w:val="22"/>
                <w:lang w:val="en-GB"/>
              </w:rPr>
            </w:pPr>
            <w:r w:rsidRPr="0060361F">
              <w:rPr>
                <w:color w:val="000000" w:themeColor="text1"/>
                <w:sz w:val="22"/>
                <w:szCs w:val="22"/>
              </w:rPr>
              <w:t>EUROPEAN COMMISSION, Principles and Methods for Establishing Concentrations and Quantities (Exemption Values) Below which Reporting is not required in the European Directive, Radiation Protection 65, Doc. XI-028/93, EC, Brussels (1993).</w:t>
            </w:r>
          </w:p>
        </w:tc>
      </w:tr>
      <w:tr w:rsidR="00F36D7D" w:rsidRPr="005928D1" w:rsidTr="00BB4496">
        <w:trPr>
          <w:cantSplit/>
        </w:trPr>
        <w:tc>
          <w:tcPr>
            <w:tcW w:w="959" w:type="dxa"/>
          </w:tcPr>
          <w:p w:rsidR="00F36D7D" w:rsidRPr="005928D1" w:rsidRDefault="00F36D7D" w:rsidP="00F26039">
            <w:pPr>
              <w:pStyle w:val="BodyText"/>
              <w:spacing w:after="120" w:line="360" w:lineRule="auto"/>
              <w:rPr>
                <w:sz w:val="22"/>
                <w:szCs w:val="22"/>
                <w:lang w:val="en-GB"/>
              </w:rPr>
            </w:pPr>
            <w:r>
              <w:rPr>
                <w:sz w:val="22"/>
                <w:szCs w:val="22"/>
                <w:lang w:val="en-GB"/>
              </w:rPr>
              <w:t>[22]</w:t>
            </w:r>
          </w:p>
        </w:tc>
        <w:tc>
          <w:tcPr>
            <w:tcW w:w="8647" w:type="dxa"/>
          </w:tcPr>
          <w:p w:rsidR="00F36D7D" w:rsidRPr="0060361F" w:rsidRDefault="00F36D7D" w:rsidP="0060361F">
            <w:pPr>
              <w:pStyle w:val="BodyText"/>
              <w:spacing w:after="120" w:line="360" w:lineRule="auto"/>
              <w:rPr>
                <w:color w:val="000000" w:themeColor="text1"/>
                <w:sz w:val="22"/>
                <w:szCs w:val="22"/>
              </w:rPr>
            </w:pPr>
            <w:r w:rsidRPr="005928D1">
              <w:rPr>
                <w:sz w:val="22"/>
                <w:szCs w:val="22"/>
                <w:lang w:val="en-GB"/>
              </w:rPr>
              <w:t xml:space="preserve">INTERNATIONAL ATOMIC ENERGY AGENCY, </w:t>
            </w:r>
            <w:r w:rsidRPr="005928D1">
              <w:rPr>
                <w:sz w:val="22"/>
                <w:szCs w:val="22"/>
                <w:lang w:val="en-GB" w:eastAsia="en-GB"/>
              </w:rPr>
              <w:t>Application of the Concepts of Exclusion, Exemption and Clearance</w:t>
            </w:r>
            <w:r w:rsidRPr="005928D1">
              <w:rPr>
                <w:sz w:val="22"/>
                <w:szCs w:val="22"/>
                <w:lang w:val="en-GB"/>
              </w:rPr>
              <w:t>, IAEA Safety Standards Series No. RS-G-1.7, IAEA, Vienna (2004).</w:t>
            </w:r>
          </w:p>
        </w:tc>
      </w:tr>
      <w:tr w:rsidR="00F36D7D" w:rsidRPr="00A61379" w:rsidTr="00BB4496">
        <w:trPr>
          <w:cantSplit/>
        </w:trPr>
        <w:tc>
          <w:tcPr>
            <w:tcW w:w="959" w:type="dxa"/>
          </w:tcPr>
          <w:p w:rsidR="00F36D7D" w:rsidRPr="00A61379" w:rsidRDefault="00F36D7D" w:rsidP="00122582">
            <w:pPr>
              <w:pStyle w:val="BodyText"/>
              <w:spacing w:after="120" w:line="360" w:lineRule="auto"/>
              <w:rPr>
                <w:sz w:val="22"/>
                <w:szCs w:val="22"/>
                <w:lang w:val="en-GB"/>
              </w:rPr>
            </w:pPr>
            <w:r>
              <w:rPr>
                <w:sz w:val="22"/>
                <w:szCs w:val="22"/>
                <w:lang w:val="en-GB"/>
              </w:rPr>
              <w:t>[23</w:t>
            </w:r>
            <w:r w:rsidRPr="00A61379">
              <w:rPr>
                <w:sz w:val="22"/>
                <w:szCs w:val="22"/>
                <w:lang w:val="en-GB"/>
              </w:rPr>
              <w:t>]</w:t>
            </w:r>
          </w:p>
        </w:tc>
        <w:tc>
          <w:tcPr>
            <w:tcW w:w="8647" w:type="dxa"/>
          </w:tcPr>
          <w:p w:rsidR="00F36D7D" w:rsidRPr="00A61379" w:rsidRDefault="00F36D7D" w:rsidP="00122582">
            <w:pPr>
              <w:pStyle w:val="BodyText"/>
              <w:spacing w:after="120" w:line="360" w:lineRule="auto"/>
              <w:rPr>
                <w:sz w:val="22"/>
                <w:szCs w:val="22"/>
                <w:lang w:val="en-GB"/>
              </w:rPr>
            </w:pPr>
            <w:r w:rsidRPr="00A61379">
              <w:rPr>
                <w:sz w:val="22"/>
                <w:szCs w:val="22"/>
                <w:lang w:val="en-GB"/>
              </w:rPr>
              <w:t>INTERNATIONAL COMMISSION ON RADIOLOGICAL PROTECTION, Assessing Dose of the Representative Person for the Purpose of Radiation Protection of the Public and The Optimisation of Radiological Protection: Broadening the Process, ICRP Publication 101a/b (2006).</w:t>
            </w:r>
          </w:p>
        </w:tc>
      </w:tr>
      <w:tr w:rsidR="00F36D7D" w:rsidRPr="005928D1" w:rsidTr="00BB4496">
        <w:trPr>
          <w:cantSplit/>
        </w:trPr>
        <w:tc>
          <w:tcPr>
            <w:tcW w:w="959" w:type="dxa"/>
          </w:tcPr>
          <w:p w:rsidR="00F36D7D" w:rsidRPr="005928D1" w:rsidRDefault="00F36D7D" w:rsidP="00F26039">
            <w:pPr>
              <w:pStyle w:val="BodyText"/>
              <w:spacing w:after="120" w:line="360" w:lineRule="auto"/>
              <w:rPr>
                <w:sz w:val="22"/>
                <w:szCs w:val="22"/>
                <w:lang w:val="en-GB"/>
              </w:rPr>
            </w:pPr>
            <w:r w:rsidRPr="005928D1">
              <w:rPr>
                <w:sz w:val="22"/>
                <w:szCs w:val="22"/>
                <w:lang w:val="en-GB"/>
              </w:rPr>
              <w:t>[</w:t>
            </w:r>
            <w:r>
              <w:rPr>
                <w:sz w:val="22"/>
                <w:szCs w:val="22"/>
                <w:lang w:val="en-GB"/>
              </w:rPr>
              <w:t>24</w:t>
            </w:r>
            <w:r w:rsidRPr="005928D1">
              <w:rPr>
                <w:sz w:val="22"/>
                <w:szCs w:val="22"/>
                <w:lang w:val="en-GB"/>
              </w:rPr>
              <w:t>]</w:t>
            </w:r>
          </w:p>
        </w:tc>
        <w:tc>
          <w:tcPr>
            <w:tcW w:w="8647" w:type="dxa"/>
          </w:tcPr>
          <w:p w:rsidR="00F36D7D" w:rsidRPr="005928D1" w:rsidRDefault="00F36D7D" w:rsidP="001908A6">
            <w:pPr>
              <w:pStyle w:val="BodyText"/>
              <w:spacing w:after="120" w:line="360" w:lineRule="auto"/>
              <w:rPr>
                <w:sz w:val="22"/>
                <w:szCs w:val="22"/>
              </w:rPr>
            </w:pPr>
            <w:r w:rsidRPr="005928D1">
              <w:rPr>
                <w:sz w:val="22"/>
                <w:szCs w:val="22"/>
              </w:rPr>
              <w:t>JOINT FAO/WHO FOOD STANDARDS PROGRAMME, CODEX ALIMENTARIUS COMMISSION, Codex General Standard for Contaminants and Toxins in Foods, Schedule I – Radionuclides, CODEX STAN 193-1995, CAC, Rome (2006).</w:t>
            </w:r>
          </w:p>
        </w:tc>
      </w:tr>
      <w:tr w:rsidR="00F36D7D" w:rsidRPr="005928D1" w:rsidTr="00BB4496">
        <w:trPr>
          <w:cantSplit/>
        </w:trPr>
        <w:tc>
          <w:tcPr>
            <w:tcW w:w="959" w:type="dxa"/>
          </w:tcPr>
          <w:p w:rsidR="00F36D7D" w:rsidRPr="005928D1" w:rsidRDefault="00F36D7D" w:rsidP="0060361F">
            <w:pPr>
              <w:pStyle w:val="BodyText"/>
              <w:spacing w:after="120" w:line="360" w:lineRule="auto"/>
              <w:rPr>
                <w:sz w:val="22"/>
                <w:szCs w:val="22"/>
                <w:lang w:val="en-GB"/>
              </w:rPr>
            </w:pPr>
            <w:r w:rsidRPr="005928D1">
              <w:rPr>
                <w:sz w:val="22"/>
                <w:szCs w:val="22"/>
                <w:lang w:val="en-GB"/>
              </w:rPr>
              <w:t>[2</w:t>
            </w:r>
            <w:r>
              <w:rPr>
                <w:sz w:val="22"/>
                <w:szCs w:val="22"/>
                <w:lang w:val="en-GB"/>
              </w:rPr>
              <w:t>5</w:t>
            </w:r>
            <w:r w:rsidRPr="005928D1">
              <w:rPr>
                <w:sz w:val="22"/>
                <w:szCs w:val="22"/>
                <w:lang w:val="en-GB"/>
              </w:rPr>
              <w:t>]</w:t>
            </w:r>
          </w:p>
        </w:tc>
        <w:tc>
          <w:tcPr>
            <w:tcW w:w="8647" w:type="dxa"/>
          </w:tcPr>
          <w:p w:rsidR="00F36D7D" w:rsidRPr="005928D1" w:rsidRDefault="00F36D7D" w:rsidP="001908A6">
            <w:pPr>
              <w:pStyle w:val="BodyText"/>
              <w:spacing w:after="120" w:line="360" w:lineRule="auto"/>
              <w:rPr>
                <w:sz w:val="22"/>
                <w:szCs w:val="22"/>
              </w:rPr>
            </w:pPr>
            <w:r w:rsidRPr="005928D1">
              <w:rPr>
                <w:sz w:val="22"/>
                <w:szCs w:val="22"/>
              </w:rPr>
              <w:t>WORLD HEALTH ORGANIZATION, Guidelines for Drinking-water Quality - 4th edition, WHO, Geneva (2011).</w:t>
            </w:r>
          </w:p>
        </w:tc>
      </w:tr>
      <w:tr w:rsidR="00F36D7D" w:rsidRPr="005928D1" w:rsidTr="00BB4496">
        <w:trPr>
          <w:cantSplit/>
        </w:trPr>
        <w:tc>
          <w:tcPr>
            <w:tcW w:w="959" w:type="dxa"/>
          </w:tcPr>
          <w:p w:rsidR="00F36D7D" w:rsidRPr="0060361F" w:rsidRDefault="00F36D7D" w:rsidP="000E0875">
            <w:pPr>
              <w:pStyle w:val="BodyText"/>
              <w:spacing w:after="120" w:line="360" w:lineRule="auto"/>
              <w:rPr>
                <w:sz w:val="22"/>
                <w:szCs w:val="22"/>
                <w:lang w:val="en-GB"/>
              </w:rPr>
            </w:pPr>
            <w:r w:rsidRPr="0060361F">
              <w:rPr>
                <w:sz w:val="22"/>
                <w:szCs w:val="22"/>
                <w:lang w:val="en-GB"/>
              </w:rPr>
              <w:t>[2</w:t>
            </w:r>
            <w:r>
              <w:rPr>
                <w:sz w:val="22"/>
                <w:szCs w:val="22"/>
                <w:lang w:val="en-GB"/>
              </w:rPr>
              <w:t>6</w:t>
            </w:r>
            <w:r w:rsidRPr="0060361F">
              <w:rPr>
                <w:sz w:val="22"/>
                <w:szCs w:val="22"/>
                <w:lang w:val="en-GB"/>
              </w:rPr>
              <w:t>]</w:t>
            </w:r>
          </w:p>
        </w:tc>
        <w:tc>
          <w:tcPr>
            <w:tcW w:w="8647" w:type="dxa"/>
          </w:tcPr>
          <w:p w:rsidR="00F36D7D" w:rsidRPr="0060361F" w:rsidRDefault="00F36D7D" w:rsidP="0069195F">
            <w:pPr>
              <w:pStyle w:val="BodyText"/>
              <w:spacing w:after="120" w:line="360" w:lineRule="auto"/>
              <w:rPr>
                <w:sz w:val="22"/>
                <w:szCs w:val="22"/>
                <w:lang w:val="en-GB"/>
              </w:rPr>
            </w:pPr>
            <w:r w:rsidRPr="0060361F">
              <w:rPr>
                <w:sz w:val="22"/>
                <w:szCs w:val="22"/>
              </w:rPr>
              <w:t xml:space="preserve">INTERNATIONAL COMMISSION ON RADIOLOGICAL PROTECTION, </w:t>
            </w:r>
            <w:r w:rsidRPr="0060361F">
              <w:rPr>
                <w:sz w:val="22"/>
                <w:szCs w:val="22"/>
                <w:lang w:eastAsia="en-GB"/>
              </w:rPr>
              <w:t xml:space="preserve">A Framework for Assessing the Impact of </w:t>
            </w:r>
            <w:proofErr w:type="spellStart"/>
            <w:r w:rsidRPr="0060361F">
              <w:rPr>
                <w:sz w:val="22"/>
                <w:szCs w:val="22"/>
                <w:lang w:eastAsia="en-GB"/>
              </w:rPr>
              <w:t>Ionising</w:t>
            </w:r>
            <w:proofErr w:type="spellEnd"/>
            <w:r w:rsidRPr="0060361F">
              <w:rPr>
                <w:sz w:val="22"/>
                <w:szCs w:val="22"/>
                <w:lang w:eastAsia="en-GB"/>
              </w:rPr>
              <w:t xml:space="preserve"> Radiation on Non-Human Species, ICRP Publication 91, Ann. ICRP 33 (3), </w:t>
            </w:r>
            <w:r w:rsidRPr="0060361F">
              <w:rPr>
                <w:sz w:val="22"/>
                <w:szCs w:val="22"/>
                <w:lang w:val="en-GB"/>
              </w:rPr>
              <w:t xml:space="preserve">Elsevier </w:t>
            </w:r>
            <w:r w:rsidRPr="0060361F">
              <w:rPr>
                <w:sz w:val="22"/>
                <w:szCs w:val="22"/>
                <w:lang w:eastAsia="en-GB"/>
              </w:rPr>
              <w:t>(2003).</w:t>
            </w:r>
          </w:p>
        </w:tc>
      </w:tr>
      <w:tr w:rsidR="00F36D7D" w:rsidRPr="005928D1" w:rsidTr="00BB4496">
        <w:trPr>
          <w:cantSplit/>
        </w:trPr>
        <w:tc>
          <w:tcPr>
            <w:tcW w:w="959" w:type="dxa"/>
            <w:shd w:val="clear" w:color="auto" w:fill="FFFFFF" w:themeFill="background1"/>
          </w:tcPr>
          <w:p w:rsidR="00F36D7D" w:rsidRPr="0060361F" w:rsidRDefault="00F36D7D" w:rsidP="0060361F">
            <w:pPr>
              <w:pStyle w:val="BodyText"/>
              <w:spacing w:after="120" w:line="360" w:lineRule="auto"/>
              <w:rPr>
                <w:sz w:val="22"/>
                <w:szCs w:val="22"/>
                <w:lang w:val="en-GB"/>
              </w:rPr>
            </w:pPr>
          </w:p>
        </w:tc>
        <w:tc>
          <w:tcPr>
            <w:tcW w:w="8647" w:type="dxa"/>
            <w:shd w:val="clear" w:color="auto" w:fill="FFFFFF" w:themeFill="background1"/>
          </w:tcPr>
          <w:p w:rsidR="00F36D7D" w:rsidRPr="0060361F" w:rsidRDefault="00F36D7D" w:rsidP="0069195F">
            <w:pPr>
              <w:pStyle w:val="BodyText"/>
              <w:spacing w:after="120" w:line="360" w:lineRule="auto"/>
              <w:rPr>
                <w:sz w:val="22"/>
                <w:szCs w:val="22"/>
              </w:rPr>
            </w:pPr>
          </w:p>
        </w:tc>
      </w:tr>
    </w:tbl>
    <w:p w:rsidR="00FF3614" w:rsidRDefault="00FF3614" w:rsidP="00FC3967">
      <w:pPr>
        <w:overflowPunct/>
        <w:spacing w:after="0"/>
        <w:jc w:val="left"/>
        <w:textAlignment w:val="auto"/>
        <w:rPr>
          <w:sz w:val="22"/>
          <w:szCs w:val="22"/>
        </w:rPr>
      </w:pPr>
    </w:p>
    <w:p w:rsidR="00FF3614" w:rsidRDefault="00FF3614">
      <w:pPr>
        <w:overflowPunct/>
        <w:autoSpaceDE/>
        <w:autoSpaceDN/>
        <w:adjustRightInd/>
        <w:spacing w:after="0"/>
        <w:jc w:val="left"/>
        <w:textAlignment w:val="auto"/>
        <w:rPr>
          <w:sz w:val="22"/>
          <w:szCs w:val="22"/>
        </w:rPr>
      </w:pPr>
      <w:r>
        <w:rPr>
          <w:sz w:val="22"/>
          <w:szCs w:val="22"/>
        </w:rPr>
        <w:br w:type="page"/>
      </w:r>
    </w:p>
    <w:p w:rsidR="00735119" w:rsidRPr="00735119" w:rsidRDefault="00735119" w:rsidP="00735119">
      <w:pPr>
        <w:jc w:val="center"/>
        <w:rPr>
          <w:sz w:val="22"/>
          <w:szCs w:val="22"/>
        </w:rPr>
      </w:pPr>
      <w:r w:rsidRPr="00735119">
        <w:rPr>
          <w:sz w:val="22"/>
          <w:szCs w:val="22"/>
        </w:rPr>
        <w:lastRenderedPageBreak/>
        <w:t>CONTRIBUTORS TO DRAFTING AND REVIEW</w:t>
      </w:r>
    </w:p>
    <w:p w:rsidR="00735119" w:rsidRPr="00735119" w:rsidRDefault="00735119" w:rsidP="00735119">
      <w:pPr>
        <w:jc w:val="center"/>
        <w:rPr>
          <w:sz w:val="22"/>
          <w:szCs w:val="22"/>
        </w:rPr>
      </w:pPr>
    </w:p>
    <w:p w:rsidR="00735119" w:rsidRPr="00735119" w:rsidRDefault="00735119" w:rsidP="00735119">
      <w:pPr>
        <w:rPr>
          <w:sz w:val="22"/>
          <w:szCs w:val="22"/>
        </w:rPr>
      </w:pPr>
      <w:proofErr w:type="spellStart"/>
      <w:r w:rsidRPr="00735119">
        <w:rPr>
          <w:sz w:val="22"/>
          <w:szCs w:val="22"/>
        </w:rPr>
        <w:t>Berkovskyy</w:t>
      </w:r>
      <w:proofErr w:type="spellEnd"/>
      <w:r w:rsidRPr="00735119">
        <w:rPr>
          <w:sz w:val="22"/>
          <w:szCs w:val="22"/>
        </w:rPr>
        <w:t>, V.</w:t>
      </w:r>
      <w:r w:rsidRPr="00735119">
        <w:rPr>
          <w:sz w:val="22"/>
          <w:szCs w:val="22"/>
        </w:rPr>
        <w:tab/>
      </w:r>
      <w:r w:rsidRPr="00735119">
        <w:rPr>
          <w:sz w:val="22"/>
          <w:szCs w:val="22"/>
        </w:rPr>
        <w:tab/>
        <w:t>International Atomic Energy Agency</w:t>
      </w:r>
    </w:p>
    <w:p w:rsidR="00735119" w:rsidRPr="00735119" w:rsidRDefault="00735119" w:rsidP="00735119">
      <w:pPr>
        <w:rPr>
          <w:sz w:val="22"/>
          <w:szCs w:val="22"/>
        </w:rPr>
      </w:pPr>
      <w:proofErr w:type="gramStart"/>
      <w:r w:rsidRPr="00735119">
        <w:rPr>
          <w:sz w:val="22"/>
          <w:szCs w:val="22"/>
        </w:rPr>
        <w:t>Boal, T.</w:t>
      </w:r>
      <w:proofErr w:type="gramEnd"/>
      <w:r w:rsidRPr="00735119">
        <w:rPr>
          <w:sz w:val="22"/>
          <w:szCs w:val="22"/>
        </w:rPr>
        <w:tab/>
      </w:r>
      <w:r w:rsidRPr="00735119">
        <w:rPr>
          <w:sz w:val="22"/>
          <w:szCs w:val="22"/>
        </w:rPr>
        <w:tab/>
      </w:r>
      <w:r w:rsidRPr="00735119">
        <w:rPr>
          <w:sz w:val="22"/>
          <w:szCs w:val="22"/>
        </w:rPr>
        <w:tab/>
        <w:t>International Atomic Energy Agency</w:t>
      </w:r>
    </w:p>
    <w:p w:rsidR="00735119" w:rsidRPr="00735119" w:rsidRDefault="00735119" w:rsidP="00735119">
      <w:pPr>
        <w:rPr>
          <w:sz w:val="22"/>
          <w:szCs w:val="22"/>
        </w:rPr>
      </w:pPr>
      <w:proofErr w:type="spellStart"/>
      <w:r w:rsidRPr="00735119">
        <w:rPr>
          <w:sz w:val="22"/>
          <w:szCs w:val="22"/>
        </w:rPr>
        <w:t>Cabianca</w:t>
      </w:r>
      <w:proofErr w:type="spellEnd"/>
      <w:r w:rsidRPr="00735119">
        <w:rPr>
          <w:sz w:val="22"/>
          <w:szCs w:val="22"/>
        </w:rPr>
        <w:t>, T.</w:t>
      </w:r>
      <w:r w:rsidRPr="00735119">
        <w:rPr>
          <w:sz w:val="22"/>
          <w:szCs w:val="22"/>
        </w:rPr>
        <w:tab/>
      </w:r>
      <w:r w:rsidRPr="00735119">
        <w:rPr>
          <w:sz w:val="22"/>
          <w:szCs w:val="22"/>
        </w:rPr>
        <w:tab/>
      </w:r>
      <w:r>
        <w:rPr>
          <w:sz w:val="22"/>
          <w:szCs w:val="22"/>
        </w:rPr>
        <w:tab/>
      </w:r>
      <w:r w:rsidRPr="00735119">
        <w:rPr>
          <w:sz w:val="22"/>
          <w:szCs w:val="22"/>
        </w:rPr>
        <w:t>Health Protection England, United Kingdom</w:t>
      </w:r>
    </w:p>
    <w:p w:rsidR="00735119" w:rsidRPr="00735119" w:rsidRDefault="00735119" w:rsidP="00735119">
      <w:pPr>
        <w:rPr>
          <w:sz w:val="22"/>
          <w:szCs w:val="22"/>
        </w:rPr>
      </w:pPr>
      <w:r w:rsidRPr="00735119">
        <w:rPr>
          <w:sz w:val="22"/>
          <w:szCs w:val="22"/>
        </w:rPr>
        <w:t>Cool, D</w:t>
      </w:r>
      <w:r>
        <w:rPr>
          <w:sz w:val="22"/>
          <w:szCs w:val="22"/>
        </w:rPr>
        <w:t>.</w:t>
      </w:r>
      <w:r w:rsidRPr="00735119">
        <w:rPr>
          <w:sz w:val="22"/>
          <w:szCs w:val="22"/>
        </w:rPr>
        <w:tab/>
      </w:r>
      <w:r w:rsidRPr="00735119">
        <w:rPr>
          <w:sz w:val="22"/>
          <w:szCs w:val="22"/>
        </w:rPr>
        <w:tab/>
      </w:r>
      <w:r w:rsidRPr="00735119">
        <w:rPr>
          <w:sz w:val="22"/>
          <w:szCs w:val="22"/>
        </w:rPr>
        <w:tab/>
        <w:t>Nuclear Regulatory Commission, United States of America</w:t>
      </w:r>
    </w:p>
    <w:p w:rsidR="00735119" w:rsidRPr="00735119" w:rsidRDefault="00735119" w:rsidP="00735119">
      <w:pPr>
        <w:rPr>
          <w:sz w:val="22"/>
          <w:szCs w:val="22"/>
        </w:rPr>
      </w:pPr>
      <w:r w:rsidRPr="00735119">
        <w:rPr>
          <w:sz w:val="22"/>
          <w:szCs w:val="22"/>
        </w:rPr>
        <w:t>Dale, P.</w:t>
      </w:r>
      <w:r w:rsidRPr="00735119">
        <w:rPr>
          <w:sz w:val="22"/>
          <w:szCs w:val="22"/>
        </w:rPr>
        <w:tab/>
      </w:r>
      <w:r w:rsidRPr="00735119">
        <w:rPr>
          <w:sz w:val="22"/>
          <w:szCs w:val="22"/>
        </w:rPr>
        <w:tab/>
      </w:r>
      <w:r w:rsidRPr="00735119">
        <w:rPr>
          <w:sz w:val="22"/>
          <w:szCs w:val="22"/>
        </w:rPr>
        <w:tab/>
        <w:t>Scottish Environment Protection Agency, United Kingdom</w:t>
      </w:r>
    </w:p>
    <w:p w:rsidR="00735119" w:rsidRPr="00735119" w:rsidRDefault="00735119" w:rsidP="00735119">
      <w:pPr>
        <w:ind w:left="2265" w:hanging="2265"/>
        <w:rPr>
          <w:sz w:val="22"/>
          <w:szCs w:val="22"/>
        </w:rPr>
      </w:pPr>
      <w:proofErr w:type="spellStart"/>
      <w:r w:rsidRPr="00735119">
        <w:rPr>
          <w:sz w:val="22"/>
          <w:szCs w:val="22"/>
        </w:rPr>
        <w:t>Kliaus</w:t>
      </w:r>
      <w:proofErr w:type="spellEnd"/>
      <w:r w:rsidRPr="00735119">
        <w:rPr>
          <w:sz w:val="22"/>
          <w:szCs w:val="22"/>
        </w:rPr>
        <w:t>, V.</w:t>
      </w:r>
      <w:r w:rsidRPr="00735119">
        <w:rPr>
          <w:sz w:val="22"/>
          <w:szCs w:val="22"/>
        </w:rPr>
        <w:tab/>
      </w:r>
      <w:r w:rsidRPr="00735119">
        <w:rPr>
          <w:sz w:val="22"/>
          <w:szCs w:val="22"/>
        </w:rPr>
        <w:tab/>
        <w:t>Republican Scientific-Practical Centre of Hygiene, Republic of Belarus</w:t>
      </w:r>
    </w:p>
    <w:p w:rsidR="00735119" w:rsidRPr="00735119" w:rsidRDefault="00735119" w:rsidP="00735119">
      <w:pPr>
        <w:rPr>
          <w:sz w:val="22"/>
          <w:szCs w:val="22"/>
        </w:rPr>
      </w:pPr>
      <w:proofErr w:type="spellStart"/>
      <w:r w:rsidRPr="00735119">
        <w:rPr>
          <w:sz w:val="22"/>
          <w:szCs w:val="22"/>
        </w:rPr>
        <w:t>Linsley</w:t>
      </w:r>
      <w:proofErr w:type="spellEnd"/>
      <w:r w:rsidRPr="00735119">
        <w:rPr>
          <w:sz w:val="22"/>
          <w:szCs w:val="22"/>
        </w:rPr>
        <w:t>, G.</w:t>
      </w:r>
      <w:r w:rsidRPr="00735119">
        <w:rPr>
          <w:sz w:val="22"/>
          <w:szCs w:val="22"/>
        </w:rPr>
        <w:tab/>
      </w:r>
      <w:r w:rsidRPr="00735119">
        <w:rPr>
          <w:sz w:val="22"/>
          <w:szCs w:val="22"/>
        </w:rPr>
        <w:tab/>
      </w:r>
      <w:r w:rsidRPr="00735119">
        <w:rPr>
          <w:sz w:val="22"/>
          <w:szCs w:val="22"/>
        </w:rPr>
        <w:tab/>
      </w:r>
      <w:r>
        <w:rPr>
          <w:sz w:val="22"/>
          <w:szCs w:val="22"/>
        </w:rPr>
        <w:t>C</w:t>
      </w:r>
      <w:r w:rsidRPr="00735119">
        <w:rPr>
          <w:sz w:val="22"/>
          <w:szCs w:val="22"/>
        </w:rPr>
        <w:t>onsultant, United Kingdom</w:t>
      </w:r>
    </w:p>
    <w:p w:rsidR="00735119" w:rsidRPr="00735119" w:rsidRDefault="00735119" w:rsidP="00735119">
      <w:pPr>
        <w:rPr>
          <w:sz w:val="22"/>
          <w:szCs w:val="22"/>
        </w:rPr>
      </w:pPr>
      <w:r w:rsidRPr="00735119">
        <w:rPr>
          <w:sz w:val="22"/>
          <w:szCs w:val="22"/>
        </w:rPr>
        <w:t>Lorenz, B.</w:t>
      </w:r>
      <w:r w:rsidRPr="00735119">
        <w:rPr>
          <w:sz w:val="22"/>
          <w:szCs w:val="22"/>
        </w:rPr>
        <w:tab/>
      </w:r>
      <w:r w:rsidRPr="00735119">
        <w:rPr>
          <w:sz w:val="22"/>
          <w:szCs w:val="22"/>
        </w:rPr>
        <w:tab/>
      </w:r>
      <w:r w:rsidRPr="00735119">
        <w:rPr>
          <w:sz w:val="22"/>
          <w:szCs w:val="22"/>
        </w:rPr>
        <w:tab/>
        <w:t xml:space="preserve">European Nuclear Installations Safety Standards Initiative </w:t>
      </w:r>
    </w:p>
    <w:p w:rsidR="00735119" w:rsidRPr="00735119" w:rsidRDefault="00735119" w:rsidP="00735119">
      <w:pPr>
        <w:rPr>
          <w:sz w:val="22"/>
          <w:szCs w:val="22"/>
        </w:rPr>
      </w:pPr>
      <w:proofErr w:type="spellStart"/>
      <w:r w:rsidRPr="00735119">
        <w:rPr>
          <w:sz w:val="22"/>
          <w:szCs w:val="22"/>
        </w:rPr>
        <w:t>Markkanen</w:t>
      </w:r>
      <w:proofErr w:type="spellEnd"/>
      <w:r w:rsidRPr="00735119">
        <w:rPr>
          <w:sz w:val="22"/>
          <w:szCs w:val="22"/>
        </w:rPr>
        <w:t>, M.</w:t>
      </w:r>
      <w:r w:rsidRPr="00735119">
        <w:rPr>
          <w:sz w:val="22"/>
          <w:szCs w:val="22"/>
        </w:rPr>
        <w:tab/>
      </w:r>
      <w:r w:rsidRPr="00735119">
        <w:rPr>
          <w:sz w:val="22"/>
          <w:szCs w:val="22"/>
        </w:rPr>
        <w:tab/>
        <w:t>Radiation and Nuclear Safety Authority, Finland</w:t>
      </w:r>
    </w:p>
    <w:p w:rsidR="00735119" w:rsidRPr="00735119" w:rsidRDefault="00735119" w:rsidP="00735119">
      <w:pPr>
        <w:rPr>
          <w:sz w:val="22"/>
          <w:szCs w:val="22"/>
        </w:rPr>
      </w:pPr>
      <w:proofErr w:type="spellStart"/>
      <w:r w:rsidRPr="00735119">
        <w:rPr>
          <w:sz w:val="22"/>
          <w:szCs w:val="22"/>
        </w:rPr>
        <w:t>Proehl</w:t>
      </w:r>
      <w:proofErr w:type="spellEnd"/>
      <w:r w:rsidRPr="00735119">
        <w:rPr>
          <w:sz w:val="22"/>
          <w:szCs w:val="22"/>
        </w:rPr>
        <w:t>, G.</w:t>
      </w:r>
      <w:r w:rsidRPr="00735119">
        <w:rPr>
          <w:sz w:val="22"/>
          <w:szCs w:val="22"/>
        </w:rPr>
        <w:tab/>
      </w:r>
      <w:r w:rsidRPr="00735119">
        <w:rPr>
          <w:sz w:val="22"/>
          <w:szCs w:val="22"/>
        </w:rPr>
        <w:tab/>
      </w:r>
      <w:r w:rsidRPr="00735119">
        <w:rPr>
          <w:sz w:val="22"/>
          <w:szCs w:val="22"/>
        </w:rPr>
        <w:tab/>
        <w:t>International Atomic Energy Agency</w:t>
      </w:r>
    </w:p>
    <w:p w:rsidR="00735119" w:rsidRPr="00735119" w:rsidRDefault="00735119" w:rsidP="00735119">
      <w:pPr>
        <w:rPr>
          <w:sz w:val="22"/>
          <w:szCs w:val="22"/>
        </w:rPr>
      </w:pPr>
      <w:r w:rsidRPr="00735119">
        <w:rPr>
          <w:sz w:val="22"/>
          <w:szCs w:val="22"/>
        </w:rPr>
        <w:t>Robinson, C.</w:t>
      </w:r>
      <w:r w:rsidRPr="00735119">
        <w:rPr>
          <w:sz w:val="22"/>
          <w:szCs w:val="22"/>
        </w:rPr>
        <w:tab/>
      </w:r>
      <w:r w:rsidRPr="00735119">
        <w:rPr>
          <w:sz w:val="22"/>
          <w:szCs w:val="22"/>
        </w:rPr>
        <w:tab/>
        <w:t xml:space="preserve">United Nations Environment Programme </w:t>
      </w:r>
    </w:p>
    <w:p w:rsidR="00735119" w:rsidRPr="00735119" w:rsidRDefault="00735119" w:rsidP="00735119">
      <w:pPr>
        <w:rPr>
          <w:sz w:val="22"/>
          <w:szCs w:val="22"/>
        </w:rPr>
      </w:pPr>
      <w:proofErr w:type="spellStart"/>
      <w:proofErr w:type="gramStart"/>
      <w:r w:rsidRPr="00735119">
        <w:rPr>
          <w:sz w:val="22"/>
          <w:szCs w:val="22"/>
        </w:rPr>
        <w:t>Telleria</w:t>
      </w:r>
      <w:proofErr w:type="spellEnd"/>
      <w:r w:rsidRPr="00735119">
        <w:rPr>
          <w:sz w:val="22"/>
          <w:szCs w:val="22"/>
        </w:rPr>
        <w:t>, D.</w:t>
      </w:r>
      <w:proofErr w:type="gramEnd"/>
      <w:r w:rsidRPr="00735119">
        <w:rPr>
          <w:sz w:val="22"/>
          <w:szCs w:val="22"/>
        </w:rPr>
        <w:tab/>
      </w:r>
      <w:r w:rsidRPr="00735119">
        <w:rPr>
          <w:sz w:val="22"/>
          <w:szCs w:val="22"/>
        </w:rPr>
        <w:tab/>
      </w:r>
      <w:r w:rsidRPr="00735119">
        <w:rPr>
          <w:sz w:val="22"/>
          <w:szCs w:val="22"/>
        </w:rPr>
        <w:tab/>
        <w:t>International Atomic Energy Agency</w:t>
      </w:r>
    </w:p>
    <w:p w:rsidR="00735119" w:rsidRPr="00735119" w:rsidRDefault="00735119" w:rsidP="00735119">
      <w:pPr>
        <w:rPr>
          <w:sz w:val="22"/>
          <w:szCs w:val="22"/>
        </w:rPr>
      </w:pPr>
      <w:r w:rsidRPr="00735119">
        <w:rPr>
          <w:sz w:val="22"/>
          <w:szCs w:val="22"/>
        </w:rPr>
        <w:t>Thompson, P.</w:t>
      </w:r>
      <w:r w:rsidRPr="00735119">
        <w:rPr>
          <w:sz w:val="22"/>
          <w:szCs w:val="22"/>
        </w:rPr>
        <w:tab/>
      </w:r>
      <w:r w:rsidRPr="00735119">
        <w:rPr>
          <w:sz w:val="22"/>
          <w:szCs w:val="22"/>
        </w:rPr>
        <w:tab/>
        <w:t>Canadian Nuclear Safety Commission, Canada</w:t>
      </w:r>
    </w:p>
    <w:p w:rsidR="00721161" w:rsidRPr="00735119" w:rsidRDefault="00735119" w:rsidP="00735119">
      <w:pPr>
        <w:overflowPunct/>
        <w:spacing w:after="0"/>
        <w:jc w:val="left"/>
        <w:textAlignment w:val="auto"/>
        <w:rPr>
          <w:sz w:val="22"/>
          <w:szCs w:val="22"/>
        </w:rPr>
      </w:pPr>
      <w:proofErr w:type="spellStart"/>
      <w:r w:rsidRPr="00735119">
        <w:rPr>
          <w:sz w:val="22"/>
          <w:szCs w:val="22"/>
        </w:rPr>
        <w:t>Wrixon</w:t>
      </w:r>
      <w:proofErr w:type="spellEnd"/>
      <w:r w:rsidRPr="00735119">
        <w:rPr>
          <w:sz w:val="22"/>
          <w:szCs w:val="22"/>
        </w:rPr>
        <w:t>, T.</w:t>
      </w:r>
      <w:r w:rsidRPr="00735119">
        <w:rPr>
          <w:sz w:val="22"/>
          <w:szCs w:val="22"/>
        </w:rPr>
        <w:tab/>
      </w:r>
      <w:r w:rsidRPr="00735119">
        <w:rPr>
          <w:sz w:val="22"/>
          <w:szCs w:val="22"/>
        </w:rPr>
        <w:tab/>
      </w:r>
      <w:r w:rsidRPr="00735119">
        <w:rPr>
          <w:sz w:val="22"/>
          <w:szCs w:val="22"/>
        </w:rPr>
        <w:tab/>
      </w:r>
      <w:r>
        <w:rPr>
          <w:sz w:val="22"/>
          <w:szCs w:val="22"/>
        </w:rPr>
        <w:t>C</w:t>
      </w:r>
      <w:r w:rsidRPr="00735119">
        <w:rPr>
          <w:sz w:val="22"/>
          <w:szCs w:val="22"/>
        </w:rPr>
        <w:t>onsultant, United Kingdom</w:t>
      </w:r>
    </w:p>
    <w:sectPr w:rsidR="00721161" w:rsidRPr="00735119" w:rsidSect="002C0395">
      <w:headerReference w:type="even" r:id="rId14"/>
      <w:headerReference w:type="default" r:id="rId15"/>
      <w:footerReference w:type="even" r:id="rId16"/>
      <w:footerReference w:type="default" r:id="rId17"/>
      <w:headerReference w:type="first" r:id="rId18"/>
      <w:pgSz w:w="11907" w:h="16840" w:code="9"/>
      <w:pgMar w:top="1134" w:right="1418" w:bottom="1531"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39" w:rsidRDefault="002A6139">
      <w:r>
        <w:separator/>
      </w:r>
    </w:p>
  </w:endnote>
  <w:endnote w:type="continuationSeparator" w:id="0">
    <w:p w:rsidR="002A6139" w:rsidRDefault="002A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2A6139">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2A6139">
    <w:pPr>
      <w:pStyle w:val="BodyTex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2A6139">
    <w:pPr>
      <w:pStyle w:val="Footer"/>
      <w:jc w:val="left"/>
    </w:pPr>
    <w:r>
      <w:fldChar w:fldCharType="begin"/>
    </w:r>
    <w:r>
      <w:instrText xml:space="preserve"> PAGE </w:instrText>
    </w:r>
    <w:r>
      <w:fldChar w:fldCharType="separate"/>
    </w:r>
    <w:r w:rsidR="007917F1">
      <w:rPr>
        <w:noProof/>
      </w:rPr>
      <w:t>46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2A6139">
    <w:pPr>
      <w:pStyle w:val="BodyText"/>
      <w:jc w:val="right"/>
    </w:pPr>
    <w:r>
      <w:rPr>
        <w:sz w:val="22"/>
      </w:rPr>
      <w:fldChar w:fldCharType="begin"/>
    </w:r>
    <w:r>
      <w:rPr>
        <w:sz w:val="22"/>
      </w:rPr>
      <w:instrText xml:space="preserve"> PAGE </w:instrText>
    </w:r>
    <w:r>
      <w:rPr>
        <w:sz w:val="22"/>
      </w:rPr>
      <w:fldChar w:fldCharType="separate"/>
    </w:r>
    <w:r w:rsidR="007917F1">
      <w:rPr>
        <w:noProof/>
        <w:sz w:val="22"/>
      </w:rPr>
      <w:t>47</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39" w:rsidRDefault="002A6139">
      <w:r>
        <w:separator/>
      </w:r>
    </w:p>
  </w:footnote>
  <w:footnote w:type="continuationSeparator" w:id="0">
    <w:p w:rsidR="002A6139" w:rsidRDefault="002A6139">
      <w:r>
        <w:continuationSeparator/>
      </w:r>
    </w:p>
  </w:footnote>
  <w:footnote w:id="1">
    <w:p w:rsidR="002A6139" w:rsidRPr="0095256E" w:rsidRDefault="002A6139" w:rsidP="00C26021">
      <w:pPr>
        <w:pStyle w:val="FootnoteText"/>
        <w:jc w:val="both"/>
      </w:pPr>
      <w:r w:rsidRPr="0095256E">
        <w:rPr>
          <w:rStyle w:val="FootnoteReference"/>
        </w:rPr>
        <w:footnoteRef/>
      </w:r>
      <w:r w:rsidRPr="0095256E">
        <w:t xml:space="preserve"> The individual dose criterion for low probability scenarios is based on the assumption that the probability of occurrence </w:t>
      </w:r>
      <w:r>
        <w:t xml:space="preserve">of such a scenario </w:t>
      </w:r>
      <w:r w:rsidRPr="0095256E">
        <w:t>does not exceed 10</w:t>
      </w:r>
      <w:r w:rsidRPr="0095256E">
        <w:rPr>
          <w:vertAlign w:val="superscript"/>
        </w:rPr>
        <w:t>-2</w:t>
      </w:r>
      <w:r>
        <w:t xml:space="preserve"> per year [21</w:t>
      </w:r>
      <w:r w:rsidRPr="0095256E">
        <w:t>].</w:t>
      </w:r>
    </w:p>
  </w:footnote>
  <w:footnote w:id="2">
    <w:p w:rsidR="002A6139" w:rsidRDefault="002A6139" w:rsidP="005418B4">
      <w:pPr>
        <w:pStyle w:val="FootnoteText"/>
      </w:pPr>
      <w:r>
        <w:rPr>
          <w:rStyle w:val="FootnoteReference"/>
        </w:rPr>
        <w:footnoteRef/>
      </w:r>
      <w:r>
        <w:t xml:space="preserve"> Paragraph 3.5 of GSR Part 3 [2] states that </w:t>
      </w:r>
    </w:p>
    <w:p w:rsidR="002A6139" w:rsidRDefault="002A6139" w:rsidP="00BB4496">
      <w:pPr>
        <w:pStyle w:val="FootnoteText"/>
        <w:ind w:left="567"/>
        <w:jc w:val="both"/>
      </w:pPr>
      <w:r>
        <w:t>“No person or organization shall adopt, introduce, conduct, discontinue or cease a practice, or shall, as applicable, mine, extract, process, design, manufacture, construct, assemble, install, acquire, import, export, supply, provide, distribute, loan, hire, receive, site, locate, commission, possess, use, operate, maintain, repair, transfer, decommission, disassemble, transport, store or dispose of a source within a practice other than in accordance with the requirements of these Standards.”</w:t>
      </w:r>
    </w:p>
  </w:footnote>
  <w:footnote w:id="3">
    <w:p w:rsidR="002A6139" w:rsidRPr="00610B9F" w:rsidRDefault="002A6139" w:rsidP="001962EA">
      <w:pPr>
        <w:pStyle w:val="FootnoteText"/>
        <w:jc w:val="both"/>
      </w:pPr>
      <w:r w:rsidRPr="00610B9F">
        <w:rPr>
          <w:rStyle w:val="FootnoteReference"/>
        </w:rPr>
        <w:footnoteRef/>
      </w:r>
      <w:r w:rsidRPr="00610B9F">
        <w:t xml:space="preserve"> For example, in authorized, justified and planned operational </w:t>
      </w:r>
      <w:r>
        <w:t>conditions</w:t>
      </w:r>
      <w:r w:rsidRPr="00610B9F">
        <w:t xml:space="preserve"> that lead to transitory increases in exposures.</w:t>
      </w:r>
    </w:p>
  </w:footnote>
  <w:footnote w:id="4">
    <w:p w:rsidR="002A6139" w:rsidRDefault="002A6139">
      <w:pPr>
        <w:pStyle w:val="FootnoteText"/>
      </w:pPr>
      <w:r>
        <w:rPr>
          <w:rStyle w:val="FootnoteReference"/>
        </w:rPr>
        <w:footnoteRef/>
      </w:r>
      <w:r>
        <w:t xml:space="preserve"> The term ‘areas’ is used in its broadest sense and can include land and water bodies.</w:t>
      </w:r>
    </w:p>
  </w:footnote>
  <w:footnote w:id="5">
    <w:p w:rsidR="002A6139" w:rsidRDefault="002A6139">
      <w:pPr>
        <w:pStyle w:val="FootnoteText"/>
      </w:pPr>
      <w:r>
        <w:rPr>
          <w:rStyle w:val="FootnoteReference"/>
        </w:rPr>
        <w:footnoteRef/>
      </w:r>
      <w:r>
        <w:t xml:space="preserve"> Revision of WS-G-3.1 is in preparation.</w:t>
      </w:r>
    </w:p>
  </w:footnote>
  <w:footnote w:id="6">
    <w:p w:rsidR="002A6139" w:rsidRDefault="002A6139" w:rsidP="00C500A5">
      <w:pPr>
        <w:pStyle w:val="FootnoteText"/>
      </w:pPr>
      <w:r>
        <w:rPr>
          <w:rStyle w:val="FootnoteReference"/>
        </w:rPr>
        <w:footnoteRef/>
      </w:r>
      <w:r>
        <w:t xml:space="preserve"> On the assumption of an equilibrium factor for </w:t>
      </w:r>
      <w:r w:rsidRPr="00EB459A">
        <w:rPr>
          <w:vertAlign w:val="superscript"/>
        </w:rPr>
        <w:t>222</w:t>
      </w:r>
      <w:r w:rsidRPr="00EB459A">
        <w:t>Rn</w:t>
      </w:r>
      <w:r w:rsidRPr="00EB459A" w:rsidDel="00696E25">
        <w:t xml:space="preserve"> </w:t>
      </w:r>
      <w:r>
        <w:t>of 0.4 and an annual occupancy factor of 7 000 hours, the</w:t>
      </w:r>
      <w:r w:rsidRPr="0028086A">
        <w:t xml:space="preserve"> value </w:t>
      </w:r>
      <w:r>
        <w:t xml:space="preserve">of 300 </w:t>
      </w:r>
      <w:proofErr w:type="spellStart"/>
      <w:r w:rsidRPr="00EB459A">
        <w:t>Bq</w:t>
      </w:r>
      <w:proofErr w:type="spellEnd"/>
      <w:r w:rsidRPr="00EB459A">
        <w:t>/m</w:t>
      </w:r>
      <w:r w:rsidRPr="00EB459A">
        <w:rPr>
          <w:vertAlign w:val="superscript"/>
        </w:rPr>
        <w:t>3</w:t>
      </w:r>
      <w:r>
        <w:rPr>
          <w:vertAlign w:val="superscript"/>
        </w:rPr>
        <w:t xml:space="preserve"> </w:t>
      </w:r>
      <w:r w:rsidRPr="00696E25">
        <w:t>corresponds</w:t>
      </w:r>
      <w:r w:rsidRPr="0028086A">
        <w:t xml:space="preserve"> to an annual effective dose of the order of 10 </w:t>
      </w:r>
      <w:proofErr w:type="spellStart"/>
      <w:r w:rsidRPr="0028086A">
        <w:t>mSv</w:t>
      </w:r>
      <w:proofErr w:type="spellEnd"/>
      <w:r w:rsidRPr="002808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7917F1">
    <w:pPr>
      <w:jc w:val="lef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20" o:spid="_x0000_s2050" type="#_x0000_t75" style="position:absolute;margin-left:0;margin-top:0;width:453.4pt;height:469.75pt;z-index:-251657216;mso-position-horizontal:center;mso-position-horizontal-relative:margin;mso-position-vertical:center;mso-position-vertical-relative:margin" o:allowincell="f">
          <v:imagedata r:id="rId1" o:title="DRAFT mark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7917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21" o:spid="_x0000_s2051" type="#_x0000_t75" style="position:absolute;left:0;text-align:left;margin-left:0;margin-top:0;width:453.4pt;height:469.75pt;z-index:-251656192;mso-position-horizontal:center;mso-position-horizontal-relative:margin;mso-position-vertical:center;mso-position-vertical-relative:margin" o:allowincell="f">
          <v:imagedata r:id="rId1" o:title="DRAFT mark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7917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19" o:spid="_x0000_s2049" type="#_x0000_t75" style="position:absolute;left:0;text-align:left;margin-left:0;margin-top:0;width:453.4pt;height:469.75pt;z-index:-251658240;mso-position-horizontal:center;mso-position-horizontal-relative:margin;mso-position-vertical:center;mso-position-vertical-relative:margin" o:allowincell="f">
          <v:imagedata r:id="rId1" o:title="DRAFT marking"/>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7917F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23" o:spid="_x0000_s2053" type="#_x0000_t75" style="position:absolute;left:0;text-align:left;margin-left:0;margin-top:0;width:453.4pt;height:469.75pt;z-index:-251654144;mso-position-horizontal:center;mso-position-horizontal-relative:margin;mso-position-vertical:center;mso-position-vertical-relative:margin" o:allowincell="f">
          <v:imagedata r:id="rId1" o:title="DRAFT marking"/>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7917F1">
    <w:pPr>
      <w:ind w:right="1753"/>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24" o:spid="_x0000_s2054" type="#_x0000_t75" style="position:absolute;left:0;text-align:left;margin-left:0;margin-top:0;width:453.4pt;height:469.75pt;z-index:-251653120;mso-position-horizontal:center;mso-position-horizontal-relative:margin;mso-position-vertical:center;mso-position-vertical-relative:margin" o:allowincell="f">
          <v:imagedata r:id="rId1" o:title="DRAFT marking"/>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39" w:rsidRDefault="007917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22" o:spid="_x0000_s2052" type="#_x0000_t75" style="position:absolute;left:0;text-align:left;margin-left:0;margin-top:0;width:453.4pt;height:469.75pt;z-index:-251655168;mso-position-horizontal:center;mso-position-horizontal-relative:margin;mso-position-vertical:center;mso-position-vertical-relative:margin" o:allowincell="f">
          <v:imagedata r:id="rId1" o:title="DRAFT mark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59"/>
    <w:multiLevelType w:val="multilevel"/>
    <w:tmpl w:val="A4A60696"/>
    <w:lvl w:ilvl="0">
      <w:start w:val="1"/>
      <w:numFmt w:val="upperRoman"/>
      <w:pStyle w:val="AppendixHeading1"/>
      <w:lvlText w:val="APPENDIX %1."/>
      <w:lvlJc w:val="left"/>
      <w:pPr>
        <w:tabs>
          <w:tab w:val="num" w:pos="2160"/>
        </w:tabs>
        <w:ind w:left="0" w:firstLine="0"/>
      </w:pPr>
      <w:rPr>
        <w:rFonts w:hint="default"/>
      </w:rPr>
    </w:lvl>
    <w:lvl w:ilvl="1">
      <w:start w:val="1"/>
      <w:numFmt w:val="decimal"/>
      <w:pStyle w:val="AppendixHeading2"/>
      <w:lvlText w:val="%1.%2."/>
      <w:lvlJc w:val="left"/>
      <w:pPr>
        <w:tabs>
          <w:tab w:val="num" w:pos="360"/>
        </w:tabs>
        <w:ind w:left="0" w:firstLine="0"/>
      </w:pPr>
      <w:rPr>
        <w:rFonts w:hint="default"/>
      </w:rPr>
    </w:lvl>
    <w:lvl w:ilvl="2">
      <w:start w:val="1"/>
      <w:numFmt w:val="decimal"/>
      <w:pStyle w:val="AppendixHeading3"/>
      <w:lvlText w:val="%1.%2.%3."/>
      <w:lvlJc w:val="left"/>
      <w:pPr>
        <w:tabs>
          <w:tab w:val="num" w:pos="720"/>
        </w:tabs>
        <w:ind w:left="0" w:firstLine="0"/>
      </w:pPr>
      <w:rPr>
        <w:rFonts w:hint="default"/>
      </w:rPr>
    </w:lvl>
    <w:lvl w:ilvl="3">
      <w:start w:val="1"/>
      <w:numFmt w:val="decimal"/>
      <w:pStyle w:val="AppendixHeading4"/>
      <w:lvlText w:val="%1.%2.%3.%4."/>
      <w:lvlJc w:val="left"/>
      <w:pPr>
        <w:tabs>
          <w:tab w:val="num" w:pos="720"/>
        </w:tabs>
        <w:ind w:left="0" w:firstLine="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05096929"/>
    <w:multiLevelType w:val="hybridMultilevel"/>
    <w:tmpl w:val="87148BA6"/>
    <w:lvl w:ilvl="0" w:tplc="BB0083E6">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5B05217"/>
    <w:multiLevelType w:val="hybridMultilevel"/>
    <w:tmpl w:val="001A3A94"/>
    <w:lvl w:ilvl="0" w:tplc="BC78C6E6">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F0CAB"/>
    <w:multiLevelType w:val="hybridMultilevel"/>
    <w:tmpl w:val="5B4A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E0479"/>
    <w:multiLevelType w:val="hybridMultilevel"/>
    <w:tmpl w:val="67E8BDD8"/>
    <w:lvl w:ilvl="0" w:tplc="BC78C6E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F031E"/>
    <w:multiLevelType w:val="hybridMultilevel"/>
    <w:tmpl w:val="7A42DA04"/>
    <w:lvl w:ilvl="0" w:tplc="BC78C6E6">
      <w:start w:val="1"/>
      <w:numFmt w:val="lowerLetter"/>
      <w:lvlText w:val="(%1)"/>
      <w:lvlJc w:val="left"/>
      <w:pPr>
        <w:ind w:left="360" w:hanging="360"/>
      </w:pPr>
      <w:rPr>
        <w:rFonts w:hint="default"/>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6">
    <w:nsid w:val="1F6D51B0"/>
    <w:multiLevelType w:val="hybridMultilevel"/>
    <w:tmpl w:val="13865A60"/>
    <w:lvl w:ilvl="0" w:tplc="BC78C6E6">
      <w:start w:val="1"/>
      <w:numFmt w:val="lowerLetter"/>
      <w:lvlText w:val="(%1)"/>
      <w:lvlJc w:val="left"/>
      <w:pPr>
        <w:ind w:left="1287" w:hanging="360"/>
      </w:pPr>
      <w:rPr>
        <w:rFonts w:hint="default"/>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217B1219"/>
    <w:multiLevelType w:val="hybridMultilevel"/>
    <w:tmpl w:val="1F0A318A"/>
    <w:lvl w:ilvl="0" w:tplc="BC78C6E6">
      <w:start w:val="1"/>
      <w:numFmt w:val="lowerLetter"/>
      <w:lvlText w:val="(%1)"/>
      <w:lvlJc w:val="left"/>
      <w:pPr>
        <w:tabs>
          <w:tab w:val="num" w:pos="2203"/>
        </w:tabs>
        <w:ind w:left="2203" w:hanging="360"/>
      </w:pPr>
      <w:rPr>
        <w:rFonts w:hint="default"/>
      </w:r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8">
    <w:nsid w:val="2EE12D37"/>
    <w:multiLevelType w:val="hybridMultilevel"/>
    <w:tmpl w:val="BC9C498A"/>
    <w:lvl w:ilvl="0" w:tplc="BC78C6E6">
      <w:start w:val="1"/>
      <w:numFmt w:val="lowerLetter"/>
      <w:lvlText w:val="(%1)"/>
      <w:lvlJc w:val="left"/>
      <w:pPr>
        <w:tabs>
          <w:tab w:val="num" w:pos="2007"/>
        </w:tabs>
        <w:ind w:left="200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7C67720"/>
    <w:multiLevelType w:val="hybridMultilevel"/>
    <w:tmpl w:val="BB38CC92"/>
    <w:lvl w:ilvl="0" w:tplc="08090017">
      <w:start w:val="1"/>
      <w:numFmt w:val="lowerLetter"/>
      <w:lvlText w:val="%1)"/>
      <w:lvlJc w:val="left"/>
      <w:pPr>
        <w:ind w:left="1354" w:hanging="360"/>
      </w:pPr>
      <w:rPr>
        <w:rFonts w:hint="default"/>
      </w:rPr>
    </w:lvl>
    <w:lvl w:ilvl="1" w:tplc="040B0003" w:tentative="1">
      <w:start w:val="1"/>
      <w:numFmt w:val="bullet"/>
      <w:lvlText w:val="o"/>
      <w:lvlJc w:val="left"/>
      <w:pPr>
        <w:ind w:left="2074" w:hanging="360"/>
      </w:pPr>
      <w:rPr>
        <w:rFonts w:ascii="Courier New" w:hAnsi="Courier New" w:cs="Courier New" w:hint="default"/>
      </w:rPr>
    </w:lvl>
    <w:lvl w:ilvl="2" w:tplc="040B0005" w:tentative="1">
      <w:start w:val="1"/>
      <w:numFmt w:val="bullet"/>
      <w:lvlText w:val=""/>
      <w:lvlJc w:val="left"/>
      <w:pPr>
        <w:ind w:left="2794" w:hanging="360"/>
      </w:pPr>
      <w:rPr>
        <w:rFonts w:ascii="Wingdings" w:hAnsi="Wingdings" w:hint="default"/>
      </w:rPr>
    </w:lvl>
    <w:lvl w:ilvl="3" w:tplc="040B0001" w:tentative="1">
      <w:start w:val="1"/>
      <w:numFmt w:val="bullet"/>
      <w:lvlText w:val=""/>
      <w:lvlJc w:val="left"/>
      <w:pPr>
        <w:ind w:left="3514" w:hanging="360"/>
      </w:pPr>
      <w:rPr>
        <w:rFonts w:ascii="Symbol" w:hAnsi="Symbol" w:hint="default"/>
      </w:rPr>
    </w:lvl>
    <w:lvl w:ilvl="4" w:tplc="040B0003" w:tentative="1">
      <w:start w:val="1"/>
      <w:numFmt w:val="bullet"/>
      <w:lvlText w:val="o"/>
      <w:lvlJc w:val="left"/>
      <w:pPr>
        <w:ind w:left="4234" w:hanging="360"/>
      </w:pPr>
      <w:rPr>
        <w:rFonts w:ascii="Courier New" w:hAnsi="Courier New" w:cs="Courier New" w:hint="default"/>
      </w:rPr>
    </w:lvl>
    <w:lvl w:ilvl="5" w:tplc="040B0005" w:tentative="1">
      <w:start w:val="1"/>
      <w:numFmt w:val="bullet"/>
      <w:lvlText w:val=""/>
      <w:lvlJc w:val="left"/>
      <w:pPr>
        <w:ind w:left="4954" w:hanging="360"/>
      </w:pPr>
      <w:rPr>
        <w:rFonts w:ascii="Wingdings" w:hAnsi="Wingdings" w:hint="default"/>
      </w:rPr>
    </w:lvl>
    <w:lvl w:ilvl="6" w:tplc="040B0001" w:tentative="1">
      <w:start w:val="1"/>
      <w:numFmt w:val="bullet"/>
      <w:lvlText w:val=""/>
      <w:lvlJc w:val="left"/>
      <w:pPr>
        <w:ind w:left="5674" w:hanging="360"/>
      </w:pPr>
      <w:rPr>
        <w:rFonts w:ascii="Symbol" w:hAnsi="Symbol" w:hint="default"/>
      </w:rPr>
    </w:lvl>
    <w:lvl w:ilvl="7" w:tplc="040B0003" w:tentative="1">
      <w:start w:val="1"/>
      <w:numFmt w:val="bullet"/>
      <w:lvlText w:val="o"/>
      <w:lvlJc w:val="left"/>
      <w:pPr>
        <w:ind w:left="6394" w:hanging="360"/>
      </w:pPr>
      <w:rPr>
        <w:rFonts w:ascii="Courier New" w:hAnsi="Courier New" w:cs="Courier New" w:hint="default"/>
      </w:rPr>
    </w:lvl>
    <w:lvl w:ilvl="8" w:tplc="040B0005" w:tentative="1">
      <w:start w:val="1"/>
      <w:numFmt w:val="bullet"/>
      <w:lvlText w:val=""/>
      <w:lvlJc w:val="left"/>
      <w:pPr>
        <w:ind w:left="7114" w:hanging="360"/>
      </w:pPr>
      <w:rPr>
        <w:rFonts w:ascii="Wingdings" w:hAnsi="Wingdings" w:hint="default"/>
      </w:rPr>
    </w:lvl>
  </w:abstractNum>
  <w:abstractNum w:abstractNumId="10">
    <w:nsid w:val="3F3E74ED"/>
    <w:multiLevelType w:val="hybridMultilevel"/>
    <w:tmpl w:val="13865A60"/>
    <w:lvl w:ilvl="0" w:tplc="BC78C6E6">
      <w:start w:val="1"/>
      <w:numFmt w:val="lowerLetter"/>
      <w:lvlText w:val="(%1)"/>
      <w:lvlJc w:val="left"/>
      <w:pPr>
        <w:ind w:left="1287" w:hanging="360"/>
      </w:pPr>
      <w:rPr>
        <w:rFonts w:hint="default"/>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404A19A1"/>
    <w:multiLevelType w:val="multilevel"/>
    <w:tmpl w:val="DD9C4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2F86665"/>
    <w:multiLevelType w:val="hybridMultilevel"/>
    <w:tmpl w:val="001A3A94"/>
    <w:lvl w:ilvl="0" w:tplc="BC78C6E6">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F1248C"/>
    <w:multiLevelType w:val="hybridMultilevel"/>
    <w:tmpl w:val="B21ECB4A"/>
    <w:lvl w:ilvl="0" w:tplc="E6AE207A">
      <w:start w:val="1"/>
      <w:numFmt w:val="decimal"/>
      <w:lvlText w:val="2.%1."/>
      <w:lvlJc w:val="left"/>
      <w:pPr>
        <w:tabs>
          <w:tab w:val="num" w:pos="851"/>
        </w:tabs>
        <w:ind w:left="360" w:hanging="360"/>
      </w:pPr>
      <w:rPr>
        <w:rFonts w:ascii="Times New Roman" w:hAnsi="Times New Roman" w:hint="default"/>
        <w:b w:val="0"/>
        <w:i w:val="0"/>
        <w:sz w:val="24"/>
        <w:szCs w:val="24"/>
        <w:lang w:val="en-GB"/>
      </w:rPr>
    </w:lvl>
    <w:lvl w:ilvl="1" w:tplc="BC78C6E6">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9D22FA"/>
    <w:multiLevelType w:val="hybridMultilevel"/>
    <w:tmpl w:val="87148BA6"/>
    <w:lvl w:ilvl="0" w:tplc="BB0083E6">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D4D394D"/>
    <w:multiLevelType w:val="hybridMultilevel"/>
    <w:tmpl w:val="1F3ED30C"/>
    <w:lvl w:ilvl="0" w:tplc="BC78C6E6">
      <w:start w:val="1"/>
      <w:numFmt w:val="lowerLetter"/>
      <w:lvlText w:val="(%1)"/>
      <w:lvlJc w:val="left"/>
      <w:pPr>
        <w:ind w:left="3240" w:hanging="360"/>
      </w:pPr>
      <w:rPr>
        <w:rFonts w:hint="default"/>
        <w:b w:val="0"/>
        <w:i w:val="0"/>
        <w:sz w:val="24"/>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4FE67F32"/>
    <w:multiLevelType w:val="hybridMultilevel"/>
    <w:tmpl w:val="E3DE75DA"/>
    <w:lvl w:ilvl="0" w:tplc="4FF6EDDC">
      <w:start w:val="1"/>
      <w:numFmt w:val="decimal"/>
      <w:lvlText w:val="3.%1."/>
      <w:lvlJc w:val="left"/>
      <w:pPr>
        <w:ind w:left="720" w:hanging="360"/>
      </w:pPr>
      <w:rPr>
        <w:rFonts w:hint="default"/>
        <w:b w:val="0"/>
        <w:i w:val="0"/>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2640C6"/>
    <w:multiLevelType w:val="hybridMultilevel"/>
    <w:tmpl w:val="57B65470"/>
    <w:lvl w:ilvl="0" w:tplc="040B0001">
      <w:start w:val="1"/>
      <w:numFmt w:val="bullet"/>
      <w:lvlText w:val=""/>
      <w:lvlJc w:val="left"/>
      <w:pPr>
        <w:ind w:left="5823" w:hanging="360"/>
      </w:pPr>
      <w:rPr>
        <w:rFonts w:ascii="Symbol" w:hAnsi="Symbol" w:hint="default"/>
      </w:rPr>
    </w:lvl>
    <w:lvl w:ilvl="1" w:tplc="040B0003" w:tentative="1">
      <w:start w:val="1"/>
      <w:numFmt w:val="bullet"/>
      <w:lvlText w:val="o"/>
      <w:lvlJc w:val="left"/>
      <w:pPr>
        <w:ind w:left="6543" w:hanging="360"/>
      </w:pPr>
      <w:rPr>
        <w:rFonts w:ascii="Courier New" w:hAnsi="Courier New" w:cs="Courier New" w:hint="default"/>
      </w:rPr>
    </w:lvl>
    <w:lvl w:ilvl="2" w:tplc="040B0005" w:tentative="1">
      <w:start w:val="1"/>
      <w:numFmt w:val="bullet"/>
      <w:lvlText w:val=""/>
      <w:lvlJc w:val="left"/>
      <w:pPr>
        <w:ind w:left="7263" w:hanging="360"/>
      </w:pPr>
      <w:rPr>
        <w:rFonts w:ascii="Wingdings" w:hAnsi="Wingdings" w:hint="default"/>
      </w:rPr>
    </w:lvl>
    <w:lvl w:ilvl="3" w:tplc="040B0001" w:tentative="1">
      <w:start w:val="1"/>
      <w:numFmt w:val="bullet"/>
      <w:lvlText w:val=""/>
      <w:lvlJc w:val="left"/>
      <w:pPr>
        <w:ind w:left="7983" w:hanging="360"/>
      </w:pPr>
      <w:rPr>
        <w:rFonts w:ascii="Symbol" w:hAnsi="Symbol" w:hint="default"/>
      </w:rPr>
    </w:lvl>
    <w:lvl w:ilvl="4" w:tplc="040B0003" w:tentative="1">
      <w:start w:val="1"/>
      <w:numFmt w:val="bullet"/>
      <w:lvlText w:val="o"/>
      <w:lvlJc w:val="left"/>
      <w:pPr>
        <w:ind w:left="8703" w:hanging="360"/>
      </w:pPr>
      <w:rPr>
        <w:rFonts w:ascii="Courier New" w:hAnsi="Courier New" w:cs="Courier New" w:hint="default"/>
      </w:rPr>
    </w:lvl>
    <w:lvl w:ilvl="5" w:tplc="040B0005" w:tentative="1">
      <w:start w:val="1"/>
      <w:numFmt w:val="bullet"/>
      <w:lvlText w:val=""/>
      <w:lvlJc w:val="left"/>
      <w:pPr>
        <w:ind w:left="9423" w:hanging="360"/>
      </w:pPr>
      <w:rPr>
        <w:rFonts w:ascii="Wingdings" w:hAnsi="Wingdings" w:hint="default"/>
      </w:rPr>
    </w:lvl>
    <w:lvl w:ilvl="6" w:tplc="040B0001" w:tentative="1">
      <w:start w:val="1"/>
      <w:numFmt w:val="bullet"/>
      <w:lvlText w:val=""/>
      <w:lvlJc w:val="left"/>
      <w:pPr>
        <w:ind w:left="10143" w:hanging="360"/>
      </w:pPr>
      <w:rPr>
        <w:rFonts w:ascii="Symbol" w:hAnsi="Symbol" w:hint="default"/>
      </w:rPr>
    </w:lvl>
    <w:lvl w:ilvl="7" w:tplc="040B0003" w:tentative="1">
      <w:start w:val="1"/>
      <w:numFmt w:val="bullet"/>
      <w:lvlText w:val="o"/>
      <w:lvlJc w:val="left"/>
      <w:pPr>
        <w:ind w:left="10863" w:hanging="360"/>
      </w:pPr>
      <w:rPr>
        <w:rFonts w:ascii="Courier New" w:hAnsi="Courier New" w:cs="Courier New" w:hint="default"/>
      </w:rPr>
    </w:lvl>
    <w:lvl w:ilvl="8" w:tplc="040B0005" w:tentative="1">
      <w:start w:val="1"/>
      <w:numFmt w:val="bullet"/>
      <w:lvlText w:val=""/>
      <w:lvlJc w:val="left"/>
      <w:pPr>
        <w:ind w:left="11583" w:hanging="360"/>
      </w:pPr>
      <w:rPr>
        <w:rFonts w:ascii="Wingdings" w:hAnsi="Wingdings" w:hint="default"/>
      </w:rPr>
    </w:lvl>
  </w:abstractNum>
  <w:abstractNum w:abstractNumId="18">
    <w:nsid w:val="52CD45AD"/>
    <w:multiLevelType w:val="multilevel"/>
    <w:tmpl w:val="4E709BD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ED771A"/>
    <w:multiLevelType w:val="hybridMultilevel"/>
    <w:tmpl w:val="0A4ED532"/>
    <w:lvl w:ilvl="0" w:tplc="DBB2B858">
      <w:start w:val="1"/>
      <w:numFmt w:val="decimal"/>
      <w:lvlText w:val="2.%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092306"/>
    <w:multiLevelType w:val="hybridMultilevel"/>
    <w:tmpl w:val="C66257F8"/>
    <w:lvl w:ilvl="0" w:tplc="BC78C6E6">
      <w:start w:val="1"/>
      <w:numFmt w:val="lowerLetter"/>
      <w:lvlText w:val="(%1)"/>
      <w:lvlJc w:val="left"/>
      <w:pPr>
        <w:ind w:left="927" w:hanging="360"/>
      </w:pPr>
      <w:rPr>
        <w:rFonts w:hint="default"/>
        <w:b w:val="0"/>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601F3E2A"/>
    <w:multiLevelType w:val="hybridMultilevel"/>
    <w:tmpl w:val="28C8D3C6"/>
    <w:lvl w:ilvl="0" w:tplc="BC78C6E6">
      <w:start w:val="1"/>
      <w:numFmt w:val="lowerLetter"/>
      <w:lvlText w:val="(%1)"/>
      <w:lvlJc w:val="left"/>
      <w:pPr>
        <w:tabs>
          <w:tab w:val="num" w:pos="2203"/>
        </w:tabs>
        <w:ind w:left="2203" w:hanging="360"/>
      </w:pPr>
      <w:rPr>
        <w:rFonts w:hint="default"/>
      </w:r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22">
    <w:nsid w:val="61A419D2"/>
    <w:multiLevelType w:val="hybridMultilevel"/>
    <w:tmpl w:val="EA0EAE88"/>
    <w:lvl w:ilvl="0" w:tplc="BC78C6E6">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14050A"/>
    <w:multiLevelType w:val="hybridMultilevel"/>
    <w:tmpl w:val="50986CDA"/>
    <w:lvl w:ilvl="0" w:tplc="D0BA00BE">
      <w:start w:val="1"/>
      <w:numFmt w:val="decimal"/>
      <w:lvlText w:val="1.%1."/>
      <w:lvlJc w:val="left"/>
      <w:pPr>
        <w:tabs>
          <w:tab w:val="num" w:pos="851"/>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B9E5208"/>
    <w:multiLevelType w:val="hybridMultilevel"/>
    <w:tmpl w:val="AAE827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C930BBD"/>
    <w:multiLevelType w:val="multilevel"/>
    <w:tmpl w:val="AB44E2C2"/>
    <w:lvl w:ilvl="0">
      <w:start w:val="1"/>
      <w:numFmt w:val="upperRoman"/>
      <w:pStyle w:val="AnnexHeading1"/>
      <w:lvlText w:val="ANNEX %1."/>
      <w:lvlJc w:val="left"/>
      <w:pPr>
        <w:tabs>
          <w:tab w:val="num" w:pos="1800"/>
        </w:tabs>
        <w:ind w:left="0" w:firstLine="0"/>
      </w:pPr>
      <w:rPr>
        <w:rFonts w:hint="default"/>
      </w:rPr>
    </w:lvl>
    <w:lvl w:ilvl="1">
      <w:start w:val="1"/>
      <w:numFmt w:val="decimal"/>
      <w:pStyle w:val="AnnexHeading2"/>
      <w:lvlText w:val="%1-%2."/>
      <w:lvlJc w:val="left"/>
      <w:pPr>
        <w:tabs>
          <w:tab w:val="num" w:pos="720"/>
        </w:tabs>
        <w:ind w:left="0" w:firstLine="0"/>
      </w:pPr>
      <w:rPr>
        <w:rFonts w:hint="default"/>
      </w:rPr>
    </w:lvl>
    <w:lvl w:ilvl="2">
      <w:start w:val="1"/>
      <w:numFmt w:val="decimal"/>
      <w:pStyle w:val="AnnexHeading3"/>
      <w:lvlText w:val="%1-%2.%3."/>
      <w:lvlJc w:val="left"/>
      <w:pPr>
        <w:tabs>
          <w:tab w:val="num" w:pos="720"/>
        </w:tabs>
        <w:ind w:left="0" w:firstLine="0"/>
      </w:pPr>
      <w:rPr>
        <w:rFonts w:hint="default"/>
      </w:rPr>
    </w:lvl>
    <w:lvl w:ilvl="3">
      <w:start w:val="1"/>
      <w:numFmt w:val="decimal"/>
      <w:pStyle w:val="AnnexHeading4"/>
      <w:lvlText w:val="%1-%2.%3.%4."/>
      <w:lvlJc w:val="left"/>
      <w:pPr>
        <w:tabs>
          <w:tab w:val="num" w:pos="1080"/>
        </w:tabs>
        <w:ind w:left="0" w:firstLine="0"/>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6">
    <w:nsid w:val="709C6FF1"/>
    <w:multiLevelType w:val="hybridMultilevel"/>
    <w:tmpl w:val="87148BA6"/>
    <w:lvl w:ilvl="0" w:tplc="BB0083E6">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71192C01"/>
    <w:multiLevelType w:val="hybridMultilevel"/>
    <w:tmpl w:val="B58646CC"/>
    <w:lvl w:ilvl="0" w:tplc="04D01AA0">
      <w:start w:val="1"/>
      <w:numFmt w:val="decimal"/>
      <w:lvlText w:val="3.%1."/>
      <w:lvlJc w:val="left"/>
      <w:pPr>
        <w:ind w:left="927" w:hanging="360"/>
      </w:pPr>
      <w:rPr>
        <w:rFonts w:ascii="Times New Roman" w:hAnsi="Times New Roman" w:hint="default"/>
        <w:b w:val="0"/>
        <w:i w:val="0"/>
        <w:sz w:val="24"/>
      </w:rPr>
    </w:lvl>
    <w:lvl w:ilvl="1" w:tplc="BC78C6E6">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3317098"/>
    <w:multiLevelType w:val="hybridMultilevel"/>
    <w:tmpl w:val="3440E8CC"/>
    <w:lvl w:ilvl="0" w:tplc="1B5E45E6">
      <w:start w:val="1"/>
      <w:numFmt w:val="decimal"/>
      <w:lvlText w:val="2.%1."/>
      <w:lvlJc w:val="left"/>
      <w:pPr>
        <w:ind w:left="2160" w:hanging="360"/>
      </w:pPr>
      <w:rPr>
        <w:rFonts w:ascii="Times New Roman" w:hAnsi="Times New Roman" w:hint="default"/>
        <w:b w:val="0"/>
        <w:i w:val="0"/>
        <w:sz w:val="24"/>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7520278F"/>
    <w:multiLevelType w:val="hybridMultilevel"/>
    <w:tmpl w:val="9FA27E02"/>
    <w:lvl w:ilvl="0" w:tplc="AC584560">
      <w:start w:val="1"/>
      <w:numFmt w:val="lowerLetter"/>
      <w:lvlText w:val="(%1)"/>
      <w:lvlJc w:val="left"/>
      <w:pPr>
        <w:ind w:left="36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65634F"/>
    <w:multiLevelType w:val="hybridMultilevel"/>
    <w:tmpl w:val="F7145EFA"/>
    <w:name w:val="HeadingTemplate"/>
    <w:lvl w:ilvl="0" w:tplc="E96C5D2C">
      <w:start w:val="1"/>
      <w:numFmt w:val="lowerLetter"/>
      <w:pStyle w:val="ListNumbered"/>
      <w:lvlText w:val="(%1)"/>
      <w:lvlJc w:val="left"/>
      <w:pPr>
        <w:tabs>
          <w:tab w:val="num" w:pos="460"/>
        </w:tabs>
        <w:ind w:left="460" w:hanging="460"/>
      </w:pPr>
      <w:rPr>
        <w:rFonts w:ascii="Times New Roman" w:hAnsi="Times New Roman" w:hint="default"/>
        <w:b w:val="0"/>
        <w:i w:val="0"/>
        <w:caps w:val="0"/>
        <w:strike w:val="0"/>
        <w:dstrike w:val="0"/>
        <w:vanish w:val="0"/>
        <w:color w:val="000000"/>
        <w:sz w:val="22"/>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8F363B5"/>
    <w:multiLevelType w:val="hybridMultilevel"/>
    <w:tmpl w:val="C6E01A92"/>
    <w:lvl w:ilvl="0" w:tplc="658E6820">
      <w:start w:val="1"/>
      <w:numFmt w:val="decimal"/>
      <w:lvlText w:val="3.%1."/>
      <w:lvlJc w:val="left"/>
      <w:pPr>
        <w:ind w:left="1212" w:hanging="360"/>
      </w:pPr>
      <w:rPr>
        <w:rFonts w:hint="default"/>
        <w:b w:val="0"/>
        <w:i w:val="0"/>
        <w:color w:val="auto"/>
        <w:sz w:val="24"/>
      </w:rPr>
    </w:lvl>
    <w:lvl w:ilvl="1" w:tplc="08090019">
      <w:start w:val="1"/>
      <w:numFmt w:val="lowerLetter"/>
      <w:lvlText w:val="%2."/>
      <w:lvlJc w:val="left"/>
      <w:pPr>
        <w:ind w:left="10513" w:hanging="360"/>
      </w:pPr>
    </w:lvl>
    <w:lvl w:ilvl="2" w:tplc="CE48270C">
      <w:start w:val="1"/>
      <w:numFmt w:val="lowerLetter"/>
      <w:lvlText w:val="(%3)"/>
      <w:lvlJc w:val="left"/>
      <w:pPr>
        <w:ind w:left="11413" w:hanging="360"/>
      </w:pPr>
      <w:rPr>
        <w:rFonts w:hint="default"/>
      </w:rPr>
    </w:lvl>
    <w:lvl w:ilvl="3" w:tplc="0809000F" w:tentative="1">
      <w:start w:val="1"/>
      <w:numFmt w:val="decimal"/>
      <w:lvlText w:val="%4."/>
      <w:lvlJc w:val="left"/>
      <w:pPr>
        <w:ind w:left="11953" w:hanging="360"/>
      </w:pPr>
    </w:lvl>
    <w:lvl w:ilvl="4" w:tplc="08090019" w:tentative="1">
      <w:start w:val="1"/>
      <w:numFmt w:val="lowerLetter"/>
      <w:lvlText w:val="%5."/>
      <w:lvlJc w:val="left"/>
      <w:pPr>
        <w:ind w:left="12673" w:hanging="360"/>
      </w:pPr>
    </w:lvl>
    <w:lvl w:ilvl="5" w:tplc="0809001B" w:tentative="1">
      <w:start w:val="1"/>
      <w:numFmt w:val="lowerRoman"/>
      <w:lvlText w:val="%6."/>
      <w:lvlJc w:val="right"/>
      <w:pPr>
        <w:ind w:left="13393" w:hanging="180"/>
      </w:pPr>
    </w:lvl>
    <w:lvl w:ilvl="6" w:tplc="0809000F" w:tentative="1">
      <w:start w:val="1"/>
      <w:numFmt w:val="decimal"/>
      <w:lvlText w:val="%7."/>
      <w:lvlJc w:val="left"/>
      <w:pPr>
        <w:ind w:left="14113" w:hanging="360"/>
      </w:pPr>
    </w:lvl>
    <w:lvl w:ilvl="7" w:tplc="08090019" w:tentative="1">
      <w:start w:val="1"/>
      <w:numFmt w:val="lowerLetter"/>
      <w:lvlText w:val="%8."/>
      <w:lvlJc w:val="left"/>
      <w:pPr>
        <w:ind w:left="14833" w:hanging="360"/>
      </w:pPr>
    </w:lvl>
    <w:lvl w:ilvl="8" w:tplc="0809001B" w:tentative="1">
      <w:start w:val="1"/>
      <w:numFmt w:val="lowerRoman"/>
      <w:lvlText w:val="%9."/>
      <w:lvlJc w:val="right"/>
      <w:pPr>
        <w:ind w:left="15553" w:hanging="180"/>
      </w:pPr>
    </w:lvl>
  </w:abstractNum>
  <w:abstractNum w:abstractNumId="32">
    <w:nsid w:val="7EE26C81"/>
    <w:multiLevelType w:val="hybridMultilevel"/>
    <w:tmpl w:val="C7BC19F0"/>
    <w:lvl w:ilvl="0" w:tplc="08090017">
      <w:start w:val="1"/>
      <w:numFmt w:val="lowerLetter"/>
      <w:lvlText w:val="%1)"/>
      <w:lvlJc w:val="left"/>
      <w:pPr>
        <w:ind w:left="5823" w:hanging="360"/>
      </w:pPr>
      <w:rPr>
        <w:rFonts w:hint="default"/>
      </w:rPr>
    </w:lvl>
    <w:lvl w:ilvl="1" w:tplc="040B0003" w:tentative="1">
      <w:start w:val="1"/>
      <w:numFmt w:val="bullet"/>
      <w:lvlText w:val="o"/>
      <w:lvlJc w:val="left"/>
      <w:pPr>
        <w:ind w:left="6543" w:hanging="360"/>
      </w:pPr>
      <w:rPr>
        <w:rFonts w:ascii="Courier New" w:hAnsi="Courier New" w:cs="Courier New" w:hint="default"/>
      </w:rPr>
    </w:lvl>
    <w:lvl w:ilvl="2" w:tplc="040B0005" w:tentative="1">
      <w:start w:val="1"/>
      <w:numFmt w:val="bullet"/>
      <w:lvlText w:val=""/>
      <w:lvlJc w:val="left"/>
      <w:pPr>
        <w:ind w:left="7263" w:hanging="360"/>
      </w:pPr>
      <w:rPr>
        <w:rFonts w:ascii="Wingdings" w:hAnsi="Wingdings" w:hint="default"/>
      </w:rPr>
    </w:lvl>
    <w:lvl w:ilvl="3" w:tplc="040B0001" w:tentative="1">
      <w:start w:val="1"/>
      <w:numFmt w:val="bullet"/>
      <w:lvlText w:val=""/>
      <w:lvlJc w:val="left"/>
      <w:pPr>
        <w:ind w:left="7983" w:hanging="360"/>
      </w:pPr>
      <w:rPr>
        <w:rFonts w:ascii="Symbol" w:hAnsi="Symbol" w:hint="default"/>
      </w:rPr>
    </w:lvl>
    <w:lvl w:ilvl="4" w:tplc="040B0003" w:tentative="1">
      <w:start w:val="1"/>
      <w:numFmt w:val="bullet"/>
      <w:lvlText w:val="o"/>
      <w:lvlJc w:val="left"/>
      <w:pPr>
        <w:ind w:left="8703" w:hanging="360"/>
      </w:pPr>
      <w:rPr>
        <w:rFonts w:ascii="Courier New" w:hAnsi="Courier New" w:cs="Courier New" w:hint="default"/>
      </w:rPr>
    </w:lvl>
    <w:lvl w:ilvl="5" w:tplc="040B0005" w:tentative="1">
      <w:start w:val="1"/>
      <w:numFmt w:val="bullet"/>
      <w:lvlText w:val=""/>
      <w:lvlJc w:val="left"/>
      <w:pPr>
        <w:ind w:left="9423" w:hanging="360"/>
      </w:pPr>
      <w:rPr>
        <w:rFonts w:ascii="Wingdings" w:hAnsi="Wingdings" w:hint="default"/>
      </w:rPr>
    </w:lvl>
    <w:lvl w:ilvl="6" w:tplc="040B0001" w:tentative="1">
      <w:start w:val="1"/>
      <w:numFmt w:val="bullet"/>
      <w:lvlText w:val=""/>
      <w:lvlJc w:val="left"/>
      <w:pPr>
        <w:ind w:left="10143" w:hanging="360"/>
      </w:pPr>
      <w:rPr>
        <w:rFonts w:ascii="Symbol" w:hAnsi="Symbol" w:hint="default"/>
      </w:rPr>
    </w:lvl>
    <w:lvl w:ilvl="7" w:tplc="040B0003" w:tentative="1">
      <w:start w:val="1"/>
      <w:numFmt w:val="bullet"/>
      <w:lvlText w:val="o"/>
      <w:lvlJc w:val="left"/>
      <w:pPr>
        <w:ind w:left="10863" w:hanging="360"/>
      </w:pPr>
      <w:rPr>
        <w:rFonts w:ascii="Courier New" w:hAnsi="Courier New" w:cs="Courier New" w:hint="default"/>
      </w:rPr>
    </w:lvl>
    <w:lvl w:ilvl="8" w:tplc="040B0005" w:tentative="1">
      <w:start w:val="1"/>
      <w:numFmt w:val="bullet"/>
      <w:lvlText w:val=""/>
      <w:lvlJc w:val="left"/>
      <w:pPr>
        <w:ind w:left="11583" w:hanging="360"/>
      </w:pPr>
      <w:rPr>
        <w:rFonts w:ascii="Wingdings" w:hAnsi="Wingdings" w:hint="default"/>
      </w:rPr>
    </w:lvl>
  </w:abstractNum>
  <w:abstractNum w:abstractNumId="33">
    <w:nsid w:val="7FFC4B43"/>
    <w:multiLevelType w:val="hybridMultilevel"/>
    <w:tmpl w:val="FCD043D0"/>
    <w:lvl w:ilvl="0" w:tplc="DBB2B858">
      <w:start w:val="1"/>
      <w:numFmt w:val="decimal"/>
      <w:lvlText w:val="2.%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5"/>
  </w:num>
  <w:num w:numId="4">
    <w:abstractNumId w:val="23"/>
  </w:num>
  <w:num w:numId="5">
    <w:abstractNumId w:val="30"/>
  </w:num>
  <w:num w:numId="6">
    <w:abstractNumId w:val="28"/>
  </w:num>
  <w:num w:numId="7">
    <w:abstractNumId w:val="31"/>
  </w:num>
  <w:num w:numId="8">
    <w:abstractNumId w:val="17"/>
  </w:num>
  <w:num w:numId="9">
    <w:abstractNumId w:val="24"/>
  </w:num>
  <w:num w:numId="10">
    <w:abstractNumId w:val="13"/>
  </w:num>
  <w:num w:numId="11">
    <w:abstractNumId w:val="15"/>
  </w:num>
  <w:num w:numId="12">
    <w:abstractNumId w:val="27"/>
  </w:num>
  <w:num w:numId="13">
    <w:abstractNumId w:val="20"/>
  </w:num>
  <w:num w:numId="14">
    <w:abstractNumId w:val="3"/>
  </w:num>
  <w:num w:numId="15">
    <w:abstractNumId w:val="2"/>
  </w:num>
  <w:num w:numId="16">
    <w:abstractNumId w:val="6"/>
  </w:num>
  <w:num w:numId="17">
    <w:abstractNumId w:val="10"/>
  </w:num>
  <w:num w:numId="18">
    <w:abstractNumId w:val="1"/>
  </w:num>
  <w:num w:numId="19">
    <w:abstractNumId w:val="9"/>
  </w:num>
  <w:num w:numId="20">
    <w:abstractNumId w:val="32"/>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4"/>
  </w:num>
  <w:num w:numId="38">
    <w:abstractNumId w:val="8"/>
  </w:num>
  <w:num w:numId="39">
    <w:abstractNumId w:val="21"/>
  </w:num>
  <w:num w:numId="40">
    <w:abstractNumId w:val="7"/>
  </w:num>
  <w:num w:numId="41">
    <w:abstractNumId w:val="12"/>
  </w:num>
  <w:num w:numId="42">
    <w:abstractNumId w:val="26"/>
  </w:num>
  <w:num w:numId="43">
    <w:abstractNumId w:val="22"/>
  </w:num>
  <w:num w:numId="44">
    <w:abstractNumId w:val="33"/>
  </w:num>
  <w:num w:numId="45">
    <w:abstractNumId w:val="19"/>
  </w:num>
  <w:num w:numId="46">
    <w:abstractNumId w:val="16"/>
  </w:num>
  <w:num w:numId="47">
    <w:abstractNumId w:val="5"/>
  </w:num>
  <w:num w:numId="4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mirrorMargin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RefCount" w:val="174"/>
  </w:docVars>
  <w:rsids>
    <w:rsidRoot w:val="00FE0C0E"/>
    <w:rsid w:val="00000730"/>
    <w:rsid w:val="00000C66"/>
    <w:rsid w:val="00002B17"/>
    <w:rsid w:val="000032AF"/>
    <w:rsid w:val="00004D74"/>
    <w:rsid w:val="000052BF"/>
    <w:rsid w:val="00007002"/>
    <w:rsid w:val="00011F17"/>
    <w:rsid w:val="00015DFA"/>
    <w:rsid w:val="00017102"/>
    <w:rsid w:val="00017D1E"/>
    <w:rsid w:val="00020192"/>
    <w:rsid w:val="000203C7"/>
    <w:rsid w:val="000207AB"/>
    <w:rsid w:val="00022F9E"/>
    <w:rsid w:val="000240A0"/>
    <w:rsid w:val="0002471C"/>
    <w:rsid w:val="00025401"/>
    <w:rsid w:val="00025748"/>
    <w:rsid w:val="0002660C"/>
    <w:rsid w:val="000300D1"/>
    <w:rsid w:val="00030350"/>
    <w:rsid w:val="00030B17"/>
    <w:rsid w:val="000321F2"/>
    <w:rsid w:val="00032514"/>
    <w:rsid w:val="000326EA"/>
    <w:rsid w:val="0003461E"/>
    <w:rsid w:val="0003728D"/>
    <w:rsid w:val="000372C4"/>
    <w:rsid w:val="00037C6E"/>
    <w:rsid w:val="00037F0A"/>
    <w:rsid w:val="00041291"/>
    <w:rsid w:val="00041FAE"/>
    <w:rsid w:val="0004274A"/>
    <w:rsid w:val="00043E55"/>
    <w:rsid w:val="00043FD3"/>
    <w:rsid w:val="00044F99"/>
    <w:rsid w:val="00045F5F"/>
    <w:rsid w:val="00046416"/>
    <w:rsid w:val="00046505"/>
    <w:rsid w:val="0004706B"/>
    <w:rsid w:val="00047808"/>
    <w:rsid w:val="00050EEB"/>
    <w:rsid w:val="0005524F"/>
    <w:rsid w:val="0005587B"/>
    <w:rsid w:val="000562CB"/>
    <w:rsid w:val="0006107A"/>
    <w:rsid w:val="00061554"/>
    <w:rsid w:val="000621C6"/>
    <w:rsid w:val="000646A1"/>
    <w:rsid w:val="0006478B"/>
    <w:rsid w:val="00067724"/>
    <w:rsid w:val="000719AB"/>
    <w:rsid w:val="000725EF"/>
    <w:rsid w:val="00072763"/>
    <w:rsid w:val="00072812"/>
    <w:rsid w:val="00072A04"/>
    <w:rsid w:val="00073231"/>
    <w:rsid w:val="000742F6"/>
    <w:rsid w:val="00074887"/>
    <w:rsid w:val="00075188"/>
    <w:rsid w:val="00077405"/>
    <w:rsid w:val="00080342"/>
    <w:rsid w:val="000821AB"/>
    <w:rsid w:val="00082308"/>
    <w:rsid w:val="000823C3"/>
    <w:rsid w:val="00085AC0"/>
    <w:rsid w:val="00085D95"/>
    <w:rsid w:val="00086546"/>
    <w:rsid w:val="00086713"/>
    <w:rsid w:val="00086D0E"/>
    <w:rsid w:val="00092A58"/>
    <w:rsid w:val="00093176"/>
    <w:rsid w:val="000932F5"/>
    <w:rsid w:val="000937BE"/>
    <w:rsid w:val="0009413D"/>
    <w:rsid w:val="000947D8"/>
    <w:rsid w:val="000A04C2"/>
    <w:rsid w:val="000A0792"/>
    <w:rsid w:val="000A2B42"/>
    <w:rsid w:val="000A5799"/>
    <w:rsid w:val="000B3CF0"/>
    <w:rsid w:val="000B4149"/>
    <w:rsid w:val="000B4A91"/>
    <w:rsid w:val="000B5297"/>
    <w:rsid w:val="000B5AB8"/>
    <w:rsid w:val="000B6239"/>
    <w:rsid w:val="000B6F61"/>
    <w:rsid w:val="000B7DC8"/>
    <w:rsid w:val="000B7FA2"/>
    <w:rsid w:val="000C0E15"/>
    <w:rsid w:val="000C2D4A"/>
    <w:rsid w:val="000C2DD4"/>
    <w:rsid w:val="000C599E"/>
    <w:rsid w:val="000C5C93"/>
    <w:rsid w:val="000C5E21"/>
    <w:rsid w:val="000C6826"/>
    <w:rsid w:val="000C6860"/>
    <w:rsid w:val="000C78CA"/>
    <w:rsid w:val="000D0CF4"/>
    <w:rsid w:val="000D0FF3"/>
    <w:rsid w:val="000D300F"/>
    <w:rsid w:val="000D40BB"/>
    <w:rsid w:val="000D496B"/>
    <w:rsid w:val="000D65BC"/>
    <w:rsid w:val="000E0875"/>
    <w:rsid w:val="000E1525"/>
    <w:rsid w:val="000E17BD"/>
    <w:rsid w:val="000E551D"/>
    <w:rsid w:val="000F51C7"/>
    <w:rsid w:val="000F7978"/>
    <w:rsid w:val="000F79E7"/>
    <w:rsid w:val="001033F1"/>
    <w:rsid w:val="00103E1A"/>
    <w:rsid w:val="001050C7"/>
    <w:rsid w:val="00105226"/>
    <w:rsid w:val="0010558E"/>
    <w:rsid w:val="00105A11"/>
    <w:rsid w:val="00105E82"/>
    <w:rsid w:val="0011041C"/>
    <w:rsid w:val="001104E2"/>
    <w:rsid w:val="001112E6"/>
    <w:rsid w:val="001116D0"/>
    <w:rsid w:val="001124C4"/>
    <w:rsid w:val="00112F16"/>
    <w:rsid w:val="001135C2"/>
    <w:rsid w:val="00113782"/>
    <w:rsid w:val="00114362"/>
    <w:rsid w:val="001150DC"/>
    <w:rsid w:val="00115F53"/>
    <w:rsid w:val="00117CEE"/>
    <w:rsid w:val="0012033E"/>
    <w:rsid w:val="0012046C"/>
    <w:rsid w:val="00120A05"/>
    <w:rsid w:val="00121926"/>
    <w:rsid w:val="00122582"/>
    <w:rsid w:val="001226DC"/>
    <w:rsid w:val="00122E66"/>
    <w:rsid w:val="001248E4"/>
    <w:rsid w:val="00126B10"/>
    <w:rsid w:val="00127D3B"/>
    <w:rsid w:val="00130700"/>
    <w:rsid w:val="00136939"/>
    <w:rsid w:val="001371B3"/>
    <w:rsid w:val="00140296"/>
    <w:rsid w:val="00140FEB"/>
    <w:rsid w:val="001424FD"/>
    <w:rsid w:val="001425FD"/>
    <w:rsid w:val="0014322D"/>
    <w:rsid w:val="001447B6"/>
    <w:rsid w:val="00145801"/>
    <w:rsid w:val="0014589C"/>
    <w:rsid w:val="00152F80"/>
    <w:rsid w:val="00153DF4"/>
    <w:rsid w:val="00154985"/>
    <w:rsid w:val="00154B94"/>
    <w:rsid w:val="00161506"/>
    <w:rsid w:val="00165308"/>
    <w:rsid w:val="00167711"/>
    <w:rsid w:val="00167B30"/>
    <w:rsid w:val="00167E2C"/>
    <w:rsid w:val="001701F0"/>
    <w:rsid w:val="00171108"/>
    <w:rsid w:val="00175AAB"/>
    <w:rsid w:val="001815C0"/>
    <w:rsid w:val="00181851"/>
    <w:rsid w:val="001823DD"/>
    <w:rsid w:val="00182AF0"/>
    <w:rsid w:val="001847ED"/>
    <w:rsid w:val="00186584"/>
    <w:rsid w:val="001865A3"/>
    <w:rsid w:val="00186E21"/>
    <w:rsid w:val="001908A6"/>
    <w:rsid w:val="001909AA"/>
    <w:rsid w:val="00192C5F"/>
    <w:rsid w:val="0019334E"/>
    <w:rsid w:val="00194581"/>
    <w:rsid w:val="00195102"/>
    <w:rsid w:val="001962EA"/>
    <w:rsid w:val="00196388"/>
    <w:rsid w:val="001972A7"/>
    <w:rsid w:val="0019795E"/>
    <w:rsid w:val="001A37E9"/>
    <w:rsid w:val="001A4514"/>
    <w:rsid w:val="001A6C5A"/>
    <w:rsid w:val="001A768B"/>
    <w:rsid w:val="001B1921"/>
    <w:rsid w:val="001B25B3"/>
    <w:rsid w:val="001B4393"/>
    <w:rsid w:val="001B5449"/>
    <w:rsid w:val="001B595A"/>
    <w:rsid w:val="001B5D20"/>
    <w:rsid w:val="001B6785"/>
    <w:rsid w:val="001C0F99"/>
    <w:rsid w:val="001C2B63"/>
    <w:rsid w:val="001C2E7D"/>
    <w:rsid w:val="001C6BB8"/>
    <w:rsid w:val="001C7AB2"/>
    <w:rsid w:val="001D1CAF"/>
    <w:rsid w:val="001D3FE6"/>
    <w:rsid w:val="001D410C"/>
    <w:rsid w:val="001D4901"/>
    <w:rsid w:val="001D4F6C"/>
    <w:rsid w:val="001D581F"/>
    <w:rsid w:val="001D5A75"/>
    <w:rsid w:val="001D6524"/>
    <w:rsid w:val="001D7C8E"/>
    <w:rsid w:val="001E1FFF"/>
    <w:rsid w:val="001E2678"/>
    <w:rsid w:val="001E3541"/>
    <w:rsid w:val="001E6488"/>
    <w:rsid w:val="001E793C"/>
    <w:rsid w:val="001F05CB"/>
    <w:rsid w:val="001F06FE"/>
    <w:rsid w:val="001F0CAD"/>
    <w:rsid w:val="001F1FFC"/>
    <w:rsid w:val="001F45D8"/>
    <w:rsid w:val="001F5910"/>
    <w:rsid w:val="00204847"/>
    <w:rsid w:val="002056AF"/>
    <w:rsid w:val="00210118"/>
    <w:rsid w:val="0021270D"/>
    <w:rsid w:val="0021293F"/>
    <w:rsid w:val="00214703"/>
    <w:rsid w:val="00215229"/>
    <w:rsid w:val="00215914"/>
    <w:rsid w:val="00215F55"/>
    <w:rsid w:val="00217E86"/>
    <w:rsid w:val="002204DE"/>
    <w:rsid w:val="00221898"/>
    <w:rsid w:val="002259A3"/>
    <w:rsid w:val="002270AE"/>
    <w:rsid w:val="00230A39"/>
    <w:rsid w:val="0023127D"/>
    <w:rsid w:val="002319CC"/>
    <w:rsid w:val="00232261"/>
    <w:rsid w:val="002334A9"/>
    <w:rsid w:val="00234225"/>
    <w:rsid w:val="002343D7"/>
    <w:rsid w:val="00235733"/>
    <w:rsid w:val="0023697C"/>
    <w:rsid w:val="00236C55"/>
    <w:rsid w:val="0024152A"/>
    <w:rsid w:val="00242D9E"/>
    <w:rsid w:val="00245C08"/>
    <w:rsid w:val="00251355"/>
    <w:rsid w:val="002554AA"/>
    <w:rsid w:val="002567D1"/>
    <w:rsid w:val="002568CD"/>
    <w:rsid w:val="00256A82"/>
    <w:rsid w:val="0026124D"/>
    <w:rsid w:val="00262886"/>
    <w:rsid w:val="0026315D"/>
    <w:rsid w:val="00263F94"/>
    <w:rsid w:val="002648F9"/>
    <w:rsid w:val="00264A6F"/>
    <w:rsid w:val="00264C2C"/>
    <w:rsid w:val="00265BDF"/>
    <w:rsid w:val="002726B7"/>
    <w:rsid w:val="00272F63"/>
    <w:rsid w:val="00273A62"/>
    <w:rsid w:val="002748C6"/>
    <w:rsid w:val="00274981"/>
    <w:rsid w:val="0028086A"/>
    <w:rsid w:val="00283031"/>
    <w:rsid w:val="002840EB"/>
    <w:rsid w:val="00285073"/>
    <w:rsid w:val="002852D9"/>
    <w:rsid w:val="00285FF3"/>
    <w:rsid w:val="00286A98"/>
    <w:rsid w:val="00290B70"/>
    <w:rsid w:val="00291F0E"/>
    <w:rsid w:val="0029294E"/>
    <w:rsid w:val="002943FC"/>
    <w:rsid w:val="00295394"/>
    <w:rsid w:val="0029696F"/>
    <w:rsid w:val="002971AD"/>
    <w:rsid w:val="002A4461"/>
    <w:rsid w:val="002A5102"/>
    <w:rsid w:val="002A5297"/>
    <w:rsid w:val="002A5710"/>
    <w:rsid w:val="002A6139"/>
    <w:rsid w:val="002A62BD"/>
    <w:rsid w:val="002A7773"/>
    <w:rsid w:val="002B2B56"/>
    <w:rsid w:val="002B2C18"/>
    <w:rsid w:val="002B5804"/>
    <w:rsid w:val="002B5E48"/>
    <w:rsid w:val="002B5F56"/>
    <w:rsid w:val="002B6813"/>
    <w:rsid w:val="002B6AC9"/>
    <w:rsid w:val="002B6F4E"/>
    <w:rsid w:val="002C0331"/>
    <w:rsid w:val="002C0395"/>
    <w:rsid w:val="002C13D4"/>
    <w:rsid w:val="002C1E6B"/>
    <w:rsid w:val="002C2151"/>
    <w:rsid w:val="002C2A74"/>
    <w:rsid w:val="002C5222"/>
    <w:rsid w:val="002D3A87"/>
    <w:rsid w:val="002D7894"/>
    <w:rsid w:val="002D7A8C"/>
    <w:rsid w:val="002E4963"/>
    <w:rsid w:val="002E4BA6"/>
    <w:rsid w:val="002E56C3"/>
    <w:rsid w:val="002E5D79"/>
    <w:rsid w:val="002E7F2E"/>
    <w:rsid w:val="002F14FD"/>
    <w:rsid w:val="002F2F0C"/>
    <w:rsid w:val="002F4E1D"/>
    <w:rsid w:val="002F5BFB"/>
    <w:rsid w:val="0030206B"/>
    <w:rsid w:val="00302F49"/>
    <w:rsid w:val="00303BC9"/>
    <w:rsid w:val="00303D32"/>
    <w:rsid w:val="0030424A"/>
    <w:rsid w:val="00304700"/>
    <w:rsid w:val="00307B7A"/>
    <w:rsid w:val="00307D69"/>
    <w:rsid w:val="00307E77"/>
    <w:rsid w:val="00310628"/>
    <w:rsid w:val="00317757"/>
    <w:rsid w:val="00317AC9"/>
    <w:rsid w:val="0032080F"/>
    <w:rsid w:val="003227CE"/>
    <w:rsid w:val="00322911"/>
    <w:rsid w:val="00324821"/>
    <w:rsid w:val="00325E1D"/>
    <w:rsid w:val="0033264B"/>
    <w:rsid w:val="00336111"/>
    <w:rsid w:val="0033684B"/>
    <w:rsid w:val="00337371"/>
    <w:rsid w:val="003379DA"/>
    <w:rsid w:val="00340405"/>
    <w:rsid w:val="00340471"/>
    <w:rsid w:val="00340A5F"/>
    <w:rsid w:val="00342C16"/>
    <w:rsid w:val="0034331D"/>
    <w:rsid w:val="00347ACB"/>
    <w:rsid w:val="00347C27"/>
    <w:rsid w:val="00351131"/>
    <w:rsid w:val="00351A70"/>
    <w:rsid w:val="0035249C"/>
    <w:rsid w:val="003527CE"/>
    <w:rsid w:val="003541AD"/>
    <w:rsid w:val="003544D3"/>
    <w:rsid w:val="003549F2"/>
    <w:rsid w:val="003560A0"/>
    <w:rsid w:val="003579DE"/>
    <w:rsid w:val="003609C9"/>
    <w:rsid w:val="00360ED7"/>
    <w:rsid w:val="00361F49"/>
    <w:rsid w:val="00362CAA"/>
    <w:rsid w:val="0036609A"/>
    <w:rsid w:val="00366811"/>
    <w:rsid w:val="00367E85"/>
    <w:rsid w:val="0037037B"/>
    <w:rsid w:val="00370F08"/>
    <w:rsid w:val="00370F40"/>
    <w:rsid w:val="00372C6D"/>
    <w:rsid w:val="00373602"/>
    <w:rsid w:val="00376152"/>
    <w:rsid w:val="003761E0"/>
    <w:rsid w:val="00383F77"/>
    <w:rsid w:val="00384FD4"/>
    <w:rsid w:val="00385D3A"/>
    <w:rsid w:val="003864EC"/>
    <w:rsid w:val="003866D3"/>
    <w:rsid w:val="00386A58"/>
    <w:rsid w:val="00391445"/>
    <w:rsid w:val="0039286B"/>
    <w:rsid w:val="00392E6D"/>
    <w:rsid w:val="003937E5"/>
    <w:rsid w:val="003939CB"/>
    <w:rsid w:val="00393E23"/>
    <w:rsid w:val="00394483"/>
    <w:rsid w:val="00395081"/>
    <w:rsid w:val="003964FB"/>
    <w:rsid w:val="003A24B5"/>
    <w:rsid w:val="003A670F"/>
    <w:rsid w:val="003B0266"/>
    <w:rsid w:val="003B2D2C"/>
    <w:rsid w:val="003B399C"/>
    <w:rsid w:val="003B4382"/>
    <w:rsid w:val="003B4417"/>
    <w:rsid w:val="003B47E0"/>
    <w:rsid w:val="003B619A"/>
    <w:rsid w:val="003C0185"/>
    <w:rsid w:val="003C12CD"/>
    <w:rsid w:val="003C6480"/>
    <w:rsid w:val="003C6806"/>
    <w:rsid w:val="003C6816"/>
    <w:rsid w:val="003D4590"/>
    <w:rsid w:val="003D50E5"/>
    <w:rsid w:val="003D575A"/>
    <w:rsid w:val="003D59D8"/>
    <w:rsid w:val="003D726B"/>
    <w:rsid w:val="003D7912"/>
    <w:rsid w:val="003E2142"/>
    <w:rsid w:val="003E230D"/>
    <w:rsid w:val="003E298F"/>
    <w:rsid w:val="003E2A64"/>
    <w:rsid w:val="003E3CA6"/>
    <w:rsid w:val="003E3CB8"/>
    <w:rsid w:val="003E3E7C"/>
    <w:rsid w:val="003E79CE"/>
    <w:rsid w:val="003F295A"/>
    <w:rsid w:val="003F381E"/>
    <w:rsid w:val="003F604C"/>
    <w:rsid w:val="003F71DB"/>
    <w:rsid w:val="004010EE"/>
    <w:rsid w:val="0040228D"/>
    <w:rsid w:val="00404C88"/>
    <w:rsid w:val="00410505"/>
    <w:rsid w:val="00410A13"/>
    <w:rsid w:val="00411D23"/>
    <w:rsid w:val="00413481"/>
    <w:rsid w:val="004136D4"/>
    <w:rsid w:val="00413B06"/>
    <w:rsid w:val="00416A5E"/>
    <w:rsid w:val="00416E3E"/>
    <w:rsid w:val="00420B5A"/>
    <w:rsid w:val="004229A5"/>
    <w:rsid w:val="00423206"/>
    <w:rsid w:val="0042356B"/>
    <w:rsid w:val="00423D48"/>
    <w:rsid w:val="00425FC0"/>
    <w:rsid w:val="00426215"/>
    <w:rsid w:val="0042662C"/>
    <w:rsid w:val="00426E8D"/>
    <w:rsid w:val="00426F61"/>
    <w:rsid w:val="004275E3"/>
    <w:rsid w:val="00427C57"/>
    <w:rsid w:val="00427F79"/>
    <w:rsid w:val="004330D3"/>
    <w:rsid w:val="004332DF"/>
    <w:rsid w:val="004353BA"/>
    <w:rsid w:val="00435866"/>
    <w:rsid w:val="00435B1A"/>
    <w:rsid w:val="00437F81"/>
    <w:rsid w:val="004414F4"/>
    <w:rsid w:val="0044266A"/>
    <w:rsid w:val="00442749"/>
    <w:rsid w:val="0044298F"/>
    <w:rsid w:val="00442A3A"/>
    <w:rsid w:val="00443B86"/>
    <w:rsid w:val="00443DDC"/>
    <w:rsid w:val="00444B19"/>
    <w:rsid w:val="00445353"/>
    <w:rsid w:val="0044556B"/>
    <w:rsid w:val="004468B8"/>
    <w:rsid w:val="00450438"/>
    <w:rsid w:val="004513BD"/>
    <w:rsid w:val="004514EF"/>
    <w:rsid w:val="0045207A"/>
    <w:rsid w:val="00452746"/>
    <w:rsid w:val="00452AA4"/>
    <w:rsid w:val="00453426"/>
    <w:rsid w:val="00453B85"/>
    <w:rsid w:val="00454126"/>
    <w:rsid w:val="004546EA"/>
    <w:rsid w:val="004552CE"/>
    <w:rsid w:val="004565C9"/>
    <w:rsid w:val="00456DE5"/>
    <w:rsid w:val="004577A7"/>
    <w:rsid w:val="00460427"/>
    <w:rsid w:val="00462998"/>
    <w:rsid w:val="00463B7B"/>
    <w:rsid w:val="00463DA6"/>
    <w:rsid w:val="00470DE4"/>
    <w:rsid w:val="00473312"/>
    <w:rsid w:val="00474216"/>
    <w:rsid w:val="00474778"/>
    <w:rsid w:val="004749F9"/>
    <w:rsid w:val="00474B97"/>
    <w:rsid w:val="00476175"/>
    <w:rsid w:val="00477ED7"/>
    <w:rsid w:val="00484644"/>
    <w:rsid w:val="00484DC7"/>
    <w:rsid w:val="004902D4"/>
    <w:rsid w:val="0049267B"/>
    <w:rsid w:val="004928DB"/>
    <w:rsid w:val="00493ADE"/>
    <w:rsid w:val="004A1AEA"/>
    <w:rsid w:val="004A36F2"/>
    <w:rsid w:val="004A4A38"/>
    <w:rsid w:val="004A5896"/>
    <w:rsid w:val="004A5E09"/>
    <w:rsid w:val="004B4365"/>
    <w:rsid w:val="004B5C0E"/>
    <w:rsid w:val="004B66D8"/>
    <w:rsid w:val="004B74BA"/>
    <w:rsid w:val="004C0BE2"/>
    <w:rsid w:val="004C7688"/>
    <w:rsid w:val="004D008F"/>
    <w:rsid w:val="004D106C"/>
    <w:rsid w:val="004D184C"/>
    <w:rsid w:val="004D19D5"/>
    <w:rsid w:val="004D1BCF"/>
    <w:rsid w:val="004D22D0"/>
    <w:rsid w:val="004D22E1"/>
    <w:rsid w:val="004D497B"/>
    <w:rsid w:val="004D7E61"/>
    <w:rsid w:val="004E1251"/>
    <w:rsid w:val="004E14C3"/>
    <w:rsid w:val="004E163D"/>
    <w:rsid w:val="004E1C8E"/>
    <w:rsid w:val="004E1EC3"/>
    <w:rsid w:val="004E212C"/>
    <w:rsid w:val="004E2CF3"/>
    <w:rsid w:val="004E56C6"/>
    <w:rsid w:val="004E7F09"/>
    <w:rsid w:val="004F24F3"/>
    <w:rsid w:val="004F28C1"/>
    <w:rsid w:val="004F614D"/>
    <w:rsid w:val="004F78EF"/>
    <w:rsid w:val="004F7CE7"/>
    <w:rsid w:val="00501299"/>
    <w:rsid w:val="00501418"/>
    <w:rsid w:val="00501A18"/>
    <w:rsid w:val="00503FFB"/>
    <w:rsid w:val="00504019"/>
    <w:rsid w:val="005055EC"/>
    <w:rsid w:val="00506E1D"/>
    <w:rsid w:val="00507B21"/>
    <w:rsid w:val="0051340D"/>
    <w:rsid w:val="00513702"/>
    <w:rsid w:val="00513E9A"/>
    <w:rsid w:val="005176AB"/>
    <w:rsid w:val="005207B7"/>
    <w:rsid w:val="00520E17"/>
    <w:rsid w:val="005217D7"/>
    <w:rsid w:val="00525A96"/>
    <w:rsid w:val="00527618"/>
    <w:rsid w:val="005305A0"/>
    <w:rsid w:val="005308A9"/>
    <w:rsid w:val="0053145B"/>
    <w:rsid w:val="0053237A"/>
    <w:rsid w:val="00533A44"/>
    <w:rsid w:val="00533EE0"/>
    <w:rsid w:val="005343F4"/>
    <w:rsid w:val="005362A0"/>
    <w:rsid w:val="00536B35"/>
    <w:rsid w:val="005379CE"/>
    <w:rsid w:val="00540A40"/>
    <w:rsid w:val="00541500"/>
    <w:rsid w:val="005418B4"/>
    <w:rsid w:val="0054375E"/>
    <w:rsid w:val="0054430A"/>
    <w:rsid w:val="005454DD"/>
    <w:rsid w:val="00545A2A"/>
    <w:rsid w:val="00545CE3"/>
    <w:rsid w:val="00550416"/>
    <w:rsid w:val="00550DD2"/>
    <w:rsid w:val="0055161F"/>
    <w:rsid w:val="00552643"/>
    <w:rsid w:val="005526D3"/>
    <w:rsid w:val="00554B34"/>
    <w:rsid w:val="00554B7C"/>
    <w:rsid w:val="00555562"/>
    <w:rsid w:val="00556947"/>
    <w:rsid w:val="005569A7"/>
    <w:rsid w:val="00560009"/>
    <w:rsid w:val="00560813"/>
    <w:rsid w:val="00560EAD"/>
    <w:rsid w:val="0056204A"/>
    <w:rsid w:val="0056217F"/>
    <w:rsid w:val="005642DD"/>
    <w:rsid w:val="00565B2A"/>
    <w:rsid w:val="0057041D"/>
    <w:rsid w:val="00572F18"/>
    <w:rsid w:val="00573927"/>
    <w:rsid w:val="005754B9"/>
    <w:rsid w:val="0057632F"/>
    <w:rsid w:val="00577400"/>
    <w:rsid w:val="00577D7A"/>
    <w:rsid w:val="00577EAA"/>
    <w:rsid w:val="005806D4"/>
    <w:rsid w:val="005811F0"/>
    <w:rsid w:val="00581900"/>
    <w:rsid w:val="00581BFF"/>
    <w:rsid w:val="00581C0D"/>
    <w:rsid w:val="00581FB9"/>
    <w:rsid w:val="00582A0E"/>
    <w:rsid w:val="00583479"/>
    <w:rsid w:val="00587A66"/>
    <w:rsid w:val="0059134B"/>
    <w:rsid w:val="005928D1"/>
    <w:rsid w:val="0059349F"/>
    <w:rsid w:val="00595773"/>
    <w:rsid w:val="0059650A"/>
    <w:rsid w:val="00597747"/>
    <w:rsid w:val="005A2372"/>
    <w:rsid w:val="005A23F0"/>
    <w:rsid w:val="005A2B11"/>
    <w:rsid w:val="005A3C40"/>
    <w:rsid w:val="005A3EAA"/>
    <w:rsid w:val="005A6488"/>
    <w:rsid w:val="005B2753"/>
    <w:rsid w:val="005B4D29"/>
    <w:rsid w:val="005B6ABF"/>
    <w:rsid w:val="005C1653"/>
    <w:rsid w:val="005C2662"/>
    <w:rsid w:val="005C4CAB"/>
    <w:rsid w:val="005C545D"/>
    <w:rsid w:val="005C64BC"/>
    <w:rsid w:val="005D0132"/>
    <w:rsid w:val="005D0D69"/>
    <w:rsid w:val="005D2AE3"/>
    <w:rsid w:val="005D40F7"/>
    <w:rsid w:val="005D4D09"/>
    <w:rsid w:val="005D4D71"/>
    <w:rsid w:val="005D4FEF"/>
    <w:rsid w:val="005E3F6E"/>
    <w:rsid w:val="005E651D"/>
    <w:rsid w:val="005F0198"/>
    <w:rsid w:val="005F2077"/>
    <w:rsid w:val="005F2CCC"/>
    <w:rsid w:val="005F3CDE"/>
    <w:rsid w:val="005F4A37"/>
    <w:rsid w:val="005F5579"/>
    <w:rsid w:val="005F5EAE"/>
    <w:rsid w:val="005F7D7B"/>
    <w:rsid w:val="006023F6"/>
    <w:rsid w:val="0060267C"/>
    <w:rsid w:val="00602D57"/>
    <w:rsid w:val="0060361F"/>
    <w:rsid w:val="0060457A"/>
    <w:rsid w:val="00607426"/>
    <w:rsid w:val="00610271"/>
    <w:rsid w:val="00612958"/>
    <w:rsid w:val="006206AA"/>
    <w:rsid w:val="006227CC"/>
    <w:rsid w:val="006246A1"/>
    <w:rsid w:val="0063050D"/>
    <w:rsid w:val="00630AFF"/>
    <w:rsid w:val="0063264C"/>
    <w:rsid w:val="00632FAF"/>
    <w:rsid w:val="00633CCC"/>
    <w:rsid w:val="0063500F"/>
    <w:rsid w:val="00636627"/>
    <w:rsid w:val="0063692B"/>
    <w:rsid w:val="006371E1"/>
    <w:rsid w:val="00640BA5"/>
    <w:rsid w:val="00641720"/>
    <w:rsid w:val="00643343"/>
    <w:rsid w:val="00644AB2"/>
    <w:rsid w:val="00645718"/>
    <w:rsid w:val="00646E7E"/>
    <w:rsid w:val="00650709"/>
    <w:rsid w:val="00651184"/>
    <w:rsid w:val="006532F5"/>
    <w:rsid w:val="00653370"/>
    <w:rsid w:val="0065376A"/>
    <w:rsid w:val="006615BE"/>
    <w:rsid w:val="0066383A"/>
    <w:rsid w:val="00664463"/>
    <w:rsid w:val="006668DB"/>
    <w:rsid w:val="00666CCA"/>
    <w:rsid w:val="00667355"/>
    <w:rsid w:val="0067017E"/>
    <w:rsid w:val="006721F9"/>
    <w:rsid w:val="006747C1"/>
    <w:rsid w:val="00674991"/>
    <w:rsid w:val="0067678E"/>
    <w:rsid w:val="00677ADF"/>
    <w:rsid w:val="00680CEE"/>
    <w:rsid w:val="00683DB6"/>
    <w:rsid w:val="00686494"/>
    <w:rsid w:val="00687F2D"/>
    <w:rsid w:val="0069195F"/>
    <w:rsid w:val="00692CA2"/>
    <w:rsid w:val="00694278"/>
    <w:rsid w:val="006942C7"/>
    <w:rsid w:val="00696E25"/>
    <w:rsid w:val="00697336"/>
    <w:rsid w:val="00697CB0"/>
    <w:rsid w:val="006A0D17"/>
    <w:rsid w:val="006A1737"/>
    <w:rsid w:val="006A18FB"/>
    <w:rsid w:val="006A4EDE"/>
    <w:rsid w:val="006A728E"/>
    <w:rsid w:val="006A79D6"/>
    <w:rsid w:val="006A7AD3"/>
    <w:rsid w:val="006B2379"/>
    <w:rsid w:val="006B293A"/>
    <w:rsid w:val="006B29E1"/>
    <w:rsid w:val="006B2B95"/>
    <w:rsid w:val="006B3CD2"/>
    <w:rsid w:val="006B4353"/>
    <w:rsid w:val="006B4CA0"/>
    <w:rsid w:val="006B512C"/>
    <w:rsid w:val="006B5153"/>
    <w:rsid w:val="006C0DA0"/>
    <w:rsid w:val="006C1B60"/>
    <w:rsid w:val="006C2770"/>
    <w:rsid w:val="006C349D"/>
    <w:rsid w:val="006C38F6"/>
    <w:rsid w:val="006C448D"/>
    <w:rsid w:val="006C450F"/>
    <w:rsid w:val="006C569A"/>
    <w:rsid w:val="006D1DE6"/>
    <w:rsid w:val="006D3756"/>
    <w:rsid w:val="006D3907"/>
    <w:rsid w:val="006D5934"/>
    <w:rsid w:val="006D6A30"/>
    <w:rsid w:val="006E2DCC"/>
    <w:rsid w:val="006E3800"/>
    <w:rsid w:val="006E7860"/>
    <w:rsid w:val="006F351F"/>
    <w:rsid w:val="00701559"/>
    <w:rsid w:val="007017F7"/>
    <w:rsid w:val="00702F33"/>
    <w:rsid w:val="00703035"/>
    <w:rsid w:val="00705030"/>
    <w:rsid w:val="00705F33"/>
    <w:rsid w:val="0070617B"/>
    <w:rsid w:val="00707229"/>
    <w:rsid w:val="00710E95"/>
    <w:rsid w:val="00711430"/>
    <w:rsid w:val="0071171F"/>
    <w:rsid w:val="00712664"/>
    <w:rsid w:val="00714FCF"/>
    <w:rsid w:val="007155D1"/>
    <w:rsid w:val="007158EE"/>
    <w:rsid w:val="00716F68"/>
    <w:rsid w:val="00717435"/>
    <w:rsid w:val="00721161"/>
    <w:rsid w:val="0072158F"/>
    <w:rsid w:val="00722B81"/>
    <w:rsid w:val="00722D2D"/>
    <w:rsid w:val="00722F8F"/>
    <w:rsid w:val="00723252"/>
    <w:rsid w:val="00725413"/>
    <w:rsid w:val="00725ADC"/>
    <w:rsid w:val="00727E15"/>
    <w:rsid w:val="007302FD"/>
    <w:rsid w:val="007316A8"/>
    <w:rsid w:val="00732A71"/>
    <w:rsid w:val="00732E90"/>
    <w:rsid w:val="00734BEC"/>
    <w:rsid w:val="00735119"/>
    <w:rsid w:val="00735182"/>
    <w:rsid w:val="00735789"/>
    <w:rsid w:val="0073775D"/>
    <w:rsid w:val="00740776"/>
    <w:rsid w:val="00740D29"/>
    <w:rsid w:val="00740E88"/>
    <w:rsid w:val="00741611"/>
    <w:rsid w:val="007454FE"/>
    <w:rsid w:val="00746E4E"/>
    <w:rsid w:val="00747E71"/>
    <w:rsid w:val="00747F11"/>
    <w:rsid w:val="00751691"/>
    <w:rsid w:val="007519CA"/>
    <w:rsid w:val="007539E7"/>
    <w:rsid w:val="00754405"/>
    <w:rsid w:val="00756C49"/>
    <w:rsid w:val="00762635"/>
    <w:rsid w:val="00764721"/>
    <w:rsid w:val="007649D9"/>
    <w:rsid w:val="0076528D"/>
    <w:rsid w:val="00766ADF"/>
    <w:rsid w:val="007677C0"/>
    <w:rsid w:val="00770EC1"/>
    <w:rsid w:val="00771390"/>
    <w:rsid w:val="00771FD6"/>
    <w:rsid w:val="007733F2"/>
    <w:rsid w:val="00773928"/>
    <w:rsid w:val="007748B2"/>
    <w:rsid w:val="00774B14"/>
    <w:rsid w:val="00774C12"/>
    <w:rsid w:val="00775096"/>
    <w:rsid w:val="007758BF"/>
    <w:rsid w:val="00775BAF"/>
    <w:rsid w:val="007768C1"/>
    <w:rsid w:val="00776E9A"/>
    <w:rsid w:val="0078042F"/>
    <w:rsid w:val="0078070E"/>
    <w:rsid w:val="00780B77"/>
    <w:rsid w:val="00780CE4"/>
    <w:rsid w:val="00784228"/>
    <w:rsid w:val="00790252"/>
    <w:rsid w:val="007917F1"/>
    <w:rsid w:val="00791BCA"/>
    <w:rsid w:val="00791FF0"/>
    <w:rsid w:val="00793A38"/>
    <w:rsid w:val="00793A3E"/>
    <w:rsid w:val="007944D7"/>
    <w:rsid w:val="007A0243"/>
    <w:rsid w:val="007A08A5"/>
    <w:rsid w:val="007A41D4"/>
    <w:rsid w:val="007A4C66"/>
    <w:rsid w:val="007A514C"/>
    <w:rsid w:val="007A5E77"/>
    <w:rsid w:val="007A7283"/>
    <w:rsid w:val="007B007C"/>
    <w:rsid w:val="007B462C"/>
    <w:rsid w:val="007B6AB8"/>
    <w:rsid w:val="007B7BAA"/>
    <w:rsid w:val="007C26C0"/>
    <w:rsid w:val="007C2F2D"/>
    <w:rsid w:val="007C58CD"/>
    <w:rsid w:val="007C7D79"/>
    <w:rsid w:val="007D28DA"/>
    <w:rsid w:val="007D4D21"/>
    <w:rsid w:val="007D68E6"/>
    <w:rsid w:val="007E16D5"/>
    <w:rsid w:val="007E2C6D"/>
    <w:rsid w:val="007E4630"/>
    <w:rsid w:val="007E46C8"/>
    <w:rsid w:val="007E46FF"/>
    <w:rsid w:val="007E63AE"/>
    <w:rsid w:val="007E6782"/>
    <w:rsid w:val="007F043C"/>
    <w:rsid w:val="007F04B5"/>
    <w:rsid w:val="007F19DB"/>
    <w:rsid w:val="007F71C9"/>
    <w:rsid w:val="008000B6"/>
    <w:rsid w:val="00800CF7"/>
    <w:rsid w:val="00804259"/>
    <w:rsid w:val="0080468A"/>
    <w:rsid w:val="008053EC"/>
    <w:rsid w:val="008058DF"/>
    <w:rsid w:val="00813A36"/>
    <w:rsid w:val="00813B08"/>
    <w:rsid w:val="00817ACE"/>
    <w:rsid w:val="00817E5C"/>
    <w:rsid w:val="008207C9"/>
    <w:rsid w:val="00820E3C"/>
    <w:rsid w:val="00820EDF"/>
    <w:rsid w:val="00821F61"/>
    <w:rsid w:val="00822126"/>
    <w:rsid w:val="0082433F"/>
    <w:rsid w:val="00824990"/>
    <w:rsid w:val="00824FD8"/>
    <w:rsid w:val="00825009"/>
    <w:rsid w:val="00825062"/>
    <w:rsid w:val="00825A58"/>
    <w:rsid w:val="00831F63"/>
    <w:rsid w:val="00832DDF"/>
    <w:rsid w:val="0083388D"/>
    <w:rsid w:val="00833D56"/>
    <w:rsid w:val="008350B5"/>
    <w:rsid w:val="00836B64"/>
    <w:rsid w:val="00837F06"/>
    <w:rsid w:val="00837F9C"/>
    <w:rsid w:val="0084046B"/>
    <w:rsid w:val="008407E7"/>
    <w:rsid w:val="008419C2"/>
    <w:rsid w:val="00843567"/>
    <w:rsid w:val="008435F2"/>
    <w:rsid w:val="008439EA"/>
    <w:rsid w:val="00845081"/>
    <w:rsid w:val="0084699F"/>
    <w:rsid w:val="00846A9A"/>
    <w:rsid w:val="00847465"/>
    <w:rsid w:val="008479F9"/>
    <w:rsid w:val="00850340"/>
    <w:rsid w:val="00851864"/>
    <w:rsid w:val="008518DE"/>
    <w:rsid w:val="00851DEC"/>
    <w:rsid w:val="00852753"/>
    <w:rsid w:val="00853344"/>
    <w:rsid w:val="0085413D"/>
    <w:rsid w:val="00854E71"/>
    <w:rsid w:val="00855426"/>
    <w:rsid w:val="008570BA"/>
    <w:rsid w:val="008576A0"/>
    <w:rsid w:val="00860EB4"/>
    <w:rsid w:val="00861D27"/>
    <w:rsid w:val="00864295"/>
    <w:rsid w:val="0086579F"/>
    <w:rsid w:val="00865A83"/>
    <w:rsid w:val="008668BA"/>
    <w:rsid w:val="00871F51"/>
    <w:rsid w:val="008729A6"/>
    <w:rsid w:val="00872DD0"/>
    <w:rsid w:val="008730E8"/>
    <w:rsid w:val="0087451F"/>
    <w:rsid w:val="00877096"/>
    <w:rsid w:val="00877583"/>
    <w:rsid w:val="00881081"/>
    <w:rsid w:val="00881933"/>
    <w:rsid w:val="00881A28"/>
    <w:rsid w:val="00881F79"/>
    <w:rsid w:val="0088275F"/>
    <w:rsid w:val="00882FC0"/>
    <w:rsid w:val="0088315A"/>
    <w:rsid w:val="008836E0"/>
    <w:rsid w:val="0088421F"/>
    <w:rsid w:val="00884C64"/>
    <w:rsid w:val="008854D2"/>
    <w:rsid w:val="008857CC"/>
    <w:rsid w:val="0088688B"/>
    <w:rsid w:val="008873F5"/>
    <w:rsid w:val="00892C69"/>
    <w:rsid w:val="00893690"/>
    <w:rsid w:val="00893E87"/>
    <w:rsid w:val="0089427B"/>
    <w:rsid w:val="00897E61"/>
    <w:rsid w:val="008A3CCD"/>
    <w:rsid w:val="008A5534"/>
    <w:rsid w:val="008A5731"/>
    <w:rsid w:val="008A6045"/>
    <w:rsid w:val="008A68BA"/>
    <w:rsid w:val="008A75DE"/>
    <w:rsid w:val="008B04AC"/>
    <w:rsid w:val="008B15FF"/>
    <w:rsid w:val="008B2165"/>
    <w:rsid w:val="008B2799"/>
    <w:rsid w:val="008B2F15"/>
    <w:rsid w:val="008B4260"/>
    <w:rsid w:val="008B6C18"/>
    <w:rsid w:val="008C2D5A"/>
    <w:rsid w:val="008C39E0"/>
    <w:rsid w:val="008C4FA1"/>
    <w:rsid w:val="008C7F07"/>
    <w:rsid w:val="008D057A"/>
    <w:rsid w:val="008D08DB"/>
    <w:rsid w:val="008D1126"/>
    <w:rsid w:val="008D1DC1"/>
    <w:rsid w:val="008D2112"/>
    <w:rsid w:val="008D3F2D"/>
    <w:rsid w:val="008D4A22"/>
    <w:rsid w:val="008D6065"/>
    <w:rsid w:val="008D735E"/>
    <w:rsid w:val="008D76B1"/>
    <w:rsid w:val="008E02CE"/>
    <w:rsid w:val="008E273B"/>
    <w:rsid w:val="008E378A"/>
    <w:rsid w:val="008E69E1"/>
    <w:rsid w:val="008E6F93"/>
    <w:rsid w:val="008E7479"/>
    <w:rsid w:val="008F0FCA"/>
    <w:rsid w:val="008F1791"/>
    <w:rsid w:val="008F289F"/>
    <w:rsid w:val="008F2A38"/>
    <w:rsid w:val="008F3355"/>
    <w:rsid w:val="008F34C7"/>
    <w:rsid w:val="008F3DE8"/>
    <w:rsid w:val="008F4F50"/>
    <w:rsid w:val="008F4FF6"/>
    <w:rsid w:val="008F5CAB"/>
    <w:rsid w:val="008F66E3"/>
    <w:rsid w:val="009027AA"/>
    <w:rsid w:val="00903E39"/>
    <w:rsid w:val="009064AF"/>
    <w:rsid w:val="00906F90"/>
    <w:rsid w:val="009108A0"/>
    <w:rsid w:val="009110F7"/>
    <w:rsid w:val="00915406"/>
    <w:rsid w:val="00920C52"/>
    <w:rsid w:val="009216C1"/>
    <w:rsid w:val="00922ACC"/>
    <w:rsid w:val="00923342"/>
    <w:rsid w:val="0092637A"/>
    <w:rsid w:val="0092705E"/>
    <w:rsid w:val="00927881"/>
    <w:rsid w:val="00932B02"/>
    <w:rsid w:val="00933F86"/>
    <w:rsid w:val="0093505A"/>
    <w:rsid w:val="00936AE2"/>
    <w:rsid w:val="00936DBF"/>
    <w:rsid w:val="00937D0B"/>
    <w:rsid w:val="00940A8A"/>
    <w:rsid w:val="0094219A"/>
    <w:rsid w:val="00942639"/>
    <w:rsid w:val="0094398A"/>
    <w:rsid w:val="00946BCA"/>
    <w:rsid w:val="00947152"/>
    <w:rsid w:val="00951079"/>
    <w:rsid w:val="0095256E"/>
    <w:rsid w:val="00952D5F"/>
    <w:rsid w:val="009536EC"/>
    <w:rsid w:val="00953A86"/>
    <w:rsid w:val="00953F58"/>
    <w:rsid w:val="00961556"/>
    <w:rsid w:val="00964F62"/>
    <w:rsid w:val="00965648"/>
    <w:rsid w:val="009657E4"/>
    <w:rsid w:val="009670D6"/>
    <w:rsid w:val="00967700"/>
    <w:rsid w:val="00967AF9"/>
    <w:rsid w:val="00970F0A"/>
    <w:rsid w:val="00972161"/>
    <w:rsid w:val="00973B44"/>
    <w:rsid w:val="00974B83"/>
    <w:rsid w:val="009754DE"/>
    <w:rsid w:val="00977B64"/>
    <w:rsid w:val="009828C7"/>
    <w:rsid w:val="00983032"/>
    <w:rsid w:val="00985278"/>
    <w:rsid w:val="00985F7D"/>
    <w:rsid w:val="00986140"/>
    <w:rsid w:val="00986CDE"/>
    <w:rsid w:val="009917DE"/>
    <w:rsid w:val="00992171"/>
    <w:rsid w:val="0099251D"/>
    <w:rsid w:val="0099295C"/>
    <w:rsid w:val="00992BD2"/>
    <w:rsid w:val="00994EE2"/>
    <w:rsid w:val="00995A4E"/>
    <w:rsid w:val="009972FF"/>
    <w:rsid w:val="009A00E6"/>
    <w:rsid w:val="009A0F10"/>
    <w:rsid w:val="009A1978"/>
    <w:rsid w:val="009A5035"/>
    <w:rsid w:val="009A5A1D"/>
    <w:rsid w:val="009A5B87"/>
    <w:rsid w:val="009A5FBA"/>
    <w:rsid w:val="009A77F5"/>
    <w:rsid w:val="009B13BE"/>
    <w:rsid w:val="009B6828"/>
    <w:rsid w:val="009B6DE3"/>
    <w:rsid w:val="009B7CF0"/>
    <w:rsid w:val="009C2E02"/>
    <w:rsid w:val="009C3C20"/>
    <w:rsid w:val="009C4804"/>
    <w:rsid w:val="009C603B"/>
    <w:rsid w:val="009C7917"/>
    <w:rsid w:val="009D08D9"/>
    <w:rsid w:val="009D0D72"/>
    <w:rsid w:val="009D2D39"/>
    <w:rsid w:val="009D3678"/>
    <w:rsid w:val="009D3E5A"/>
    <w:rsid w:val="009D46BC"/>
    <w:rsid w:val="009D5B02"/>
    <w:rsid w:val="009D6431"/>
    <w:rsid w:val="009E144F"/>
    <w:rsid w:val="009E21C2"/>
    <w:rsid w:val="009E277D"/>
    <w:rsid w:val="009E2D57"/>
    <w:rsid w:val="009E39C2"/>
    <w:rsid w:val="009E40B5"/>
    <w:rsid w:val="009E4270"/>
    <w:rsid w:val="009E4DBA"/>
    <w:rsid w:val="009E6C38"/>
    <w:rsid w:val="009E7516"/>
    <w:rsid w:val="009E7745"/>
    <w:rsid w:val="009E7FAB"/>
    <w:rsid w:val="009F227B"/>
    <w:rsid w:val="009F26A9"/>
    <w:rsid w:val="009F337B"/>
    <w:rsid w:val="009F4C39"/>
    <w:rsid w:val="009F5695"/>
    <w:rsid w:val="009F6052"/>
    <w:rsid w:val="009F6C61"/>
    <w:rsid w:val="00A02B82"/>
    <w:rsid w:val="00A04F1F"/>
    <w:rsid w:val="00A05BA7"/>
    <w:rsid w:val="00A062A2"/>
    <w:rsid w:val="00A06408"/>
    <w:rsid w:val="00A102F3"/>
    <w:rsid w:val="00A1125F"/>
    <w:rsid w:val="00A112FF"/>
    <w:rsid w:val="00A143C0"/>
    <w:rsid w:val="00A143EC"/>
    <w:rsid w:val="00A15039"/>
    <w:rsid w:val="00A17868"/>
    <w:rsid w:val="00A20533"/>
    <w:rsid w:val="00A20ACE"/>
    <w:rsid w:val="00A20BC4"/>
    <w:rsid w:val="00A215BC"/>
    <w:rsid w:val="00A22350"/>
    <w:rsid w:val="00A22E77"/>
    <w:rsid w:val="00A239B7"/>
    <w:rsid w:val="00A239EE"/>
    <w:rsid w:val="00A2466D"/>
    <w:rsid w:val="00A25A06"/>
    <w:rsid w:val="00A27306"/>
    <w:rsid w:val="00A314DC"/>
    <w:rsid w:val="00A3165B"/>
    <w:rsid w:val="00A31A2E"/>
    <w:rsid w:val="00A33904"/>
    <w:rsid w:val="00A35215"/>
    <w:rsid w:val="00A370BA"/>
    <w:rsid w:val="00A4065D"/>
    <w:rsid w:val="00A4107A"/>
    <w:rsid w:val="00A410E6"/>
    <w:rsid w:val="00A42670"/>
    <w:rsid w:val="00A43A88"/>
    <w:rsid w:val="00A43CB7"/>
    <w:rsid w:val="00A44308"/>
    <w:rsid w:val="00A44B0F"/>
    <w:rsid w:val="00A4539A"/>
    <w:rsid w:val="00A47BD6"/>
    <w:rsid w:val="00A50ADB"/>
    <w:rsid w:val="00A5350A"/>
    <w:rsid w:val="00A53AE1"/>
    <w:rsid w:val="00A5514A"/>
    <w:rsid w:val="00A602DE"/>
    <w:rsid w:val="00A6047D"/>
    <w:rsid w:val="00A61379"/>
    <w:rsid w:val="00A61B1F"/>
    <w:rsid w:val="00A62826"/>
    <w:rsid w:val="00A62A4F"/>
    <w:rsid w:val="00A63A1E"/>
    <w:rsid w:val="00A63C45"/>
    <w:rsid w:val="00A6443F"/>
    <w:rsid w:val="00A65E17"/>
    <w:rsid w:val="00A66876"/>
    <w:rsid w:val="00A715A5"/>
    <w:rsid w:val="00A7262A"/>
    <w:rsid w:val="00A7452B"/>
    <w:rsid w:val="00A74DCA"/>
    <w:rsid w:val="00A76DAD"/>
    <w:rsid w:val="00A81517"/>
    <w:rsid w:val="00A8170A"/>
    <w:rsid w:val="00A81F5F"/>
    <w:rsid w:val="00A825D8"/>
    <w:rsid w:val="00A85941"/>
    <w:rsid w:val="00A85B50"/>
    <w:rsid w:val="00A8632F"/>
    <w:rsid w:val="00A9003F"/>
    <w:rsid w:val="00A90151"/>
    <w:rsid w:val="00A92A11"/>
    <w:rsid w:val="00A95F10"/>
    <w:rsid w:val="00A9787E"/>
    <w:rsid w:val="00AA2ECC"/>
    <w:rsid w:val="00AA5698"/>
    <w:rsid w:val="00AA7F41"/>
    <w:rsid w:val="00AB041E"/>
    <w:rsid w:val="00AB0C90"/>
    <w:rsid w:val="00AB1037"/>
    <w:rsid w:val="00AB3BFA"/>
    <w:rsid w:val="00AB3C7C"/>
    <w:rsid w:val="00AB3F32"/>
    <w:rsid w:val="00AB4981"/>
    <w:rsid w:val="00AB737F"/>
    <w:rsid w:val="00AC1F88"/>
    <w:rsid w:val="00AC25C9"/>
    <w:rsid w:val="00AC2A37"/>
    <w:rsid w:val="00AC7ADA"/>
    <w:rsid w:val="00AD0AB8"/>
    <w:rsid w:val="00AD0E25"/>
    <w:rsid w:val="00AD1BD8"/>
    <w:rsid w:val="00AD3343"/>
    <w:rsid w:val="00AD387F"/>
    <w:rsid w:val="00AD3B0F"/>
    <w:rsid w:val="00AD4772"/>
    <w:rsid w:val="00AD4FC4"/>
    <w:rsid w:val="00AD5541"/>
    <w:rsid w:val="00AD5885"/>
    <w:rsid w:val="00AD66FA"/>
    <w:rsid w:val="00AD6E68"/>
    <w:rsid w:val="00AD7AF5"/>
    <w:rsid w:val="00AE1DAB"/>
    <w:rsid w:val="00AE1EDB"/>
    <w:rsid w:val="00AE27FE"/>
    <w:rsid w:val="00AE2D09"/>
    <w:rsid w:val="00AE36FC"/>
    <w:rsid w:val="00AE537D"/>
    <w:rsid w:val="00AF0514"/>
    <w:rsid w:val="00AF0B56"/>
    <w:rsid w:val="00AF1EB8"/>
    <w:rsid w:val="00AF3E2C"/>
    <w:rsid w:val="00AF4171"/>
    <w:rsid w:val="00AF4627"/>
    <w:rsid w:val="00AF5DBD"/>
    <w:rsid w:val="00AF7B24"/>
    <w:rsid w:val="00B00A9B"/>
    <w:rsid w:val="00B00F13"/>
    <w:rsid w:val="00B029B3"/>
    <w:rsid w:val="00B0456E"/>
    <w:rsid w:val="00B046B8"/>
    <w:rsid w:val="00B05BD6"/>
    <w:rsid w:val="00B06C5C"/>
    <w:rsid w:val="00B07D41"/>
    <w:rsid w:val="00B102E6"/>
    <w:rsid w:val="00B108F7"/>
    <w:rsid w:val="00B10D5A"/>
    <w:rsid w:val="00B1126E"/>
    <w:rsid w:val="00B12497"/>
    <w:rsid w:val="00B13D25"/>
    <w:rsid w:val="00B14568"/>
    <w:rsid w:val="00B15309"/>
    <w:rsid w:val="00B15E8F"/>
    <w:rsid w:val="00B166E6"/>
    <w:rsid w:val="00B17945"/>
    <w:rsid w:val="00B17F81"/>
    <w:rsid w:val="00B213E5"/>
    <w:rsid w:val="00B21B41"/>
    <w:rsid w:val="00B2512F"/>
    <w:rsid w:val="00B26331"/>
    <w:rsid w:val="00B26DC6"/>
    <w:rsid w:val="00B35543"/>
    <w:rsid w:val="00B36039"/>
    <w:rsid w:val="00B37099"/>
    <w:rsid w:val="00B370C0"/>
    <w:rsid w:val="00B41FBD"/>
    <w:rsid w:val="00B42999"/>
    <w:rsid w:val="00B42A03"/>
    <w:rsid w:val="00B45B6F"/>
    <w:rsid w:val="00B469EE"/>
    <w:rsid w:val="00B46FB2"/>
    <w:rsid w:val="00B47BBD"/>
    <w:rsid w:val="00B537BF"/>
    <w:rsid w:val="00B5393B"/>
    <w:rsid w:val="00B53D92"/>
    <w:rsid w:val="00B5442B"/>
    <w:rsid w:val="00B577CC"/>
    <w:rsid w:val="00B62A39"/>
    <w:rsid w:val="00B62B16"/>
    <w:rsid w:val="00B63159"/>
    <w:rsid w:val="00B6372B"/>
    <w:rsid w:val="00B64594"/>
    <w:rsid w:val="00B65B67"/>
    <w:rsid w:val="00B65C65"/>
    <w:rsid w:val="00B678DC"/>
    <w:rsid w:val="00B75414"/>
    <w:rsid w:val="00B75F9F"/>
    <w:rsid w:val="00B8146A"/>
    <w:rsid w:val="00B83ACD"/>
    <w:rsid w:val="00B844C9"/>
    <w:rsid w:val="00B845AE"/>
    <w:rsid w:val="00B8463E"/>
    <w:rsid w:val="00B870CD"/>
    <w:rsid w:val="00B90999"/>
    <w:rsid w:val="00B90F5E"/>
    <w:rsid w:val="00B9433C"/>
    <w:rsid w:val="00B94BA2"/>
    <w:rsid w:val="00B951AD"/>
    <w:rsid w:val="00B968C1"/>
    <w:rsid w:val="00B969F9"/>
    <w:rsid w:val="00B9783B"/>
    <w:rsid w:val="00BA3C35"/>
    <w:rsid w:val="00BA4E3A"/>
    <w:rsid w:val="00BA5F56"/>
    <w:rsid w:val="00BA65C1"/>
    <w:rsid w:val="00BA73F9"/>
    <w:rsid w:val="00BB1302"/>
    <w:rsid w:val="00BB1C48"/>
    <w:rsid w:val="00BB2A3B"/>
    <w:rsid w:val="00BB2C88"/>
    <w:rsid w:val="00BB34B1"/>
    <w:rsid w:val="00BB3667"/>
    <w:rsid w:val="00BB4496"/>
    <w:rsid w:val="00BC0487"/>
    <w:rsid w:val="00BC0CF6"/>
    <w:rsid w:val="00BC3615"/>
    <w:rsid w:val="00BC3AD6"/>
    <w:rsid w:val="00BC5781"/>
    <w:rsid w:val="00BC5AE5"/>
    <w:rsid w:val="00BC6083"/>
    <w:rsid w:val="00BC6DFD"/>
    <w:rsid w:val="00BD1868"/>
    <w:rsid w:val="00BD5BCE"/>
    <w:rsid w:val="00BD63FE"/>
    <w:rsid w:val="00BE100A"/>
    <w:rsid w:val="00BE509B"/>
    <w:rsid w:val="00BE5DD7"/>
    <w:rsid w:val="00BE6012"/>
    <w:rsid w:val="00BF11EB"/>
    <w:rsid w:val="00BF3D49"/>
    <w:rsid w:val="00BF58ED"/>
    <w:rsid w:val="00BF6978"/>
    <w:rsid w:val="00BF6FFC"/>
    <w:rsid w:val="00BF71BB"/>
    <w:rsid w:val="00C00251"/>
    <w:rsid w:val="00C00283"/>
    <w:rsid w:val="00C00C3A"/>
    <w:rsid w:val="00C0195B"/>
    <w:rsid w:val="00C02A82"/>
    <w:rsid w:val="00C03899"/>
    <w:rsid w:val="00C04567"/>
    <w:rsid w:val="00C04852"/>
    <w:rsid w:val="00C05577"/>
    <w:rsid w:val="00C05FFE"/>
    <w:rsid w:val="00C062CF"/>
    <w:rsid w:val="00C06782"/>
    <w:rsid w:val="00C06C9A"/>
    <w:rsid w:val="00C0738C"/>
    <w:rsid w:val="00C07A25"/>
    <w:rsid w:val="00C10992"/>
    <w:rsid w:val="00C14986"/>
    <w:rsid w:val="00C15690"/>
    <w:rsid w:val="00C15BEF"/>
    <w:rsid w:val="00C2006F"/>
    <w:rsid w:val="00C20C8D"/>
    <w:rsid w:val="00C24B10"/>
    <w:rsid w:val="00C255B7"/>
    <w:rsid w:val="00C26021"/>
    <w:rsid w:val="00C302EC"/>
    <w:rsid w:val="00C30F8F"/>
    <w:rsid w:val="00C326B7"/>
    <w:rsid w:val="00C338E2"/>
    <w:rsid w:val="00C3545B"/>
    <w:rsid w:val="00C36CF4"/>
    <w:rsid w:val="00C4035C"/>
    <w:rsid w:val="00C40414"/>
    <w:rsid w:val="00C40BEB"/>
    <w:rsid w:val="00C416E6"/>
    <w:rsid w:val="00C42C2B"/>
    <w:rsid w:val="00C43DEB"/>
    <w:rsid w:val="00C46416"/>
    <w:rsid w:val="00C500A5"/>
    <w:rsid w:val="00C5036D"/>
    <w:rsid w:val="00C50E96"/>
    <w:rsid w:val="00C51833"/>
    <w:rsid w:val="00C51D62"/>
    <w:rsid w:val="00C54D5C"/>
    <w:rsid w:val="00C553A5"/>
    <w:rsid w:val="00C5644D"/>
    <w:rsid w:val="00C568CA"/>
    <w:rsid w:val="00C569CF"/>
    <w:rsid w:val="00C575FE"/>
    <w:rsid w:val="00C57A62"/>
    <w:rsid w:val="00C622BF"/>
    <w:rsid w:val="00C62E8E"/>
    <w:rsid w:val="00C6333E"/>
    <w:rsid w:val="00C64282"/>
    <w:rsid w:val="00C65110"/>
    <w:rsid w:val="00C67E34"/>
    <w:rsid w:val="00C71A74"/>
    <w:rsid w:val="00C72236"/>
    <w:rsid w:val="00C72290"/>
    <w:rsid w:val="00C733AA"/>
    <w:rsid w:val="00C740D8"/>
    <w:rsid w:val="00C755EE"/>
    <w:rsid w:val="00C7566D"/>
    <w:rsid w:val="00C763CE"/>
    <w:rsid w:val="00C807B8"/>
    <w:rsid w:val="00C80AED"/>
    <w:rsid w:val="00C812BD"/>
    <w:rsid w:val="00C83160"/>
    <w:rsid w:val="00C83633"/>
    <w:rsid w:val="00C8581C"/>
    <w:rsid w:val="00C85AA3"/>
    <w:rsid w:val="00C863C1"/>
    <w:rsid w:val="00C86ACA"/>
    <w:rsid w:val="00C8741E"/>
    <w:rsid w:val="00C87548"/>
    <w:rsid w:val="00C87C75"/>
    <w:rsid w:val="00C91013"/>
    <w:rsid w:val="00C91023"/>
    <w:rsid w:val="00C93D90"/>
    <w:rsid w:val="00C93E65"/>
    <w:rsid w:val="00C9637E"/>
    <w:rsid w:val="00C970BF"/>
    <w:rsid w:val="00C97438"/>
    <w:rsid w:val="00CA08A2"/>
    <w:rsid w:val="00CA1A42"/>
    <w:rsid w:val="00CA2DB2"/>
    <w:rsid w:val="00CA394E"/>
    <w:rsid w:val="00CA4132"/>
    <w:rsid w:val="00CA44BB"/>
    <w:rsid w:val="00CA464B"/>
    <w:rsid w:val="00CA5163"/>
    <w:rsid w:val="00CB0049"/>
    <w:rsid w:val="00CB0601"/>
    <w:rsid w:val="00CB26F8"/>
    <w:rsid w:val="00CB2C3E"/>
    <w:rsid w:val="00CB3022"/>
    <w:rsid w:val="00CB6499"/>
    <w:rsid w:val="00CC7335"/>
    <w:rsid w:val="00CD550E"/>
    <w:rsid w:val="00CD6638"/>
    <w:rsid w:val="00CD6EFB"/>
    <w:rsid w:val="00CE0CFA"/>
    <w:rsid w:val="00CE3C66"/>
    <w:rsid w:val="00CE5B61"/>
    <w:rsid w:val="00CE5F27"/>
    <w:rsid w:val="00CE78D6"/>
    <w:rsid w:val="00CE7E98"/>
    <w:rsid w:val="00CF0372"/>
    <w:rsid w:val="00CF2259"/>
    <w:rsid w:val="00CF260F"/>
    <w:rsid w:val="00CF2EA1"/>
    <w:rsid w:val="00CF398C"/>
    <w:rsid w:val="00CF6155"/>
    <w:rsid w:val="00CF625E"/>
    <w:rsid w:val="00CF6F62"/>
    <w:rsid w:val="00CF7994"/>
    <w:rsid w:val="00CF79AA"/>
    <w:rsid w:val="00D025CD"/>
    <w:rsid w:val="00D02F29"/>
    <w:rsid w:val="00D03714"/>
    <w:rsid w:val="00D038D8"/>
    <w:rsid w:val="00D05530"/>
    <w:rsid w:val="00D07101"/>
    <w:rsid w:val="00D07126"/>
    <w:rsid w:val="00D106FB"/>
    <w:rsid w:val="00D13394"/>
    <w:rsid w:val="00D1390E"/>
    <w:rsid w:val="00D1558D"/>
    <w:rsid w:val="00D15F66"/>
    <w:rsid w:val="00D17B67"/>
    <w:rsid w:val="00D20358"/>
    <w:rsid w:val="00D20A28"/>
    <w:rsid w:val="00D20CA3"/>
    <w:rsid w:val="00D20D55"/>
    <w:rsid w:val="00D21263"/>
    <w:rsid w:val="00D21767"/>
    <w:rsid w:val="00D23875"/>
    <w:rsid w:val="00D23CC3"/>
    <w:rsid w:val="00D23DAC"/>
    <w:rsid w:val="00D24AC5"/>
    <w:rsid w:val="00D27FAB"/>
    <w:rsid w:val="00D30CD4"/>
    <w:rsid w:val="00D31666"/>
    <w:rsid w:val="00D3284D"/>
    <w:rsid w:val="00D32D3E"/>
    <w:rsid w:val="00D35C84"/>
    <w:rsid w:val="00D36191"/>
    <w:rsid w:val="00D36787"/>
    <w:rsid w:val="00D40AF6"/>
    <w:rsid w:val="00D42722"/>
    <w:rsid w:val="00D45853"/>
    <w:rsid w:val="00D46DE0"/>
    <w:rsid w:val="00D4761A"/>
    <w:rsid w:val="00D500AE"/>
    <w:rsid w:val="00D5172A"/>
    <w:rsid w:val="00D53792"/>
    <w:rsid w:val="00D53BD0"/>
    <w:rsid w:val="00D54269"/>
    <w:rsid w:val="00D54913"/>
    <w:rsid w:val="00D5648F"/>
    <w:rsid w:val="00D57419"/>
    <w:rsid w:val="00D5762F"/>
    <w:rsid w:val="00D579DC"/>
    <w:rsid w:val="00D57F7C"/>
    <w:rsid w:val="00D606BE"/>
    <w:rsid w:val="00D61198"/>
    <w:rsid w:val="00D62AEA"/>
    <w:rsid w:val="00D63161"/>
    <w:rsid w:val="00D6583B"/>
    <w:rsid w:val="00D663AC"/>
    <w:rsid w:val="00D663AE"/>
    <w:rsid w:val="00D705FB"/>
    <w:rsid w:val="00D720E5"/>
    <w:rsid w:val="00D731B3"/>
    <w:rsid w:val="00D73C58"/>
    <w:rsid w:val="00D76B36"/>
    <w:rsid w:val="00D778FE"/>
    <w:rsid w:val="00D7793B"/>
    <w:rsid w:val="00D77C07"/>
    <w:rsid w:val="00D77D1A"/>
    <w:rsid w:val="00D80A29"/>
    <w:rsid w:val="00D81533"/>
    <w:rsid w:val="00D824AB"/>
    <w:rsid w:val="00D83344"/>
    <w:rsid w:val="00D83F65"/>
    <w:rsid w:val="00D865E0"/>
    <w:rsid w:val="00D94F98"/>
    <w:rsid w:val="00D95DF2"/>
    <w:rsid w:val="00D972DE"/>
    <w:rsid w:val="00D977BD"/>
    <w:rsid w:val="00D97BB8"/>
    <w:rsid w:val="00DA1A79"/>
    <w:rsid w:val="00DA509B"/>
    <w:rsid w:val="00DA5FB9"/>
    <w:rsid w:val="00DA6A30"/>
    <w:rsid w:val="00DB04CA"/>
    <w:rsid w:val="00DB1943"/>
    <w:rsid w:val="00DB29AA"/>
    <w:rsid w:val="00DB40DD"/>
    <w:rsid w:val="00DB4524"/>
    <w:rsid w:val="00DB4FCD"/>
    <w:rsid w:val="00DB53D9"/>
    <w:rsid w:val="00DB6AEC"/>
    <w:rsid w:val="00DB7651"/>
    <w:rsid w:val="00DB7ABE"/>
    <w:rsid w:val="00DC038F"/>
    <w:rsid w:val="00DC247D"/>
    <w:rsid w:val="00DC7630"/>
    <w:rsid w:val="00DD0179"/>
    <w:rsid w:val="00DD0861"/>
    <w:rsid w:val="00DD20ED"/>
    <w:rsid w:val="00DD34C3"/>
    <w:rsid w:val="00DD40FB"/>
    <w:rsid w:val="00DD73D3"/>
    <w:rsid w:val="00DD79A3"/>
    <w:rsid w:val="00DE0748"/>
    <w:rsid w:val="00DE11A0"/>
    <w:rsid w:val="00DE19C1"/>
    <w:rsid w:val="00DE1D88"/>
    <w:rsid w:val="00DE297B"/>
    <w:rsid w:val="00DE3497"/>
    <w:rsid w:val="00DE3C83"/>
    <w:rsid w:val="00DE46AB"/>
    <w:rsid w:val="00DE47C8"/>
    <w:rsid w:val="00DE486A"/>
    <w:rsid w:val="00DE57B7"/>
    <w:rsid w:val="00DE7166"/>
    <w:rsid w:val="00DF17CE"/>
    <w:rsid w:val="00DF2973"/>
    <w:rsid w:val="00DF2D3B"/>
    <w:rsid w:val="00DF6E2B"/>
    <w:rsid w:val="00DF704C"/>
    <w:rsid w:val="00E034A5"/>
    <w:rsid w:val="00E06778"/>
    <w:rsid w:val="00E06BC5"/>
    <w:rsid w:val="00E109B4"/>
    <w:rsid w:val="00E11321"/>
    <w:rsid w:val="00E1202A"/>
    <w:rsid w:val="00E12A42"/>
    <w:rsid w:val="00E13CFB"/>
    <w:rsid w:val="00E174D7"/>
    <w:rsid w:val="00E17AAC"/>
    <w:rsid w:val="00E206D7"/>
    <w:rsid w:val="00E21EC1"/>
    <w:rsid w:val="00E2444A"/>
    <w:rsid w:val="00E24C73"/>
    <w:rsid w:val="00E27241"/>
    <w:rsid w:val="00E273A0"/>
    <w:rsid w:val="00E27556"/>
    <w:rsid w:val="00E27DC1"/>
    <w:rsid w:val="00E3083B"/>
    <w:rsid w:val="00E3366E"/>
    <w:rsid w:val="00E35759"/>
    <w:rsid w:val="00E3622E"/>
    <w:rsid w:val="00E36DB1"/>
    <w:rsid w:val="00E37D63"/>
    <w:rsid w:val="00E37DDC"/>
    <w:rsid w:val="00E43343"/>
    <w:rsid w:val="00E4635C"/>
    <w:rsid w:val="00E47671"/>
    <w:rsid w:val="00E500F9"/>
    <w:rsid w:val="00E504C3"/>
    <w:rsid w:val="00E55A35"/>
    <w:rsid w:val="00E55A58"/>
    <w:rsid w:val="00E560A5"/>
    <w:rsid w:val="00E570BF"/>
    <w:rsid w:val="00E576A6"/>
    <w:rsid w:val="00E57FF2"/>
    <w:rsid w:val="00E60C05"/>
    <w:rsid w:val="00E6218F"/>
    <w:rsid w:val="00E63332"/>
    <w:rsid w:val="00E63E2F"/>
    <w:rsid w:val="00E640EE"/>
    <w:rsid w:val="00E7006D"/>
    <w:rsid w:val="00E71BA0"/>
    <w:rsid w:val="00E722C5"/>
    <w:rsid w:val="00E73E6E"/>
    <w:rsid w:val="00E7438F"/>
    <w:rsid w:val="00E76B7B"/>
    <w:rsid w:val="00E77391"/>
    <w:rsid w:val="00E80EE8"/>
    <w:rsid w:val="00E82C73"/>
    <w:rsid w:val="00E83517"/>
    <w:rsid w:val="00E83A57"/>
    <w:rsid w:val="00E84868"/>
    <w:rsid w:val="00E85FB4"/>
    <w:rsid w:val="00E87D1D"/>
    <w:rsid w:val="00E87F58"/>
    <w:rsid w:val="00E90A70"/>
    <w:rsid w:val="00E92419"/>
    <w:rsid w:val="00E939E4"/>
    <w:rsid w:val="00E93B08"/>
    <w:rsid w:val="00E943FB"/>
    <w:rsid w:val="00E95CF2"/>
    <w:rsid w:val="00E96806"/>
    <w:rsid w:val="00EA03B4"/>
    <w:rsid w:val="00EA3E99"/>
    <w:rsid w:val="00EA4ECB"/>
    <w:rsid w:val="00EA57BF"/>
    <w:rsid w:val="00EA6EE9"/>
    <w:rsid w:val="00EA79AE"/>
    <w:rsid w:val="00EB0A5B"/>
    <w:rsid w:val="00EB0FDF"/>
    <w:rsid w:val="00EB2AF7"/>
    <w:rsid w:val="00EB3FFC"/>
    <w:rsid w:val="00EB459A"/>
    <w:rsid w:val="00EC041D"/>
    <w:rsid w:val="00EC0D5F"/>
    <w:rsid w:val="00EC0FAD"/>
    <w:rsid w:val="00EC2AD8"/>
    <w:rsid w:val="00EC5CB1"/>
    <w:rsid w:val="00EC5CE3"/>
    <w:rsid w:val="00EC7B70"/>
    <w:rsid w:val="00EC7E94"/>
    <w:rsid w:val="00ED4085"/>
    <w:rsid w:val="00EE054B"/>
    <w:rsid w:val="00EE1050"/>
    <w:rsid w:val="00EE1BFC"/>
    <w:rsid w:val="00EE480F"/>
    <w:rsid w:val="00EE4D25"/>
    <w:rsid w:val="00EE53EC"/>
    <w:rsid w:val="00EF141F"/>
    <w:rsid w:val="00EF3635"/>
    <w:rsid w:val="00EF37D2"/>
    <w:rsid w:val="00EF4ABF"/>
    <w:rsid w:val="00EF4B2D"/>
    <w:rsid w:val="00EF7479"/>
    <w:rsid w:val="00EF7794"/>
    <w:rsid w:val="00F011FB"/>
    <w:rsid w:val="00F0132F"/>
    <w:rsid w:val="00F0196A"/>
    <w:rsid w:val="00F025D5"/>
    <w:rsid w:val="00F05711"/>
    <w:rsid w:val="00F06057"/>
    <w:rsid w:val="00F06ADA"/>
    <w:rsid w:val="00F11A90"/>
    <w:rsid w:val="00F14A0B"/>
    <w:rsid w:val="00F15B79"/>
    <w:rsid w:val="00F21547"/>
    <w:rsid w:val="00F23374"/>
    <w:rsid w:val="00F23460"/>
    <w:rsid w:val="00F23CEE"/>
    <w:rsid w:val="00F26039"/>
    <w:rsid w:val="00F27D08"/>
    <w:rsid w:val="00F31366"/>
    <w:rsid w:val="00F31839"/>
    <w:rsid w:val="00F34350"/>
    <w:rsid w:val="00F34821"/>
    <w:rsid w:val="00F3578D"/>
    <w:rsid w:val="00F3653B"/>
    <w:rsid w:val="00F36C04"/>
    <w:rsid w:val="00F36D7D"/>
    <w:rsid w:val="00F402A0"/>
    <w:rsid w:val="00F4035E"/>
    <w:rsid w:val="00F40EA6"/>
    <w:rsid w:val="00F414EF"/>
    <w:rsid w:val="00F41EFF"/>
    <w:rsid w:val="00F42444"/>
    <w:rsid w:val="00F436BF"/>
    <w:rsid w:val="00F436F4"/>
    <w:rsid w:val="00F44158"/>
    <w:rsid w:val="00F44DE3"/>
    <w:rsid w:val="00F46649"/>
    <w:rsid w:val="00F543D6"/>
    <w:rsid w:val="00F54490"/>
    <w:rsid w:val="00F551B1"/>
    <w:rsid w:val="00F560C8"/>
    <w:rsid w:val="00F6189D"/>
    <w:rsid w:val="00F6206F"/>
    <w:rsid w:val="00F621BB"/>
    <w:rsid w:val="00F63729"/>
    <w:rsid w:val="00F67280"/>
    <w:rsid w:val="00F71DFE"/>
    <w:rsid w:val="00F72307"/>
    <w:rsid w:val="00F72A91"/>
    <w:rsid w:val="00F73197"/>
    <w:rsid w:val="00F74F1E"/>
    <w:rsid w:val="00F8053F"/>
    <w:rsid w:val="00F84F73"/>
    <w:rsid w:val="00F873C3"/>
    <w:rsid w:val="00F90B30"/>
    <w:rsid w:val="00F927D7"/>
    <w:rsid w:val="00F934E5"/>
    <w:rsid w:val="00F967B3"/>
    <w:rsid w:val="00F969E2"/>
    <w:rsid w:val="00FA063D"/>
    <w:rsid w:val="00FA0D6B"/>
    <w:rsid w:val="00FA16A2"/>
    <w:rsid w:val="00FA1CE5"/>
    <w:rsid w:val="00FA43F0"/>
    <w:rsid w:val="00FA6865"/>
    <w:rsid w:val="00FA7581"/>
    <w:rsid w:val="00FB3E5A"/>
    <w:rsid w:val="00FB6E8A"/>
    <w:rsid w:val="00FB6F52"/>
    <w:rsid w:val="00FB7070"/>
    <w:rsid w:val="00FC0096"/>
    <w:rsid w:val="00FC19A6"/>
    <w:rsid w:val="00FC1B8F"/>
    <w:rsid w:val="00FC276D"/>
    <w:rsid w:val="00FC3967"/>
    <w:rsid w:val="00FC427C"/>
    <w:rsid w:val="00FC5670"/>
    <w:rsid w:val="00FC56D7"/>
    <w:rsid w:val="00FC6312"/>
    <w:rsid w:val="00FC6ADB"/>
    <w:rsid w:val="00FC730B"/>
    <w:rsid w:val="00FC7578"/>
    <w:rsid w:val="00FD3EB1"/>
    <w:rsid w:val="00FD4C99"/>
    <w:rsid w:val="00FD7CA6"/>
    <w:rsid w:val="00FD7E6B"/>
    <w:rsid w:val="00FE0C0E"/>
    <w:rsid w:val="00FE248E"/>
    <w:rsid w:val="00FE4110"/>
    <w:rsid w:val="00FE522C"/>
    <w:rsid w:val="00FE5BDB"/>
    <w:rsid w:val="00FE67DA"/>
    <w:rsid w:val="00FE78FD"/>
    <w:rsid w:val="00FE7F16"/>
    <w:rsid w:val="00FF020F"/>
    <w:rsid w:val="00FF0A91"/>
    <w:rsid w:val="00FF0C2D"/>
    <w:rsid w:val="00FF3561"/>
    <w:rsid w:val="00FF357B"/>
    <w:rsid w:val="00FF3614"/>
    <w:rsid w:val="00FF7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toc 1" w:uiPriority="39"/>
    <w:lsdException w:name="toc 2" w:uiPriority="39"/>
    <w:lsdException w:name="toc 7" w:uiPriority="99"/>
    <w:lsdException w:name="caption" w:semiHidden="1" w:unhideWhenUsed="1" w:qFormat="1"/>
    <w:lsdException w:name="Body Text"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1839"/>
    <w:pPr>
      <w:overflowPunct w:val="0"/>
      <w:autoSpaceDE w:val="0"/>
      <w:autoSpaceDN w:val="0"/>
      <w:adjustRightInd w:val="0"/>
      <w:spacing w:after="240"/>
      <w:jc w:val="both"/>
      <w:textAlignment w:val="baseline"/>
    </w:pPr>
    <w:rPr>
      <w:sz w:val="24"/>
      <w:lang w:eastAsia="en-US"/>
    </w:rPr>
  </w:style>
  <w:style w:type="paragraph" w:styleId="Heading1">
    <w:name w:val="heading 1"/>
    <w:basedOn w:val="BodyText"/>
    <w:next w:val="BodyText"/>
    <w:uiPriority w:val="1"/>
    <w:qFormat/>
    <w:rsid w:val="002C0395"/>
    <w:pPr>
      <w:keepNext/>
      <w:keepLines/>
      <w:numPr>
        <w:numId w:val="1"/>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0"/>
    </w:pPr>
    <w:rPr>
      <w:b/>
      <w:bCs/>
      <w:caps/>
      <w:szCs w:val="32"/>
    </w:rPr>
  </w:style>
  <w:style w:type="paragraph" w:styleId="Heading2">
    <w:name w:val="heading 2"/>
    <w:basedOn w:val="BodyText"/>
    <w:next w:val="BodyText"/>
    <w:uiPriority w:val="1"/>
    <w:qFormat/>
    <w:rsid w:val="00501418"/>
    <w:pPr>
      <w:keepNext/>
      <w:keepLines/>
      <w:numPr>
        <w:ilvl w:val="1"/>
        <w:numId w:val="1"/>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outlineLvl w:val="1"/>
    </w:pPr>
    <w:rPr>
      <w:bCs/>
      <w:iCs/>
      <w:szCs w:val="28"/>
    </w:rPr>
  </w:style>
  <w:style w:type="paragraph" w:styleId="Heading3">
    <w:name w:val="heading 3"/>
    <w:basedOn w:val="BodyText"/>
    <w:next w:val="BodyText"/>
    <w:uiPriority w:val="1"/>
    <w:qFormat/>
    <w:rsid w:val="002C0395"/>
    <w:pPr>
      <w:keepNext/>
      <w:keepLines/>
      <w:numPr>
        <w:ilvl w:val="2"/>
        <w:numId w:val="1"/>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outlineLvl w:val="2"/>
    </w:pPr>
    <w:rPr>
      <w:b/>
      <w:bCs/>
      <w:i/>
      <w:szCs w:val="26"/>
    </w:rPr>
  </w:style>
  <w:style w:type="paragraph" w:styleId="Heading4">
    <w:name w:val="heading 4"/>
    <w:basedOn w:val="BodyText"/>
    <w:next w:val="BodyText"/>
    <w:uiPriority w:val="1"/>
    <w:qFormat/>
    <w:rsid w:val="002C0395"/>
    <w:pPr>
      <w:numPr>
        <w:ilvl w:val="3"/>
        <w:numId w:val="1"/>
      </w:numPr>
      <w:tabs>
        <w:tab w:val="clear" w:pos="720"/>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outlineLvl w:val="3"/>
    </w:pPr>
    <w:rPr>
      <w:bCs/>
      <w:i/>
      <w:szCs w:val="28"/>
    </w:rPr>
  </w:style>
  <w:style w:type="paragraph" w:styleId="Heading5">
    <w:name w:val="heading 5"/>
    <w:basedOn w:val="Normal"/>
    <w:next w:val="Normal"/>
    <w:uiPriority w:val="1"/>
    <w:rsid w:val="002C0395"/>
    <w:pPr>
      <w:spacing w:before="240" w:after="60"/>
      <w:outlineLvl w:val="4"/>
    </w:pPr>
    <w:rPr>
      <w:b/>
      <w:bCs/>
      <w:i/>
      <w:iCs/>
      <w:sz w:val="26"/>
      <w:szCs w:val="26"/>
    </w:rPr>
  </w:style>
  <w:style w:type="paragraph" w:styleId="Heading6">
    <w:name w:val="heading 6"/>
    <w:basedOn w:val="Normal"/>
    <w:next w:val="Normal"/>
    <w:uiPriority w:val="1"/>
    <w:rsid w:val="002C0395"/>
    <w:pPr>
      <w:spacing w:before="240" w:after="60"/>
      <w:outlineLvl w:val="5"/>
    </w:pPr>
    <w:rPr>
      <w:b/>
      <w:bCs/>
      <w:szCs w:val="22"/>
    </w:rPr>
  </w:style>
  <w:style w:type="paragraph" w:styleId="Heading7">
    <w:name w:val="heading 7"/>
    <w:basedOn w:val="Normal"/>
    <w:next w:val="Normal"/>
    <w:uiPriority w:val="1"/>
    <w:rsid w:val="002C0395"/>
    <w:pPr>
      <w:spacing w:before="240" w:after="60"/>
      <w:outlineLvl w:val="6"/>
    </w:pPr>
    <w:rPr>
      <w:szCs w:val="24"/>
    </w:rPr>
  </w:style>
  <w:style w:type="paragraph" w:styleId="Heading8">
    <w:name w:val="heading 8"/>
    <w:basedOn w:val="Normal"/>
    <w:next w:val="Normal"/>
    <w:uiPriority w:val="1"/>
    <w:rsid w:val="002C0395"/>
    <w:pPr>
      <w:spacing w:before="240" w:after="60"/>
      <w:outlineLvl w:val="7"/>
    </w:pPr>
    <w:rPr>
      <w:i/>
      <w:iCs/>
      <w:szCs w:val="24"/>
    </w:rPr>
  </w:style>
  <w:style w:type="paragraph" w:styleId="Heading9">
    <w:name w:val="heading 9"/>
    <w:basedOn w:val="Normal"/>
    <w:next w:val="Normal"/>
    <w:uiPriority w:val="1"/>
    <w:rsid w:val="002C0395"/>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2C0395"/>
    <w:pPr>
      <w:spacing w:after="240"/>
      <w:jc w:val="both"/>
    </w:pPr>
    <w:rPr>
      <w:sz w:val="24"/>
      <w:lang w:val="en-US" w:eastAsia="en-US"/>
    </w:rPr>
  </w:style>
  <w:style w:type="paragraph" w:styleId="Footer">
    <w:name w:val="footer"/>
    <w:basedOn w:val="BodyText"/>
    <w:next w:val="BodyText"/>
    <w:rsid w:val="002C0395"/>
    <w:rPr>
      <w:sz w:val="22"/>
    </w:rPr>
  </w:style>
  <w:style w:type="paragraph" w:styleId="Title">
    <w:name w:val="Title"/>
    <w:basedOn w:val="Normal"/>
    <w:next w:val="BodyText"/>
    <w:rsid w:val="002C0395"/>
    <w:pPr>
      <w:jc w:val="right"/>
    </w:pPr>
    <w:rPr>
      <w:b/>
      <w:bCs/>
      <w:i/>
      <w:sz w:val="56"/>
      <w:szCs w:val="32"/>
    </w:rPr>
  </w:style>
  <w:style w:type="paragraph" w:customStyle="1" w:styleId="IAEAEquation">
    <w:name w:val="IAEA Equation"/>
    <w:basedOn w:val="BodyText"/>
    <w:next w:val="BodyText"/>
    <w:rsid w:val="002C0395"/>
    <w:pPr>
      <w:jc w:val="right"/>
    </w:pPr>
    <w:rPr>
      <w:iCs/>
    </w:rPr>
  </w:style>
  <w:style w:type="paragraph" w:customStyle="1" w:styleId="IAEATableFootnote">
    <w:name w:val="IAEA Table Footnote"/>
    <w:basedOn w:val="BodyText"/>
    <w:next w:val="BodyText"/>
    <w:rsid w:val="002C0395"/>
    <w:pPr>
      <w:spacing w:before="60" w:after="0"/>
      <w:jc w:val="left"/>
    </w:pPr>
    <w:rPr>
      <w:sz w:val="22"/>
    </w:rPr>
  </w:style>
  <w:style w:type="paragraph" w:customStyle="1" w:styleId="IAEAFigureCaption">
    <w:name w:val="IAEA Figure Caption"/>
    <w:basedOn w:val="BodyText"/>
    <w:next w:val="BodyText"/>
    <w:rsid w:val="002C0395"/>
    <w:pPr>
      <w:keepNext/>
      <w:keepLines/>
      <w:jc w:val="center"/>
    </w:pPr>
    <w:rPr>
      <w:i/>
    </w:rPr>
  </w:style>
  <w:style w:type="paragraph" w:customStyle="1" w:styleId="IAEAReferenceText">
    <w:name w:val="IAEA Reference Text"/>
    <w:basedOn w:val="BodyText"/>
    <w:next w:val="BodyText"/>
    <w:rsid w:val="002C0395"/>
    <w:pPr>
      <w:spacing w:after="0"/>
    </w:pPr>
  </w:style>
  <w:style w:type="paragraph" w:customStyle="1" w:styleId="AnnexHeading1">
    <w:name w:val="Annex Heading 1"/>
    <w:basedOn w:val="BodyText"/>
    <w:next w:val="BodyText"/>
    <w:uiPriority w:val="3"/>
    <w:qFormat/>
    <w:rsid w:val="002C0395"/>
    <w:pPr>
      <w:keepNext/>
      <w:keepLines/>
      <w:pageBreakBefore/>
      <w:numPr>
        <w:numId w:val="3"/>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nnexHeading2">
    <w:name w:val="Annex Heading 2"/>
    <w:basedOn w:val="BodyText"/>
    <w:next w:val="BodyText"/>
    <w:uiPriority w:val="3"/>
    <w:qFormat/>
    <w:rsid w:val="002C0395"/>
    <w:pPr>
      <w:keepNext/>
      <w:keepLines/>
      <w:numPr>
        <w:ilvl w:val="1"/>
        <w:numId w:val="3"/>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nnexHeading3">
    <w:name w:val="Annex Heading 3"/>
    <w:basedOn w:val="BodyText"/>
    <w:next w:val="BodyText"/>
    <w:uiPriority w:val="3"/>
    <w:qFormat/>
    <w:rsid w:val="002C0395"/>
    <w:pPr>
      <w:keepNext/>
      <w:keepLines/>
      <w:numPr>
        <w:ilvl w:val="2"/>
        <w:numId w:val="3"/>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nnexHeading4">
    <w:name w:val="Annex Heading 4"/>
    <w:basedOn w:val="BodyText"/>
    <w:next w:val="BodyText"/>
    <w:uiPriority w:val="3"/>
    <w:qFormat/>
    <w:rsid w:val="002C0395"/>
    <w:pPr>
      <w:numPr>
        <w:ilvl w:val="3"/>
        <w:numId w:val="3"/>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Subtitle">
    <w:name w:val="Subtitle"/>
    <w:basedOn w:val="Normal"/>
    <w:next w:val="BodyText"/>
    <w:rsid w:val="002C0395"/>
    <w:pPr>
      <w:jc w:val="right"/>
    </w:pPr>
    <w:rPr>
      <w:b/>
      <w:i/>
      <w:sz w:val="32"/>
      <w:szCs w:val="24"/>
    </w:rPr>
  </w:style>
  <w:style w:type="paragraph" w:customStyle="1" w:styleId="Contents">
    <w:name w:val="Contents"/>
    <w:basedOn w:val="BodyText"/>
    <w:next w:val="BodyText"/>
    <w:rsid w:val="002C0395"/>
    <w:pPr>
      <w:pageBreakBefore/>
      <w:jc w:val="center"/>
    </w:pPr>
    <w:rPr>
      <w:b/>
      <w:caps/>
    </w:rPr>
  </w:style>
  <w:style w:type="paragraph" w:customStyle="1" w:styleId="Heading">
    <w:name w:val="Heading"/>
    <w:basedOn w:val="BodyText"/>
    <w:next w:val="BodyText"/>
    <w:uiPriority w:val="3"/>
    <w:qFormat/>
    <w:rsid w:val="002C0395"/>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rsid w:val="002C0395"/>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rsid w:val="002C0395"/>
    <w:pPr>
      <w:pageBreakBefore/>
      <w:jc w:val="center"/>
    </w:pPr>
    <w:rPr>
      <w:b/>
      <w:caps/>
    </w:rPr>
  </w:style>
  <w:style w:type="paragraph" w:customStyle="1" w:styleId="IAEATableHeading">
    <w:name w:val="IAEA Table Heading"/>
    <w:basedOn w:val="BodyText"/>
    <w:next w:val="BodyText"/>
    <w:rsid w:val="002C0395"/>
    <w:pPr>
      <w:keepNext/>
      <w:keepLines/>
      <w:spacing w:after="120"/>
      <w:jc w:val="left"/>
    </w:pPr>
  </w:style>
  <w:style w:type="paragraph" w:styleId="TOC1">
    <w:name w:val="toc 1"/>
    <w:basedOn w:val="BodyText"/>
    <w:next w:val="Normal"/>
    <w:uiPriority w:val="39"/>
    <w:rsid w:val="002C0395"/>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uiPriority w:val="39"/>
    <w:rsid w:val="002C0395"/>
    <w:pPr>
      <w:tabs>
        <w:tab w:val="left" w:pos="1418"/>
        <w:tab w:val="right" w:leader="dot" w:pos="9072"/>
      </w:tabs>
      <w:overflowPunct w:val="0"/>
      <w:autoSpaceDE w:val="0"/>
      <w:autoSpaceDN w:val="0"/>
      <w:adjustRightInd w:val="0"/>
      <w:spacing w:after="0"/>
      <w:ind w:left="1418" w:right="567" w:hanging="851"/>
      <w:jc w:val="left"/>
      <w:textAlignment w:val="baseline"/>
    </w:pPr>
    <w:rPr>
      <w:bCs/>
      <w:noProof/>
      <w:szCs w:val="26"/>
      <w:lang w:val="en-GB"/>
    </w:rPr>
  </w:style>
  <w:style w:type="paragraph" w:styleId="TOC3">
    <w:name w:val="toc 3"/>
    <w:basedOn w:val="BodyText"/>
    <w:next w:val="BodyText"/>
    <w:semiHidden/>
    <w:rsid w:val="002C0395"/>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BodyTextList">
    <w:name w:val="Body Text List"/>
    <w:basedOn w:val="BodyText"/>
    <w:rsid w:val="002C0395"/>
    <w:pPr>
      <w:overflowPunct w:val="0"/>
      <w:autoSpaceDE w:val="0"/>
      <w:autoSpaceDN w:val="0"/>
      <w:adjustRightInd w:val="0"/>
      <w:spacing w:after="0"/>
      <w:textAlignment w:val="baseline"/>
    </w:pPr>
    <w:rPr>
      <w:noProof/>
      <w:lang w:val="en-GB"/>
    </w:rPr>
  </w:style>
  <w:style w:type="paragraph" w:customStyle="1" w:styleId="AppendixHeading1">
    <w:name w:val="Appendix Heading 1"/>
    <w:basedOn w:val="BodyText"/>
    <w:next w:val="BodyText"/>
    <w:uiPriority w:val="2"/>
    <w:qFormat/>
    <w:rsid w:val="002C0395"/>
    <w:pPr>
      <w:keepNext/>
      <w:keepLines/>
      <w:pageBreakBefore/>
      <w:numPr>
        <w:numId w:val="2"/>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ppendixHeading2">
    <w:name w:val="Appendix Heading 2"/>
    <w:basedOn w:val="BodyText"/>
    <w:next w:val="BodyText"/>
    <w:uiPriority w:val="2"/>
    <w:qFormat/>
    <w:rsid w:val="002C0395"/>
    <w:pPr>
      <w:keepNext/>
      <w:keepLines/>
      <w:numPr>
        <w:ilvl w:val="1"/>
        <w:numId w:val="2"/>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ppendixHeading3">
    <w:name w:val="Appendix Heading 3"/>
    <w:basedOn w:val="BodyText"/>
    <w:next w:val="BodyText"/>
    <w:uiPriority w:val="2"/>
    <w:qFormat/>
    <w:rsid w:val="002C0395"/>
    <w:pPr>
      <w:keepNext/>
      <w:keepLines/>
      <w:numPr>
        <w:ilvl w:val="2"/>
        <w:numId w:val="2"/>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ppendixHeading4">
    <w:name w:val="Appendix Heading 4"/>
    <w:basedOn w:val="BodyText"/>
    <w:next w:val="BodyText"/>
    <w:uiPriority w:val="2"/>
    <w:qFormat/>
    <w:rsid w:val="002C0395"/>
    <w:pPr>
      <w:numPr>
        <w:ilvl w:val="3"/>
        <w:numId w:val="2"/>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semiHidden/>
    <w:rsid w:val="002C0395"/>
    <w:pPr>
      <w:tabs>
        <w:tab w:val="left" w:pos="1418"/>
        <w:tab w:val="right" w:leader="dot" w:pos="9072"/>
      </w:tabs>
      <w:spacing w:before="240" w:after="0"/>
      <w:ind w:left="1418" w:right="567" w:hanging="1418"/>
      <w:jc w:val="left"/>
    </w:pPr>
    <w:rPr>
      <w:caps/>
    </w:rPr>
  </w:style>
  <w:style w:type="paragraph" w:styleId="TOC5">
    <w:name w:val="toc 5"/>
    <w:basedOn w:val="BodyText"/>
    <w:next w:val="BodyText"/>
    <w:semiHidden/>
    <w:rsid w:val="002C0395"/>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semiHidden/>
    <w:rsid w:val="002C0395"/>
    <w:pPr>
      <w:spacing w:before="240" w:after="0"/>
      <w:ind w:right="567"/>
      <w:jc w:val="left"/>
    </w:pPr>
    <w:rPr>
      <w:caps/>
    </w:rPr>
  </w:style>
  <w:style w:type="paragraph" w:styleId="TOC7">
    <w:name w:val="toc 7"/>
    <w:basedOn w:val="Normal"/>
    <w:next w:val="Normal"/>
    <w:autoRedefine/>
    <w:uiPriority w:val="99"/>
    <w:semiHidden/>
    <w:rsid w:val="002C0395"/>
    <w:pPr>
      <w:ind w:left="1320"/>
    </w:pPr>
  </w:style>
  <w:style w:type="paragraph" w:styleId="TOC8">
    <w:name w:val="toc 8"/>
    <w:basedOn w:val="Normal"/>
    <w:next w:val="Normal"/>
    <w:autoRedefine/>
    <w:semiHidden/>
    <w:rsid w:val="002C0395"/>
    <w:pPr>
      <w:ind w:left="1540"/>
    </w:pPr>
  </w:style>
  <w:style w:type="paragraph" w:styleId="TOC9">
    <w:name w:val="toc 9"/>
    <w:basedOn w:val="Normal"/>
    <w:next w:val="Normal"/>
    <w:autoRedefine/>
    <w:semiHidden/>
    <w:rsid w:val="002C0395"/>
    <w:pPr>
      <w:ind w:left="1760"/>
    </w:pPr>
  </w:style>
  <w:style w:type="character" w:styleId="Hyperlink">
    <w:name w:val="Hyperlink"/>
    <w:basedOn w:val="DefaultParagraphFont"/>
    <w:uiPriority w:val="99"/>
    <w:rsid w:val="002C0395"/>
    <w:rPr>
      <w:color w:val="0000FF"/>
      <w:u w:val="single"/>
    </w:rPr>
  </w:style>
  <w:style w:type="paragraph" w:styleId="DocumentMap">
    <w:name w:val="Document Map"/>
    <w:basedOn w:val="Normal"/>
    <w:semiHidden/>
    <w:rsid w:val="002C0395"/>
    <w:pPr>
      <w:shd w:val="clear" w:color="auto" w:fill="000080"/>
    </w:pPr>
    <w:rPr>
      <w:rFonts w:ascii="Tahoma" w:hAnsi="Tahoma" w:cs="Tahoma"/>
    </w:rPr>
  </w:style>
  <w:style w:type="paragraph" w:styleId="EndnoteText">
    <w:name w:val="endnote text"/>
    <w:basedOn w:val="Normal"/>
    <w:link w:val="EndnoteTextChar"/>
    <w:rsid w:val="00AD3343"/>
    <w:pPr>
      <w:overflowPunct/>
      <w:autoSpaceDE/>
      <w:autoSpaceDN/>
      <w:adjustRightInd/>
      <w:spacing w:after="0"/>
      <w:jc w:val="left"/>
      <w:textAlignment w:val="auto"/>
    </w:pPr>
    <w:rPr>
      <w:rFonts w:eastAsia="MS Mincho"/>
      <w:sz w:val="20"/>
      <w:lang w:eastAsia="en-GB"/>
    </w:rPr>
  </w:style>
  <w:style w:type="character" w:customStyle="1" w:styleId="EndnoteTextChar">
    <w:name w:val="Endnote Text Char"/>
    <w:basedOn w:val="DefaultParagraphFont"/>
    <w:link w:val="EndnoteText"/>
    <w:rsid w:val="00AD3343"/>
    <w:rPr>
      <w:rFonts w:eastAsia="MS Mincho"/>
    </w:rPr>
  </w:style>
  <w:style w:type="character" w:styleId="EndnoteReference">
    <w:name w:val="endnote reference"/>
    <w:rsid w:val="00AD3343"/>
    <w:rPr>
      <w:vertAlign w:val="superscript"/>
    </w:rPr>
  </w:style>
  <w:style w:type="character" w:styleId="CommentReference">
    <w:name w:val="annotation reference"/>
    <w:rsid w:val="00AD3343"/>
    <w:rPr>
      <w:sz w:val="16"/>
      <w:szCs w:val="16"/>
    </w:rPr>
  </w:style>
  <w:style w:type="paragraph" w:styleId="CommentText">
    <w:name w:val="annotation text"/>
    <w:aliases w:val=" Char1,Char1"/>
    <w:basedOn w:val="Normal"/>
    <w:link w:val="CommentTextChar"/>
    <w:rsid w:val="00AD3343"/>
    <w:pPr>
      <w:overflowPunct/>
      <w:autoSpaceDE/>
      <w:autoSpaceDN/>
      <w:adjustRightInd/>
      <w:spacing w:after="0"/>
      <w:jc w:val="left"/>
      <w:textAlignment w:val="auto"/>
    </w:pPr>
    <w:rPr>
      <w:rFonts w:eastAsia="MS Mincho"/>
      <w:sz w:val="20"/>
      <w:lang w:eastAsia="en-GB"/>
    </w:rPr>
  </w:style>
  <w:style w:type="character" w:customStyle="1" w:styleId="CommentTextChar">
    <w:name w:val="Comment Text Char"/>
    <w:aliases w:val=" Char1 Char1,Char1 Char"/>
    <w:basedOn w:val="DefaultParagraphFont"/>
    <w:link w:val="CommentText"/>
    <w:rsid w:val="00AD3343"/>
    <w:rPr>
      <w:rFonts w:eastAsia="MS Mincho"/>
    </w:rPr>
  </w:style>
  <w:style w:type="paragraph" w:styleId="BalloonText">
    <w:name w:val="Balloon Text"/>
    <w:basedOn w:val="Normal"/>
    <w:link w:val="BalloonTextChar"/>
    <w:rsid w:val="00AD3343"/>
    <w:pPr>
      <w:spacing w:after="0"/>
    </w:pPr>
    <w:rPr>
      <w:rFonts w:ascii="Tahoma" w:hAnsi="Tahoma" w:cs="Tahoma"/>
      <w:sz w:val="16"/>
      <w:szCs w:val="16"/>
    </w:rPr>
  </w:style>
  <w:style w:type="character" w:customStyle="1" w:styleId="BalloonTextChar">
    <w:name w:val="Balloon Text Char"/>
    <w:basedOn w:val="DefaultParagraphFont"/>
    <w:link w:val="BalloonText"/>
    <w:rsid w:val="00AD3343"/>
    <w:rPr>
      <w:rFonts w:ascii="Tahoma" w:hAnsi="Tahoma" w:cs="Tahoma"/>
      <w:sz w:val="16"/>
      <w:szCs w:val="16"/>
      <w:lang w:eastAsia="en-US"/>
    </w:rPr>
  </w:style>
  <w:style w:type="paragraph" w:styleId="ListParagraph">
    <w:name w:val="List Paragraph"/>
    <w:basedOn w:val="Normal"/>
    <w:uiPriority w:val="99"/>
    <w:qFormat/>
    <w:rsid w:val="00C0738C"/>
    <w:pPr>
      <w:overflowPunct/>
      <w:autoSpaceDE/>
      <w:autoSpaceDN/>
      <w:adjustRightInd/>
      <w:spacing w:after="0"/>
      <w:ind w:left="720"/>
      <w:contextualSpacing/>
      <w:jc w:val="left"/>
      <w:textAlignment w:val="auto"/>
    </w:pPr>
    <w:rPr>
      <w:rFonts w:eastAsia="MS Mincho"/>
      <w:szCs w:val="24"/>
      <w:lang w:eastAsia="en-GB"/>
    </w:rPr>
  </w:style>
  <w:style w:type="paragraph" w:styleId="FootnoteText">
    <w:name w:val="footnote text"/>
    <w:basedOn w:val="Normal"/>
    <w:link w:val="FootnoteTextChar"/>
    <w:rsid w:val="00C0738C"/>
    <w:pPr>
      <w:overflowPunct/>
      <w:autoSpaceDE/>
      <w:autoSpaceDN/>
      <w:adjustRightInd/>
      <w:spacing w:after="0"/>
      <w:jc w:val="left"/>
      <w:textAlignment w:val="auto"/>
    </w:pPr>
    <w:rPr>
      <w:rFonts w:eastAsia="MS Mincho"/>
      <w:sz w:val="20"/>
      <w:lang w:eastAsia="en-GB"/>
    </w:rPr>
  </w:style>
  <w:style w:type="character" w:customStyle="1" w:styleId="FootnoteTextChar">
    <w:name w:val="Footnote Text Char"/>
    <w:basedOn w:val="DefaultParagraphFont"/>
    <w:link w:val="FootnoteText"/>
    <w:uiPriority w:val="99"/>
    <w:rsid w:val="00C0738C"/>
    <w:rPr>
      <w:rFonts w:eastAsia="MS Mincho"/>
    </w:rPr>
  </w:style>
  <w:style w:type="character" w:styleId="FootnoteReference">
    <w:name w:val="footnote reference"/>
    <w:rsid w:val="00C0738C"/>
    <w:rPr>
      <w:vertAlign w:val="superscript"/>
    </w:rPr>
  </w:style>
  <w:style w:type="paragraph" w:customStyle="1" w:styleId="Default">
    <w:name w:val="Default"/>
    <w:rsid w:val="00C0738C"/>
    <w:pPr>
      <w:autoSpaceDE w:val="0"/>
      <w:autoSpaceDN w:val="0"/>
      <w:adjustRightInd w:val="0"/>
    </w:pPr>
    <w:rPr>
      <w:rFonts w:eastAsia="MS Mincho"/>
      <w:color w:val="000000"/>
      <w:sz w:val="24"/>
      <w:szCs w:val="24"/>
      <w:lang w:val="en-US" w:eastAsia="ja-JP"/>
    </w:rPr>
  </w:style>
  <w:style w:type="table" w:styleId="TableGrid">
    <w:name w:val="Table Grid"/>
    <w:basedOn w:val="TableNormal"/>
    <w:uiPriority w:val="59"/>
    <w:rsid w:val="00E835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textheading">
    <w:name w:val="glossary text heading"/>
    <w:basedOn w:val="Normal"/>
    <w:rsid w:val="00893E87"/>
    <w:pPr>
      <w:keepNext/>
      <w:keepLines/>
      <w:suppressAutoHyphens/>
      <w:overflowPunct/>
      <w:autoSpaceDE/>
      <w:autoSpaceDN/>
      <w:adjustRightInd/>
      <w:spacing w:after="0"/>
      <w:textAlignment w:val="auto"/>
    </w:pPr>
    <w:rPr>
      <w:sz w:val="22"/>
      <w:lang w:val="en-US" w:eastAsia="ar-SA"/>
    </w:rPr>
  </w:style>
  <w:style w:type="paragraph" w:styleId="CommentSubject">
    <w:name w:val="annotation subject"/>
    <w:basedOn w:val="CommentText"/>
    <w:next w:val="CommentText"/>
    <w:link w:val="CommentSubjectChar"/>
    <w:rsid w:val="00C807B8"/>
    <w:pPr>
      <w:overflowPunct w:val="0"/>
      <w:autoSpaceDE w:val="0"/>
      <w:autoSpaceDN w:val="0"/>
      <w:adjustRightInd w:val="0"/>
      <w:spacing w:after="240"/>
      <w:jc w:val="both"/>
      <w:textAlignment w:val="baseline"/>
    </w:pPr>
    <w:rPr>
      <w:rFonts w:eastAsia="Times New Roman"/>
      <w:b/>
      <w:bCs/>
      <w:lang w:eastAsia="en-US"/>
    </w:rPr>
  </w:style>
  <w:style w:type="character" w:customStyle="1" w:styleId="CommentSubjectChar">
    <w:name w:val="Comment Subject Char"/>
    <w:basedOn w:val="CommentTextChar"/>
    <w:link w:val="CommentSubject"/>
    <w:rsid w:val="00C807B8"/>
    <w:rPr>
      <w:rFonts w:eastAsia="MS Mincho"/>
      <w:b/>
      <w:bCs/>
      <w:lang w:eastAsia="en-US"/>
    </w:rPr>
  </w:style>
  <w:style w:type="paragraph" w:styleId="Caption">
    <w:name w:val="caption"/>
    <w:next w:val="Normal"/>
    <w:qFormat/>
    <w:rsid w:val="00ED4085"/>
    <w:pPr>
      <w:spacing w:after="85" w:line="260" w:lineRule="atLeast"/>
      <w:ind w:firstLine="482"/>
    </w:pPr>
    <w:rPr>
      <w:bCs/>
      <w:sz w:val="18"/>
      <w:szCs w:val="22"/>
      <w:lang w:val="en-US" w:eastAsia="en-US"/>
    </w:rPr>
  </w:style>
  <w:style w:type="paragraph" w:styleId="Revision">
    <w:name w:val="Revision"/>
    <w:hidden/>
    <w:uiPriority w:val="99"/>
    <w:semiHidden/>
    <w:rsid w:val="00423D48"/>
    <w:rPr>
      <w:sz w:val="24"/>
      <w:lang w:eastAsia="en-US"/>
    </w:rPr>
  </w:style>
  <w:style w:type="character" w:styleId="Emphasis">
    <w:name w:val="Emphasis"/>
    <w:basedOn w:val="DefaultParagraphFont"/>
    <w:uiPriority w:val="20"/>
    <w:qFormat/>
    <w:rsid w:val="00F560C8"/>
    <w:rPr>
      <w:b/>
      <w:bCs/>
      <w:i w:val="0"/>
      <w:iCs w:val="0"/>
    </w:rPr>
  </w:style>
  <w:style w:type="character" w:customStyle="1" w:styleId="st">
    <w:name w:val="st"/>
    <w:basedOn w:val="DefaultParagraphFont"/>
    <w:rsid w:val="00F560C8"/>
  </w:style>
  <w:style w:type="paragraph" w:customStyle="1" w:styleId="ListNumbered">
    <w:name w:val="List Numbered"/>
    <w:rsid w:val="0026124D"/>
    <w:pPr>
      <w:numPr>
        <w:numId w:val="5"/>
      </w:numPr>
      <w:spacing w:line="260" w:lineRule="atLeast"/>
      <w:ind w:right="1134"/>
    </w:pPr>
    <w:rPr>
      <w:sz w:val="22"/>
      <w:szCs w:val="22"/>
      <w:lang w:eastAsia="en-US"/>
    </w:rPr>
  </w:style>
  <w:style w:type="paragraph" w:customStyle="1" w:styleId="SSbodytext">
    <w:name w:val="SSbodytext"/>
    <w:basedOn w:val="BodyText"/>
    <w:rsid w:val="0026124D"/>
    <w:pPr>
      <w:widowControl w:val="0"/>
      <w:tabs>
        <w:tab w:val="num" w:pos="567"/>
      </w:tabs>
      <w:spacing w:before="120" w:line="360" w:lineRule="auto"/>
    </w:pPr>
    <w:rPr>
      <w:rFonts w:eastAsia="MS Mincho"/>
      <w:sz w:val="22"/>
      <w:szCs w:val="22"/>
      <w:lang w:val="en-GB" w:eastAsia="en-GB"/>
    </w:rPr>
  </w:style>
  <w:style w:type="character" w:customStyle="1" w:styleId="CommentTextChar1">
    <w:name w:val="Comment Text Char1"/>
    <w:aliases w:val=" Char1 Char,Char1 Char1"/>
    <w:rsid w:val="0026124D"/>
    <w:rPr>
      <w:rFonts w:eastAsia="MS Mincho"/>
      <w:lang w:val="en-GB" w:eastAsia="en-US" w:bidi="ar-SA"/>
    </w:rPr>
  </w:style>
  <w:style w:type="paragraph" w:customStyle="1" w:styleId="CM1">
    <w:name w:val="CM1"/>
    <w:basedOn w:val="Default"/>
    <w:next w:val="Default"/>
    <w:uiPriority w:val="99"/>
    <w:rsid w:val="009A5A1D"/>
    <w:rPr>
      <w:rFonts w:ascii="EUAlbertina" w:eastAsia="Times New Roman" w:hAnsi="EUAlbertina"/>
      <w:color w:val="auto"/>
      <w:lang w:val="fi-FI" w:eastAsia="en-GB"/>
    </w:rPr>
  </w:style>
  <w:style w:type="paragraph" w:customStyle="1" w:styleId="CM3">
    <w:name w:val="CM3"/>
    <w:basedOn w:val="Default"/>
    <w:next w:val="Default"/>
    <w:uiPriority w:val="99"/>
    <w:rsid w:val="009A5A1D"/>
    <w:rPr>
      <w:rFonts w:ascii="EUAlbertina" w:eastAsia="Times New Roman" w:hAnsi="EUAlbertina"/>
      <w:color w:val="auto"/>
      <w:lang w:val="fi-FI" w:eastAsia="en-GB"/>
    </w:rPr>
  </w:style>
  <w:style w:type="character" w:styleId="Strong">
    <w:name w:val="Strong"/>
    <w:basedOn w:val="DefaultParagraphFont"/>
    <w:uiPriority w:val="22"/>
    <w:qFormat/>
    <w:rsid w:val="00B75F9F"/>
    <w:rPr>
      <w:b/>
      <w:bCs/>
    </w:rPr>
  </w:style>
  <w:style w:type="character" w:customStyle="1" w:styleId="BulletList">
    <w:name w:val="Bullet List"/>
    <w:basedOn w:val="DefaultParagraphFont"/>
    <w:rsid w:val="00AD4FC4"/>
  </w:style>
  <w:style w:type="paragraph" w:styleId="Header">
    <w:name w:val="header"/>
    <w:basedOn w:val="Normal"/>
    <w:link w:val="HeaderChar"/>
    <w:rsid w:val="00D07101"/>
    <w:pPr>
      <w:tabs>
        <w:tab w:val="center" w:pos="4513"/>
        <w:tab w:val="right" w:pos="9026"/>
      </w:tabs>
      <w:spacing w:after="0"/>
    </w:pPr>
  </w:style>
  <w:style w:type="character" w:customStyle="1" w:styleId="HeaderChar">
    <w:name w:val="Header Char"/>
    <w:basedOn w:val="DefaultParagraphFont"/>
    <w:link w:val="Header"/>
    <w:rsid w:val="00D07101"/>
    <w:rPr>
      <w:sz w:val="24"/>
      <w:lang w:eastAsia="en-US"/>
    </w:rPr>
  </w:style>
  <w:style w:type="character" w:customStyle="1" w:styleId="st1">
    <w:name w:val="st1"/>
    <w:basedOn w:val="DefaultParagraphFont"/>
    <w:rsid w:val="00145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toc 1" w:uiPriority="39"/>
    <w:lsdException w:name="toc 2" w:uiPriority="39"/>
    <w:lsdException w:name="toc 7" w:uiPriority="99"/>
    <w:lsdException w:name="caption" w:semiHidden="1" w:unhideWhenUsed="1" w:qFormat="1"/>
    <w:lsdException w:name="Body Text"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1839"/>
    <w:pPr>
      <w:overflowPunct w:val="0"/>
      <w:autoSpaceDE w:val="0"/>
      <w:autoSpaceDN w:val="0"/>
      <w:adjustRightInd w:val="0"/>
      <w:spacing w:after="240"/>
      <w:jc w:val="both"/>
      <w:textAlignment w:val="baseline"/>
    </w:pPr>
    <w:rPr>
      <w:sz w:val="24"/>
      <w:lang w:eastAsia="en-US"/>
    </w:rPr>
  </w:style>
  <w:style w:type="paragraph" w:styleId="Heading1">
    <w:name w:val="heading 1"/>
    <w:basedOn w:val="BodyText"/>
    <w:next w:val="BodyText"/>
    <w:uiPriority w:val="1"/>
    <w:qFormat/>
    <w:rsid w:val="002C0395"/>
    <w:pPr>
      <w:keepNext/>
      <w:keepLines/>
      <w:numPr>
        <w:numId w:val="1"/>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0"/>
    </w:pPr>
    <w:rPr>
      <w:b/>
      <w:bCs/>
      <w:caps/>
      <w:szCs w:val="32"/>
    </w:rPr>
  </w:style>
  <w:style w:type="paragraph" w:styleId="Heading2">
    <w:name w:val="heading 2"/>
    <w:basedOn w:val="BodyText"/>
    <w:next w:val="BodyText"/>
    <w:uiPriority w:val="1"/>
    <w:qFormat/>
    <w:rsid w:val="00501418"/>
    <w:pPr>
      <w:keepNext/>
      <w:keepLines/>
      <w:numPr>
        <w:ilvl w:val="1"/>
        <w:numId w:val="1"/>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outlineLvl w:val="1"/>
    </w:pPr>
    <w:rPr>
      <w:bCs/>
      <w:iCs/>
      <w:szCs w:val="28"/>
    </w:rPr>
  </w:style>
  <w:style w:type="paragraph" w:styleId="Heading3">
    <w:name w:val="heading 3"/>
    <w:basedOn w:val="BodyText"/>
    <w:next w:val="BodyText"/>
    <w:uiPriority w:val="1"/>
    <w:qFormat/>
    <w:rsid w:val="002C0395"/>
    <w:pPr>
      <w:keepNext/>
      <w:keepLines/>
      <w:numPr>
        <w:ilvl w:val="2"/>
        <w:numId w:val="1"/>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outlineLvl w:val="2"/>
    </w:pPr>
    <w:rPr>
      <w:b/>
      <w:bCs/>
      <w:i/>
      <w:szCs w:val="26"/>
    </w:rPr>
  </w:style>
  <w:style w:type="paragraph" w:styleId="Heading4">
    <w:name w:val="heading 4"/>
    <w:basedOn w:val="BodyText"/>
    <w:next w:val="BodyText"/>
    <w:uiPriority w:val="1"/>
    <w:qFormat/>
    <w:rsid w:val="002C0395"/>
    <w:pPr>
      <w:numPr>
        <w:ilvl w:val="3"/>
        <w:numId w:val="1"/>
      </w:numPr>
      <w:tabs>
        <w:tab w:val="clear" w:pos="720"/>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outlineLvl w:val="3"/>
    </w:pPr>
    <w:rPr>
      <w:bCs/>
      <w:i/>
      <w:szCs w:val="28"/>
    </w:rPr>
  </w:style>
  <w:style w:type="paragraph" w:styleId="Heading5">
    <w:name w:val="heading 5"/>
    <w:basedOn w:val="Normal"/>
    <w:next w:val="Normal"/>
    <w:uiPriority w:val="1"/>
    <w:rsid w:val="002C0395"/>
    <w:pPr>
      <w:spacing w:before="240" w:after="60"/>
      <w:outlineLvl w:val="4"/>
    </w:pPr>
    <w:rPr>
      <w:b/>
      <w:bCs/>
      <w:i/>
      <w:iCs/>
      <w:sz w:val="26"/>
      <w:szCs w:val="26"/>
    </w:rPr>
  </w:style>
  <w:style w:type="paragraph" w:styleId="Heading6">
    <w:name w:val="heading 6"/>
    <w:basedOn w:val="Normal"/>
    <w:next w:val="Normal"/>
    <w:uiPriority w:val="1"/>
    <w:rsid w:val="002C0395"/>
    <w:pPr>
      <w:spacing w:before="240" w:after="60"/>
      <w:outlineLvl w:val="5"/>
    </w:pPr>
    <w:rPr>
      <w:b/>
      <w:bCs/>
      <w:szCs w:val="22"/>
    </w:rPr>
  </w:style>
  <w:style w:type="paragraph" w:styleId="Heading7">
    <w:name w:val="heading 7"/>
    <w:basedOn w:val="Normal"/>
    <w:next w:val="Normal"/>
    <w:uiPriority w:val="1"/>
    <w:rsid w:val="002C0395"/>
    <w:pPr>
      <w:spacing w:before="240" w:after="60"/>
      <w:outlineLvl w:val="6"/>
    </w:pPr>
    <w:rPr>
      <w:szCs w:val="24"/>
    </w:rPr>
  </w:style>
  <w:style w:type="paragraph" w:styleId="Heading8">
    <w:name w:val="heading 8"/>
    <w:basedOn w:val="Normal"/>
    <w:next w:val="Normal"/>
    <w:uiPriority w:val="1"/>
    <w:rsid w:val="002C0395"/>
    <w:pPr>
      <w:spacing w:before="240" w:after="60"/>
      <w:outlineLvl w:val="7"/>
    </w:pPr>
    <w:rPr>
      <w:i/>
      <w:iCs/>
      <w:szCs w:val="24"/>
    </w:rPr>
  </w:style>
  <w:style w:type="paragraph" w:styleId="Heading9">
    <w:name w:val="heading 9"/>
    <w:basedOn w:val="Normal"/>
    <w:next w:val="Normal"/>
    <w:uiPriority w:val="1"/>
    <w:rsid w:val="002C0395"/>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2C0395"/>
    <w:pPr>
      <w:spacing w:after="240"/>
      <w:jc w:val="both"/>
    </w:pPr>
    <w:rPr>
      <w:sz w:val="24"/>
      <w:lang w:val="en-US" w:eastAsia="en-US"/>
    </w:rPr>
  </w:style>
  <w:style w:type="paragraph" w:styleId="Footer">
    <w:name w:val="footer"/>
    <w:basedOn w:val="BodyText"/>
    <w:next w:val="BodyText"/>
    <w:rsid w:val="002C0395"/>
    <w:rPr>
      <w:sz w:val="22"/>
    </w:rPr>
  </w:style>
  <w:style w:type="paragraph" w:styleId="Title">
    <w:name w:val="Title"/>
    <w:basedOn w:val="Normal"/>
    <w:next w:val="BodyText"/>
    <w:rsid w:val="002C0395"/>
    <w:pPr>
      <w:jc w:val="right"/>
    </w:pPr>
    <w:rPr>
      <w:b/>
      <w:bCs/>
      <w:i/>
      <w:sz w:val="56"/>
      <w:szCs w:val="32"/>
    </w:rPr>
  </w:style>
  <w:style w:type="paragraph" w:customStyle="1" w:styleId="IAEAEquation">
    <w:name w:val="IAEA Equation"/>
    <w:basedOn w:val="BodyText"/>
    <w:next w:val="BodyText"/>
    <w:rsid w:val="002C0395"/>
    <w:pPr>
      <w:jc w:val="right"/>
    </w:pPr>
    <w:rPr>
      <w:iCs/>
    </w:rPr>
  </w:style>
  <w:style w:type="paragraph" w:customStyle="1" w:styleId="IAEATableFootnote">
    <w:name w:val="IAEA Table Footnote"/>
    <w:basedOn w:val="BodyText"/>
    <w:next w:val="BodyText"/>
    <w:rsid w:val="002C0395"/>
    <w:pPr>
      <w:spacing w:before="60" w:after="0"/>
      <w:jc w:val="left"/>
    </w:pPr>
    <w:rPr>
      <w:sz w:val="22"/>
    </w:rPr>
  </w:style>
  <w:style w:type="paragraph" w:customStyle="1" w:styleId="IAEAFigureCaption">
    <w:name w:val="IAEA Figure Caption"/>
    <w:basedOn w:val="BodyText"/>
    <w:next w:val="BodyText"/>
    <w:rsid w:val="002C0395"/>
    <w:pPr>
      <w:keepNext/>
      <w:keepLines/>
      <w:jc w:val="center"/>
    </w:pPr>
    <w:rPr>
      <w:i/>
    </w:rPr>
  </w:style>
  <w:style w:type="paragraph" w:customStyle="1" w:styleId="IAEAReferenceText">
    <w:name w:val="IAEA Reference Text"/>
    <w:basedOn w:val="BodyText"/>
    <w:next w:val="BodyText"/>
    <w:rsid w:val="002C0395"/>
    <w:pPr>
      <w:spacing w:after="0"/>
    </w:pPr>
  </w:style>
  <w:style w:type="paragraph" w:customStyle="1" w:styleId="AnnexHeading1">
    <w:name w:val="Annex Heading 1"/>
    <w:basedOn w:val="BodyText"/>
    <w:next w:val="BodyText"/>
    <w:uiPriority w:val="3"/>
    <w:qFormat/>
    <w:rsid w:val="002C0395"/>
    <w:pPr>
      <w:keepNext/>
      <w:keepLines/>
      <w:pageBreakBefore/>
      <w:numPr>
        <w:numId w:val="3"/>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nnexHeading2">
    <w:name w:val="Annex Heading 2"/>
    <w:basedOn w:val="BodyText"/>
    <w:next w:val="BodyText"/>
    <w:uiPriority w:val="3"/>
    <w:qFormat/>
    <w:rsid w:val="002C0395"/>
    <w:pPr>
      <w:keepNext/>
      <w:keepLines/>
      <w:numPr>
        <w:ilvl w:val="1"/>
        <w:numId w:val="3"/>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nnexHeading3">
    <w:name w:val="Annex Heading 3"/>
    <w:basedOn w:val="BodyText"/>
    <w:next w:val="BodyText"/>
    <w:uiPriority w:val="3"/>
    <w:qFormat/>
    <w:rsid w:val="002C0395"/>
    <w:pPr>
      <w:keepNext/>
      <w:keepLines/>
      <w:numPr>
        <w:ilvl w:val="2"/>
        <w:numId w:val="3"/>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nnexHeading4">
    <w:name w:val="Annex Heading 4"/>
    <w:basedOn w:val="BodyText"/>
    <w:next w:val="BodyText"/>
    <w:uiPriority w:val="3"/>
    <w:qFormat/>
    <w:rsid w:val="002C0395"/>
    <w:pPr>
      <w:numPr>
        <w:ilvl w:val="3"/>
        <w:numId w:val="3"/>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Subtitle">
    <w:name w:val="Subtitle"/>
    <w:basedOn w:val="Normal"/>
    <w:next w:val="BodyText"/>
    <w:rsid w:val="002C0395"/>
    <w:pPr>
      <w:jc w:val="right"/>
    </w:pPr>
    <w:rPr>
      <w:b/>
      <w:i/>
      <w:sz w:val="32"/>
      <w:szCs w:val="24"/>
    </w:rPr>
  </w:style>
  <w:style w:type="paragraph" w:customStyle="1" w:styleId="Contents">
    <w:name w:val="Contents"/>
    <w:basedOn w:val="BodyText"/>
    <w:next w:val="BodyText"/>
    <w:rsid w:val="002C0395"/>
    <w:pPr>
      <w:pageBreakBefore/>
      <w:jc w:val="center"/>
    </w:pPr>
    <w:rPr>
      <w:b/>
      <w:caps/>
    </w:rPr>
  </w:style>
  <w:style w:type="paragraph" w:customStyle="1" w:styleId="Heading">
    <w:name w:val="Heading"/>
    <w:basedOn w:val="BodyText"/>
    <w:next w:val="BodyText"/>
    <w:uiPriority w:val="3"/>
    <w:qFormat/>
    <w:rsid w:val="002C0395"/>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rsid w:val="002C0395"/>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rsid w:val="002C0395"/>
    <w:pPr>
      <w:pageBreakBefore/>
      <w:jc w:val="center"/>
    </w:pPr>
    <w:rPr>
      <w:b/>
      <w:caps/>
    </w:rPr>
  </w:style>
  <w:style w:type="paragraph" w:customStyle="1" w:styleId="IAEATableHeading">
    <w:name w:val="IAEA Table Heading"/>
    <w:basedOn w:val="BodyText"/>
    <w:next w:val="BodyText"/>
    <w:rsid w:val="002C0395"/>
    <w:pPr>
      <w:keepNext/>
      <w:keepLines/>
      <w:spacing w:after="120"/>
      <w:jc w:val="left"/>
    </w:pPr>
  </w:style>
  <w:style w:type="paragraph" w:styleId="TOC1">
    <w:name w:val="toc 1"/>
    <w:basedOn w:val="BodyText"/>
    <w:next w:val="Normal"/>
    <w:uiPriority w:val="39"/>
    <w:rsid w:val="002C0395"/>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uiPriority w:val="39"/>
    <w:rsid w:val="002C0395"/>
    <w:pPr>
      <w:tabs>
        <w:tab w:val="left" w:pos="1418"/>
        <w:tab w:val="right" w:leader="dot" w:pos="9072"/>
      </w:tabs>
      <w:overflowPunct w:val="0"/>
      <w:autoSpaceDE w:val="0"/>
      <w:autoSpaceDN w:val="0"/>
      <w:adjustRightInd w:val="0"/>
      <w:spacing w:after="0"/>
      <w:ind w:left="1418" w:right="567" w:hanging="851"/>
      <w:jc w:val="left"/>
      <w:textAlignment w:val="baseline"/>
    </w:pPr>
    <w:rPr>
      <w:bCs/>
      <w:noProof/>
      <w:szCs w:val="26"/>
      <w:lang w:val="en-GB"/>
    </w:rPr>
  </w:style>
  <w:style w:type="paragraph" w:styleId="TOC3">
    <w:name w:val="toc 3"/>
    <w:basedOn w:val="BodyText"/>
    <w:next w:val="BodyText"/>
    <w:semiHidden/>
    <w:rsid w:val="002C0395"/>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BodyTextList">
    <w:name w:val="Body Text List"/>
    <w:basedOn w:val="BodyText"/>
    <w:rsid w:val="002C0395"/>
    <w:pPr>
      <w:overflowPunct w:val="0"/>
      <w:autoSpaceDE w:val="0"/>
      <w:autoSpaceDN w:val="0"/>
      <w:adjustRightInd w:val="0"/>
      <w:spacing w:after="0"/>
      <w:textAlignment w:val="baseline"/>
    </w:pPr>
    <w:rPr>
      <w:noProof/>
      <w:lang w:val="en-GB"/>
    </w:rPr>
  </w:style>
  <w:style w:type="paragraph" w:customStyle="1" w:styleId="AppendixHeading1">
    <w:name w:val="Appendix Heading 1"/>
    <w:basedOn w:val="BodyText"/>
    <w:next w:val="BodyText"/>
    <w:uiPriority w:val="2"/>
    <w:qFormat/>
    <w:rsid w:val="002C0395"/>
    <w:pPr>
      <w:keepNext/>
      <w:keepLines/>
      <w:pageBreakBefore/>
      <w:numPr>
        <w:numId w:val="2"/>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ppendixHeading2">
    <w:name w:val="Appendix Heading 2"/>
    <w:basedOn w:val="BodyText"/>
    <w:next w:val="BodyText"/>
    <w:uiPriority w:val="2"/>
    <w:qFormat/>
    <w:rsid w:val="002C0395"/>
    <w:pPr>
      <w:keepNext/>
      <w:keepLines/>
      <w:numPr>
        <w:ilvl w:val="1"/>
        <w:numId w:val="2"/>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b/>
    </w:rPr>
  </w:style>
  <w:style w:type="paragraph" w:customStyle="1" w:styleId="AppendixHeading3">
    <w:name w:val="Appendix Heading 3"/>
    <w:basedOn w:val="BodyText"/>
    <w:next w:val="BodyText"/>
    <w:uiPriority w:val="2"/>
    <w:qFormat/>
    <w:rsid w:val="002C0395"/>
    <w:pPr>
      <w:keepNext/>
      <w:keepLines/>
      <w:numPr>
        <w:ilvl w:val="2"/>
        <w:numId w:val="2"/>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i/>
    </w:rPr>
  </w:style>
  <w:style w:type="paragraph" w:customStyle="1" w:styleId="AppendixHeading4">
    <w:name w:val="Appendix Heading 4"/>
    <w:basedOn w:val="BodyText"/>
    <w:next w:val="BodyText"/>
    <w:uiPriority w:val="2"/>
    <w:qFormat/>
    <w:rsid w:val="002C0395"/>
    <w:pPr>
      <w:numPr>
        <w:ilvl w:val="3"/>
        <w:numId w:val="2"/>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semiHidden/>
    <w:rsid w:val="002C0395"/>
    <w:pPr>
      <w:tabs>
        <w:tab w:val="left" w:pos="1418"/>
        <w:tab w:val="right" w:leader="dot" w:pos="9072"/>
      </w:tabs>
      <w:spacing w:before="240" w:after="0"/>
      <w:ind w:left="1418" w:right="567" w:hanging="1418"/>
      <w:jc w:val="left"/>
    </w:pPr>
    <w:rPr>
      <w:caps/>
    </w:rPr>
  </w:style>
  <w:style w:type="paragraph" w:styleId="TOC5">
    <w:name w:val="toc 5"/>
    <w:basedOn w:val="BodyText"/>
    <w:next w:val="BodyText"/>
    <w:semiHidden/>
    <w:rsid w:val="002C0395"/>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semiHidden/>
    <w:rsid w:val="002C0395"/>
    <w:pPr>
      <w:spacing w:before="240" w:after="0"/>
      <w:ind w:right="567"/>
      <w:jc w:val="left"/>
    </w:pPr>
    <w:rPr>
      <w:caps/>
    </w:rPr>
  </w:style>
  <w:style w:type="paragraph" w:styleId="TOC7">
    <w:name w:val="toc 7"/>
    <w:basedOn w:val="Normal"/>
    <w:next w:val="Normal"/>
    <w:autoRedefine/>
    <w:uiPriority w:val="99"/>
    <w:semiHidden/>
    <w:rsid w:val="002C0395"/>
    <w:pPr>
      <w:ind w:left="1320"/>
    </w:pPr>
  </w:style>
  <w:style w:type="paragraph" w:styleId="TOC8">
    <w:name w:val="toc 8"/>
    <w:basedOn w:val="Normal"/>
    <w:next w:val="Normal"/>
    <w:autoRedefine/>
    <w:semiHidden/>
    <w:rsid w:val="002C0395"/>
    <w:pPr>
      <w:ind w:left="1540"/>
    </w:pPr>
  </w:style>
  <w:style w:type="paragraph" w:styleId="TOC9">
    <w:name w:val="toc 9"/>
    <w:basedOn w:val="Normal"/>
    <w:next w:val="Normal"/>
    <w:autoRedefine/>
    <w:semiHidden/>
    <w:rsid w:val="002C0395"/>
    <w:pPr>
      <w:ind w:left="1760"/>
    </w:pPr>
  </w:style>
  <w:style w:type="character" w:styleId="Hyperlink">
    <w:name w:val="Hyperlink"/>
    <w:basedOn w:val="DefaultParagraphFont"/>
    <w:uiPriority w:val="99"/>
    <w:rsid w:val="002C0395"/>
    <w:rPr>
      <w:color w:val="0000FF"/>
      <w:u w:val="single"/>
    </w:rPr>
  </w:style>
  <w:style w:type="paragraph" w:styleId="DocumentMap">
    <w:name w:val="Document Map"/>
    <w:basedOn w:val="Normal"/>
    <w:semiHidden/>
    <w:rsid w:val="002C0395"/>
    <w:pPr>
      <w:shd w:val="clear" w:color="auto" w:fill="000080"/>
    </w:pPr>
    <w:rPr>
      <w:rFonts w:ascii="Tahoma" w:hAnsi="Tahoma" w:cs="Tahoma"/>
    </w:rPr>
  </w:style>
  <w:style w:type="paragraph" w:styleId="EndnoteText">
    <w:name w:val="endnote text"/>
    <w:basedOn w:val="Normal"/>
    <w:link w:val="EndnoteTextChar"/>
    <w:rsid w:val="00AD3343"/>
    <w:pPr>
      <w:overflowPunct/>
      <w:autoSpaceDE/>
      <w:autoSpaceDN/>
      <w:adjustRightInd/>
      <w:spacing w:after="0"/>
      <w:jc w:val="left"/>
      <w:textAlignment w:val="auto"/>
    </w:pPr>
    <w:rPr>
      <w:rFonts w:eastAsia="MS Mincho"/>
      <w:sz w:val="20"/>
      <w:lang w:eastAsia="en-GB"/>
    </w:rPr>
  </w:style>
  <w:style w:type="character" w:customStyle="1" w:styleId="EndnoteTextChar">
    <w:name w:val="Endnote Text Char"/>
    <w:basedOn w:val="DefaultParagraphFont"/>
    <w:link w:val="EndnoteText"/>
    <w:rsid w:val="00AD3343"/>
    <w:rPr>
      <w:rFonts w:eastAsia="MS Mincho"/>
    </w:rPr>
  </w:style>
  <w:style w:type="character" w:styleId="EndnoteReference">
    <w:name w:val="endnote reference"/>
    <w:rsid w:val="00AD3343"/>
    <w:rPr>
      <w:vertAlign w:val="superscript"/>
    </w:rPr>
  </w:style>
  <w:style w:type="character" w:styleId="CommentReference">
    <w:name w:val="annotation reference"/>
    <w:rsid w:val="00AD3343"/>
    <w:rPr>
      <w:sz w:val="16"/>
      <w:szCs w:val="16"/>
    </w:rPr>
  </w:style>
  <w:style w:type="paragraph" w:styleId="CommentText">
    <w:name w:val="annotation text"/>
    <w:aliases w:val=" Char1,Char1"/>
    <w:basedOn w:val="Normal"/>
    <w:link w:val="CommentTextChar"/>
    <w:rsid w:val="00AD3343"/>
    <w:pPr>
      <w:overflowPunct/>
      <w:autoSpaceDE/>
      <w:autoSpaceDN/>
      <w:adjustRightInd/>
      <w:spacing w:after="0"/>
      <w:jc w:val="left"/>
      <w:textAlignment w:val="auto"/>
    </w:pPr>
    <w:rPr>
      <w:rFonts w:eastAsia="MS Mincho"/>
      <w:sz w:val="20"/>
      <w:lang w:eastAsia="en-GB"/>
    </w:rPr>
  </w:style>
  <w:style w:type="character" w:customStyle="1" w:styleId="CommentTextChar">
    <w:name w:val="Comment Text Char"/>
    <w:aliases w:val=" Char1 Char1,Char1 Char"/>
    <w:basedOn w:val="DefaultParagraphFont"/>
    <w:link w:val="CommentText"/>
    <w:rsid w:val="00AD3343"/>
    <w:rPr>
      <w:rFonts w:eastAsia="MS Mincho"/>
    </w:rPr>
  </w:style>
  <w:style w:type="paragraph" w:styleId="BalloonText">
    <w:name w:val="Balloon Text"/>
    <w:basedOn w:val="Normal"/>
    <w:link w:val="BalloonTextChar"/>
    <w:rsid w:val="00AD3343"/>
    <w:pPr>
      <w:spacing w:after="0"/>
    </w:pPr>
    <w:rPr>
      <w:rFonts w:ascii="Tahoma" w:hAnsi="Tahoma" w:cs="Tahoma"/>
      <w:sz w:val="16"/>
      <w:szCs w:val="16"/>
    </w:rPr>
  </w:style>
  <w:style w:type="character" w:customStyle="1" w:styleId="BalloonTextChar">
    <w:name w:val="Balloon Text Char"/>
    <w:basedOn w:val="DefaultParagraphFont"/>
    <w:link w:val="BalloonText"/>
    <w:rsid w:val="00AD3343"/>
    <w:rPr>
      <w:rFonts w:ascii="Tahoma" w:hAnsi="Tahoma" w:cs="Tahoma"/>
      <w:sz w:val="16"/>
      <w:szCs w:val="16"/>
      <w:lang w:eastAsia="en-US"/>
    </w:rPr>
  </w:style>
  <w:style w:type="paragraph" w:styleId="ListParagraph">
    <w:name w:val="List Paragraph"/>
    <w:basedOn w:val="Normal"/>
    <w:uiPriority w:val="99"/>
    <w:qFormat/>
    <w:rsid w:val="00C0738C"/>
    <w:pPr>
      <w:overflowPunct/>
      <w:autoSpaceDE/>
      <w:autoSpaceDN/>
      <w:adjustRightInd/>
      <w:spacing w:after="0"/>
      <w:ind w:left="720"/>
      <w:contextualSpacing/>
      <w:jc w:val="left"/>
      <w:textAlignment w:val="auto"/>
    </w:pPr>
    <w:rPr>
      <w:rFonts w:eastAsia="MS Mincho"/>
      <w:szCs w:val="24"/>
      <w:lang w:eastAsia="en-GB"/>
    </w:rPr>
  </w:style>
  <w:style w:type="paragraph" w:styleId="FootnoteText">
    <w:name w:val="footnote text"/>
    <w:basedOn w:val="Normal"/>
    <w:link w:val="FootnoteTextChar"/>
    <w:rsid w:val="00C0738C"/>
    <w:pPr>
      <w:overflowPunct/>
      <w:autoSpaceDE/>
      <w:autoSpaceDN/>
      <w:adjustRightInd/>
      <w:spacing w:after="0"/>
      <w:jc w:val="left"/>
      <w:textAlignment w:val="auto"/>
    </w:pPr>
    <w:rPr>
      <w:rFonts w:eastAsia="MS Mincho"/>
      <w:sz w:val="20"/>
      <w:lang w:eastAsia="en-GB"/>
    </w:rPr>
  </w:style>
  <w:style w:type="character" w:customStyle="1" w:styleId="FootnoteTextChar">
    <w:name w:val="Footnote Text Char"/>
    <w:basedOn w:val="DefaultParagraphFont"/>
    <w:link w:val="FootnoteText"/>
    <w:uiPriority w:val="99"/>
    <w:rsid w:val="00C0738C"/>
    <w:rPr>
      <w:rFonts w:eastAsia="MS Mincho"/>
    </w:rPr>
  </w:style>
  <w:style w:type="character" w:styleId="FootnoteReference">
    <w:name w:val="footnote reference"/>
    <w:rsid w:val="00C0738C"/>
    <w:rPr>
      <w:vertAlign w:val="superscript"/>
    </w:rPr>
  </w:style>
  <w:style w:type="paragraph" w:customStyle="1" w:styleId="Default">
    <w:name w:val="Default"/>
    <w:rsid w:val="00C0738C"/>
    <w:pPr>
      <w:autoSpaceDE w:val="0"/>
      <w:autoSpaceDN w:val="0"/>
      <w:adjustRightInd w:val="0"/>
    </w:pPr>
    <w:rPr>
      <w:rFonts w:eastAsia="MS Mincho"/>
      <w:color w:val="000000"/>
      <w:sz w:val="24"/>
      <w:szCs w:val="24"/>
      <w:lang w:val="en-US" w:eastAsia="ja-JP"/>
    </w:rPr>
  </w:style>
  <w:style w:type="table" w:styleId="TableGrid">
    <w:name w:val="Table Grid"/>
    <w:basedOn w:val="TableNormal"/>
    <w:uiPriority w:val="59"/>
    <w:rsid w:val="00E835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textheading">
    <w:name w:val="glossary text heading"/>
    <w:basedOn w:val="Normal"/>
    <w:rsid w:val="00893E87"/>
    <w:pPr>
      <w:keepNext/>
      <w:keepLines/>
      <w:suppressAutoHyphens/>
      <w:overflowPunct/>
      <w:autoSpaceDE/>
      <w:autoSpaceDN/>
      <w:adjustRightInd/>
      <w:spacing w:after="0"/>
      <w:textAlignment w:val="auto"/>
    </w:pPr>
    <w:rPr>
      <w:sz w:val="22"/>
      <w:lang w:val="en-US" w:eastAsia="ar-SA"/>
    </w:rPr>
  </w:style>
  <w:style w:type="paragraph" w:styleId="CommentSubject">
    <w:name w:val="annotation subject"/>
    <w:basedOn w:val="CommentText"/>
    <w:next w:val="CommentText"/>
    <w:link w:val="CommentSubjectChar"/>
    <w:rsid w:val="00C807B8"/>
    <w:pPr>
      <w:overflowPunct w:val="0"/>
      <w:autoSpaceDE w:val="0"/>
      <w:autoSpaceDN w:val="0"/>
      <w:adjustRightInd w:val="0"/>
      <w:spacing w:after="240"/>
      <w:jc w:val="both"/>
      <w:textAlignment w:val="baseline"/>
    </w:pPr>
    <w:rPr>
      <w:rFonts w:eastAsia="Times New Roman"/>
      <w:b/>
      <w:bCs/>
      <w:lang w:eastAsia="en-US"/>
    </w:rPr>
  </w:style>
  <w:style w:type="character" w:customStyle="1" w:styleId="CommentSubjectChar">
    <w:name w:val="Comment Subject Char"/>
    <w:basedOn w:val="CommentTextChar"/>
    <w:link w:val="CommentSubject"/>
    <w:rsid w:val="00C807B8"/>
    <w:rPr>
      <w:rFonts w:eastAsia="MS Mincho"/>
      <w:b/>
      <w:bCs/>
      <w:lang w:eastAsia="en-US"/>
    </w:rPr>
  </w:style>
  <w:style w:type="paragraph" w:styleId="Caption">
    <w:name w:val="caption"/>
    <w:next w:val="Normal"/>
    <w:qFormat/>
    <w:rsid w:val="00ED4085"/>
    <w:pPr>
      <w:spacing w:after="85" w:line="260" w:lineRule="atLeast"/>
      <w:ind w:firstLine="482"/>
    </w:pPr>
    <w:rPr>
      <w:bCs/>
      <w:sz w:val="18"/>
      <w:szCs w:val="22"/>
      <w:lang w:val="en-US" w:eastAsia="en-US"/>
    </w:rPr>
  </w:style>
  <w:style w:type="paragraph" w:styleId="Revision">
    <w:name w:val="Revision"/>
    <w:hidden/>
    <w:uiPriority w:val="99"/>
    <w:semiHidden/>
    <w:rsid w:val="00423D48"/>
    <w:rPr>
      <w:sz w:val="24"/>
      <w:lang w:eastAsia="en-US"/>
    </w:rPr>
  </w:style>
  <w:style w:type="character" w:styleId="Emphasis">
    <w:name w:val="Emphasis"/>
    <w:basedOn w:val="DefaultParagraphFont"/>
    <w:uiPriority w:val="20"/>
    <w:qFormat/>
    <w:rsid w:val="00F560C8"/>
    <w:rPr>
      <w:b/>
      <w:bCs/>
      <w:i w:val="0"/>
      <w:iCs w:val="0"/>
    </w:rPr>
  </w:style>
  <w:style w:type="character" w:customStyle="1" w:styleId="st">
    <w:name w:val="st"/>
    <w:basedOn w:val="DefaultParagraphFont"/>
    <w:rsid w:val="00F560C8"/>
  </w:style>
  <w:style w:type="paragraph" w:customStyle="1" w:styleId="ListNumbered">
    <w:name w:val="List Numbered"/>
    <w:rsid w:val="0026124D"/>
    <w:pPr>
      <w:numPr>
        <w:numId w:val="5"/>
      </w:numPr>
      <w:spacing w:line="260" w:lineRule="atLeast"/>
      <w:ind w:right="1134"/>
    </w:pPr>
    <w:rPr>
      <w:sz w:val="22"/>
      <w:szCs w:val="22"/>
      <w:lang w:eastAsia="en-US"/>
    </w:rPr>
  </w:style>
  <w:style w:type="paragraph" w:customStyle="1" w:styleId="SSbodytext">
    <w:name w:val="SSbodytext"/>
    <w:basedOn w:val="BodyText"/>
    <w:rsid w:val="0026124D"/>
    <w:pPr>
      <w:widowControl w:val="0"/>
      <w:tabs>
        <w:tab w:val="num" w:pos="567"/>
      </w:tabs>
      <w:spacing w:before="120" w:line="360" w:lineRule="auto"/>
    </w:pPr>
    <w:rPr>
      <w:rFonts w:eastAsia="MS Mincho"/>
      <w:sz w:val="22"/>
      <w:szCs w:val="22"/>
      <w:lang w:val="en-GB" w:eastAsia="en-GB"/>
    </w:rPr>
  </w:style>
  <w:style w:type="character" w:customStyle="1" w:styleId="CommentTextChar1">
    <w:name w:val="Comment Text Char1"/>
    <w:aliases w:val=" Char1 Char,Char1 Char1"/>
    <w:rsid w:val="0026124D"/>
    <w:rPr>
      <w:rFonts w:eastAsia="MS Mincho"/>
      <w:lang w:val="en-GB" w:eastAsia="en-US" w:bidi="ar-SA"/>
    </w:rPr>
  </w:style>
  <w:style w:type="paragraph" w:customStyle="1" w:styleId="CM1">
    <w:name w:val="CM1"/>
    <w:basedOn w:val="Default"/>
    <w:next w:val="Default"/>
    <w:uiPriority w:val="99"/>
    <w:rsid w:val="009A5A1D"/>
    <w:rPr>
      <w:rFonts w:ascii="EUAlbertina" w:eastAsia="Times New Roman" w:hAnsi="EUAlbertina"/>
      <w:color w:val="auto"/>
      <w:lang w:val="fi-FI" w:eastAsia="en-GB"/>
    </w:rPr>
  </w:style>
  <w:style w:type="paragraph" w:customStyle="1" w:styleId="CM3">
    <w:name w:val="CM3"/>
    <w:basedOn w:val="Default"/>
    <w:next w:val="Default"/>
    <w:uiPriority w:val="99"/>
    <w:rsid w:val="009A5A1D"/>
    <w:rPr>
      <w:rFonts w:ascii="EUAlbertina" w:eastAsia="Times New Roman" w:hAnsi="EUAlbertina"/>
      <w:color w:val="auto"/>
      <w:lang w:val="fi-FI" w:eastAsia="en-GB"/>
    </w:rPr>
  </w:style>
  <w:style w:type="character" w:styleId="Strong">
    <w:name w:val="Strong"/>
    <w:basedOn w:val="DefaultParagraphFont"/>
    <w:uiPriority w:val="22"/>
    <w:qFormat/>
    <w:rsid w:val="00B75F9F"/>
    <w:rPr>
      <w:b/>
      <w:bCs/>
    </w:rPr>
  </w:style>
  <w:style w:type="character" w:customStyle="1" w:styleId="BulletList">
    <w:name w:val="Bullet List"/>
    <w:basedOn w:val="DefaultParagraphFont"/>
    <w:rsid w:val="00AD4FC4"/>
  </w:style>
  <w:style w:type="paragraph" w:styleId="Header">
    <w:name w:val="header"/>
    <w:basedOn w:val="Normal"/>
    <w:link w:val="HeaderChar"/>
    <w:rsid w:val="00D07101"/>
    <w:pPr>
      <w:tabs>
        <w:tab w:val="center" w:pos="4513"/>
        <w:tab w:val="right" w:pos="9026"/>
      </w:tabs>
      <w:spacing w:after="0"/>
    </w:pPr>
  </w:style>
  <w:style w:type="character" w:customStyle="1" w:styleId="HeaderChar">
    <w:name w:val="Header Char"/>
    <w:basedOn w:val="DefaultParagraphFont"/>
    <w:link w:val="Header"/>
    <w:rsid w:val="00D07101"/>
    <w:rPr>
      <w:sz w:val="24"/>
      <w:lang w:eastAsia="en-US"/>
    </w:rPr>
  </w:style>
  <w:style w:type="character" w:customStyle="1" w:styleId="st1">
    <w:name w:val="st1"/>
    <w:basedOn w:val="DefaultParagraphFont"/>
    <w:rsid w:val="0014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0600">
      <w:bodyDiv w:val="1"/>
      <w:marLeft w:val="0"/>
      <w:marRight w:val="0"/>
      <w:marTop w:val="0"/>
      <w:marBottom w:val="0"/>
      <w:divBdr>
        <w:top w:val="none" w:sz="0" w:space="0" w:color="auto"/>
        <w:left w:val="none" w:sz="0" w:space="0" w:color="auto"/>
        <w:bottom w:val="none" w:sz="0" w:space="0" w:color="auto"/>
        <w:right w:val="none" w:sz="0" w:space="0" w:color="auto"/>
      </w:divBdr>
    </w:div>
    <w:div w:id="628778161">
      <w:bodyDiv w:val="1"/>
      <w:marLeft w:val="0"/>
      <w:marRight w:val="0"/>
      <w:marTop w:val="0"/>
      <w:marBottom w:val="0"/>
      <w:divBdr>
        <w:top w:val="none" w:sz="0" w:space="0" w:color="auto"/>
        <w:left w:val="none" w:sz="0" w:space="0" w:color="auto"/>
        <w:bottom w:val="none" w:sz="0" w:space="0" w:color="auto"/>
        <w:right w:val="none" w:sz="0" w:space="0" w:color="auto"/>
      </w:divBdr>
    </w:div>
    <w:div w:id="1447233697">
      <w:bodyDiv w:val="1"/>
      <w:marLeft w:val="0"/>
      <w:marRight w:val="0"/>
      <w:marTop w:val="0"/>
      <w:marBottom w:val="0"/>
      <w:divBdr>
        <w:top w:val="none" w:sz="0" w:space="0" w:color="auto"/>
        <w:left w:val="none" w:sz="0" w:space="0" w:color="auto"/>
        <w:bottom w:val="none" w:sz="0" w:space="0" w:color="auto"/>
        <w:right w:val="none" w:sz="0" w:space="0" w:color="auto"/>
      </w:divBdr>
    </w:div>
    <w:div w:id="1500346421">
      <w:bodyDiv w:val="1"/>
      <w:marLeft w:val="0"/>
      <w:marRight w:val="0"/>
      <w:marTop w:val="0"/>
      <w:marBottom w:val="0"/>
      <w:divBdr>
        <w:top w:val="none" w:sz="0" w:space="0" w:color="auto"/>
        <w:left w:val="none" w:sz="0" w:space="0" w:color="auto"/>
        <w:bottom w:val="none" w:sz="0" w:space="0" w:color="auto"/>
        <w:right w:val="none" w:sz="0" w:space="0" w:color="auto"/>
      </w:divBdr>
    </w:div>
    <w:div w:id="1541161860">
      <w:bodyDiv w:val="1"/>
      <w:marLeft w:val="0"/>
      <w:marRight w:val="0"/>
      <w:marTop w:val="0"/>
      <w:marBottom w:val="0"/>
      <w:divBdr>
        <w:top w:val="none" w:sz="0" w:space="0" w:color="auto"/>
        <w:left w:val="none" w:sz="0" w:space="0" w:color="auto"/>
        <w:bottom w:val="none" w:sz="0" w:space="0" w:color="auto"/>
        <w:right w:val="none" w:sz="0" w:space="0" w:color="auto"/>
      </w:divBdr>
      <w:divsChild>
        <w:div w:id="236936524">
          <w:marLeft w:val="1166"/>
          <w:marRight w:val="0"/>
          <w:marTop w:val="77"/>
          <w:marBottom w:val="0"/>
          <w:divBdr>
            <w:top w:val="none" w:sz="0" w:space="0" w:color="auto"/>
            <w:left w:val="none" w:sz="0" w:space="0" w:color="auto"/>
            <w:bottom w:val="none" w:sz="0" w:space="0" w:color="auto"/>
            <w:right w:val="none" w:sz="0" w:space="0" w:color="auto"/>
          </w:divBdr>
        </w:div>
      </w:divsChild>
    </w:div>
    <w:div w:id="1696732369">
      <w:bodyDiv w:val="1"/>
      <w:marLeft w:val="0"/>
      <w:marRight w:val="0"/>
      <w:marTop w:val="0"/>
      <w:marBottom w:val="0"/>
      <w:divBdr>
        <w:top w:val="none" w:sz="0" w:space="0" w:color="auto"/>
        <w:left w:val="none" w:sz="0" w:space="0" w:color="auto"/>
        <w:bottom w:val="none" w:sz="0" w:space="0" w:color="auto"/>
        <w:right w:val="none" w:sz="0" w:space="0" w:color="auto"/>
      </w:divBdr>
    </w:div>
    <w:div w:id="2052074469">
      <w:bodyDiv w:val="1"/>
      <w:marLeft w:val="0"/>
      <w:marRight w:val="0"/>
      <w:marTop w:val="0"/>
      <w:marBottom w:val="0"/>
      <w:divBdr>
        <w:top w:val="none" w:sz="0" w:space="0" w:color="auto"/>
        <w:left w:val="none" w:sz="0" w:space="0" w:color="auto"/>
        <w:bottom w:val="none" w:sz="0" w:space="0" w:color="auto"/>
        <w:right w:val="none" w:sz="0" w:space="0" w:color="auto"/>
      </w:divBdr>
    </w:div>
    <w:div w:id="2067532280">
      <w:bodyDiv w:val="1"/>
      <w:marLeft w:val="0"/>
      <w:marRight w:val="0"/>
      <w:marTop w:val="0"/>
      <w:marBottom w:val="0"/>
      <w:divBdr>
        <w:top w:val="none" w:sz="0" w:space="0" w:color="auto"/>
        <w:left w:val="none" w:sz="0" w:space="0" w:color="auto"/>
        <w:bottom w:val="none" w:sz="0" w:space="0" w:color="auto"/>
        <w:right w:val="none" w:sz="0" w:space="0" w:color="auto"/>
      </w:divBdr>
      <w:divsChild>
        <w:div w:id="3525390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bera\AppData\Local\Microsoft\Windows\Temporary%20Internet%20Files\Content.Outlook\4155NLYR\IAEA%20Publication-Si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A0B9-3365-49C7-9148-BE598C3F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Publication-Simple.dotm</Template>
  <TotalTime>0</TotalTime>
  <Pages>51</Pages>
  <Words>15526</Words>
  <Characters>88500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IAEA Report DOC</vt:lpstr>
    </vt:vector>
  </TitlesOfParts>
  <Company>IAEA</Company>
  <LinksUpToDate>false</LinksUpToDate>
  <CharactersWithSpaces>103819</CharactersWithSpaces>
  <SharedDoc>false</SharedDoc>
  <HLinks>
    <vt:vector size="6" baseType="variant">
      <vt:variant>
        <vt:i4>1900601</vt:i4>
      </vt:variant>
      <vt:variant>
        <vt:i4>8</vt:i4>
      </vt:variant>
      <vt:variant>
        <vt:i4>0</vt:i4>
      </vt:variant>
      <vt:variant>
        <vt:i4>5</vt:i4>
      </vt:variant>
      <vt:variant>
        <vt:lpwstr/>
      </vt:variant>
      <vt:variant>
        <vt:lpwstr>_Toc37498662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Report DOC</dc:title>
  <dc:creator>GRUBER, Allison</dc:creator>
  <cp:lastModifiedBy>TELLERIA, Diego M.</cp:lastModifiedBy>
  <cp:revision>2</cp:revision>
  <cp:lastPrinted>2016-06-03T13:06:00Z</cp:lastPrinted>
  <dcterms:created xsi:type="dcterms:W3CDTF">2016-08-10T12:45:00Z</dcterms:created>
  <dcterms:modified xsi:type="dcterms:W3CDTF">2016-08-10T12:45:00Z</dcterms:modified>
</cp:coreProperties>
</file>