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33" w:rsidRPr="00C9026A" w:rsidRDefault="006E5633" w:rsidP="00A57A35">
      <w:pPr>
        <w:pStyle w:val="Title"/>
        <w:spacing w:after="360"/>
        <w:rPr>
          <w:i w:val="0"/>
          <w:sz w:val="24"/>
          <w:szCs w:val="24"/>
        </w:rPr>
      </w:pPr>
      <w:r w:rsidRPr="00C9026A">
        <w:rPr>
          <w:b w:val="0"/>
          <w:i w:val="0"/>
          <w:sz w:val="24"/>
          <w:szCs w:val="24"/>
        </w:rPr>
        <w:t xml:space="preserve">DS427 Draft Version </w:t>
      </w:r>
      <w:r w:rsidR="00BE4BE7">
        <w:rPr>
          <w:b w:val="0"/>
          <w:i w:val="0"/>
          <w:sz w:val="24"/>
          <w:szCs w:val="24"/>
        </w:rPr>
        <w:t>8</w:t>
      </w:r>
      <w:r w:rsidR="00F35EA7">
        <w:rPr>
          <w:b w:val="0"/>
          <w:i w:val="0"/>
          <w:sz w:val="24"/>
          <w:szCs w:val="24"/>
        </w:rPr>
        <w:t>.</w:t>
      </w:r>
      <w:r w:rsidR="00D9251A">
        <w:rPr>
          <w:b w:val="0"/>
          <w:i w:val="0"/>
          <w:sz w:val="24"/>
          <w:szCs w:val="24"/>
        </w:rPr>
        <w:t>4</w:t>
      </w:r>
      <w:r w:rsidRPr="00C9026A">
        <w:rPr>
          <w:b w:val="0"/>
          <w:i w:val="0"/>
          <w:sz w:val="24"/>
          <w:szCs w:val="24"/>
        </w:rPr>
        <w:br/>
      </w:r>
      <w:r w:rsidRPr="00C9026A">
        <w:rPr>
          <w:i w:val="0"/>
          <w:sz w:val="24"/>
          <w:szCs w:val="24"/>
        </w:rPr>
        <w:t xml:space="preserve">Date: </w:t>
      </w:r>
      <w:r w:rsidR="00D9251A">
        <w:rPr>
          <w:i w:val="0"/>
          <w:sz w:val="24"/>
          <w:szCs w:val="24"/>
        </w:rPr>
        <w:t>10</w:t>
      </w:r>
      <w:r w:rsidR="00D03D09">
        <w:rPr>
          <w:i w:val="0"/>
          <w:sz w:val="24"/>
          <w:szCs w:val="24"/>
        </w:rPr>
        <w:t xml:space="preserve"> August </w:t>
      </w:r>
      <w:r w:rsidR="00703095" w:rsidRPr="00C9026A">
        <w:rPr>
          <w:i w:val="0"/>
          <w:sz w:val="24"/>
          <w:szCs w:val="24"/>
        </w:rPr>
        <w:t>201</w:t>
      </w:r>
      <w:r w:rsidR="002562D6">
        <w:rPr>
          <w:i w:val="0"/>
          <w:sz w:val="24"/>
          <w:szCs w:val="24"/>
        </w:rPr>
        <w:t>6</w:t>
      </w:r>
    </w:p>
    <w:p w:rsidR="006E5633" w:rsidRPr="00C9026A" w:rsidRDefault="006E5633" w:rsidP="00A57A35">
      <w:pPr>
        <w:pStyle w:val="Title"/>
        <w:spacing w:before="480"/>
        <w:jc w:val="left"/>
        <w:rPr>
          <w:i w:val="0"/>
          <w:sz w:val="36"/>
        </w:rPr>
      </w:pPr>
      <w:r w:rsidRPr="00C9026A">
        <w:rPr>
          <w:i w:val="0"/>
          <w:sz w:val="36"/>
        </w:rPr>
        <w:t>IAEA SAFETY STANDARDS</w:t>
      </w:r>
    </w:p>
    <w:p w:rsidR="00CE7F7D" w:rsidRDefault="00CE7F7D" w:rsidP="00C44216">
      <w:pPr>
        <w:framePr w:w="5013" w:h="1159" w:hSpace="180" w:wrap="around" w:vAnchor="text" w:hAnchor="page" w:x="5526" w:y="327"/>
        <w:pBdr>
          <w:top w:val="single" w:sz="6" w:space="1" w:color="auto"/>
          <w:left w:val="single" w:sz="6" w:space="1" w:color="auto"/>
          <w:bottom w:val="single" w:sz="6" w:space="1" w:color="auto"/>
          <w:right w:val="single" w:sz="6" w:space="1" w:color="auto"/>
        </w:pBdr>
        <w:jc w:val="left"/>
        <w:rPr>
          <w:b/>
        </w:rPr>
      </w:pPr>
      <w:r w:rsidRPr="00C9026A">
        <w:rPr>
          <w:b/>
        </w:rPr>
        <w:t xml:space="preserve">Status: STEP </w:t>
      </w:r>
      <w:r w:rsidR="0064638E">
        <w:rPr>
          <w:b/>
        </w:rPr>
        <w:t>1</w:t>
      </w:r>
      <w:r w:rsidR="003427D2">
        <w:rPr>
          <w:b/>
        </w:rPr>
        <w:t>2</w:t>
      </w:r>
    </w:p>
    <w:p w:rsidR="003427D2" w:rsidRPr="003427D2" w:rsidRDefault="003427D2" w:rsidP="00C44216">
      <w:pPr>
        <w:framePr w:w="5013" w:h="1159" w:hSpace="180" w:wrap="around" w:vAnchor="text" w:hAnchor="page" w:x="5526" w:y="327"/>
        <w:pBdr>
          <w:top w:val="single" w:sz="6" w:space="1" w:color="auto"/>
          <w:left w:val="single" w:sz="6" w:space="1" w:color="auto"/>
          <w:bottom w:val="single" w:sz="6" w:space="1" w:color="auto"/>
          <w:right w:val="single" w:sz="6" w:space="1" w:color="auto"/>
        </w:pBdr>
        <w:jc w:val="left"/>
        <w:rPr>
          <w:b/>
          <w:bCs/>
        </w:rPr>
      </w:pPr>
      <w:r w:rsidRPr="003427D2">
        <w:rPr>
          <w:b/>
          <w:bCs/>
        </w:rPr>
        <w:t xml:space="preserve">For </w:t>
      </w:r>
      <w:r w:rsidR="00D9251A">
        <w:rPr>
          <w:b/>
          <w:bCs/>
        </w:rPr>
        <w:t>review by the</w:t>
      </w:r>
      <w:r w:rsidRPr="003427D2">
        <w:rPr>
          <w:b/>
          <w:bCs/>
        </w:rPr>
        <w:t xml:space="preserve"> CSS</w:t>
      </w:r>
    </w:p>
    <w:p w:rsidR="006E5633" w:rsidRPr="002562D6" w:rsidRDefault="006E5633" w:rsidP="00A57A35">
      <w:pPr>
        <w:pStyle w:val="Title"/>
        <w:spacing w:after="360"/>
        <w:jc w:val="left"/>
        <w:rPr>
          <w:i w:val="0"/>
          <w:sz w:val="24"/>
          <w:szCs w:val="24"/>
        </w:rPr>
      </w:pPr>
      <w:r w:rsidRPr="002562D6">
        <w:rPr>
          <w:i w:val="0"/>
          <w:sz w:val="24"/>
          <w:szCs w:val="24"/>
        </w:rPr>
        <w:t>For protecting people and the environment</w:t>
      </w:r>
    </w:p>
    <w:p w:rsidR="00C326F2" w:rsidRPr="00C9026A" w:rsidRDefault="00C326F2" w:rsidP="00A57A35">
      <w:pPr>
        <w:pStyle w:val="BodyText"/>
        <w:rPr>
          <w:lang w:val="en-GB"/>
        </w:rPr>
      </w:pPr>
    </w:p>
    <w:p w:rsidR="00C326F2" w:rsidRPr="00C9026A" w:rsidRDefault="00C326F2" w:rsidP="00A57A35">
      <w:pPr>
        <w:pStyle w:val="Title"/>
        <w:spacing w:before="100" w:beforeAutospacing="1" w:after="360"/>
        <w:jc w:val="left"/>
        <w:rPr>
          <w:i w:val="0"/>
          <w:sz w:val="60"/>
        </w:rPr>
      </w:pPr>
    </w:p>
    <w:p w:rsidR="00C326F2" w:rsidRPr="00C9026A" w:rsidRDefault="00C326F2" w:rsidP="00A57A35">
      <w:pPr>
        <w:pStyle w:val="Title"/>
        <w:spacing w:before="100" w:beforeAutospacing="1" w:after="360"/>
        <w:jc w:val="left"/>
        <w:rPr>
          <w:i w:val="0"/>
          <w:sz w:val="60"/>
        </w:rPr>
      </w:pPr>
    </w:p>
    <w:p w:rsidR="00C326F2" w:rsidRPr="00C9026A" w:rsidRDefault="00C326F2" w:rsidP="00A57A35">
      <w:pPr>
        <w:pStyle w:val="Title"/>
        <w:spacing w:before="100" w:beforeAutospacing="1" w:after="360"/>
        <w:jc w:val="left"/>
        <w:rPr>
          <w:i w:val="0"/>
          <w:sz w:val="60"/>
        </w:rPr>
      </w:pPr>
    </w:p>
    <w:p w:rsidR="00C636C8" w:rsidRDefault="00C636C8" w:rsidP="00A57A35">
      <w:pPr>
        <w:pStyle w:val="BodyText"/>
        <w:rPr>
          <w:sz w:val="48"/>
          <w:szCs w:val="48"/>
        </w:rPr>
      </w:pPr>
    </w:p>
    <w:p w:rsidR="002562D6" w:rsidRDefault="002562D6" w:rsidP="00A57A35">
      <w:pPr>
        <w:pStyle w:val="BodyText"/>
        <w:jc w:val="left"/>
        <w:rPr>
          <w:b/>
          <w:sz w:val="48"/>
          <w:szCs w:val="48"/>
        </w:rPr>
      </w:pPr>
    </w:p>
    <w:p w:rsidR="00924926" w:rsidRPr="002562D6" w:rsidRDefault="00E464A8" w:rsidP="00A57A35">
      <w:pPr>
        <w:pStyle w:val="BodyText"/>
        <w:jc w:val="left"/>
        <w:rPr>
          <w:b/>
          <w:i/>
          <w:sz w:val="48"/>
          <w:szCs w:val="48"/>
        </w:rPr>
      </w:pPr>
      <w:r w:rsidRPr="002562D6">
        <w:rPr>
          <w:b/>
          <w:sz w:val="48"/>
          <w:szCs w:val="48"/>
        </w:rPr>
        <w:t xml:space="preserve">Prospective </w:t>
      </w:r>
      <w:r w:rsidR="00D861D3" w:rsidRPr="002562D6">
        <w:rPr>
          <w:b/>
          <w:sz w:val="48"/>
          <w:szCs w:val="48"/>
        </w:rPr>
        <w:t xml:space="preserve">Radiological Environmental Impact Assessment </w:t>
      </w:r>
      <w:r w:rsidRPr="002562D6">
        <w:rPr>
          <w:b/>
          <w:sz w:val="48"/>
          <w:szCs w:val="48"/>
        </w:rPr>
        <w:t xml:space="preserve">for </w:t>
      </w:r>
      <w:r w:rsidR="00D861D3" w:rsidRPr="002562D6">
        <w:rPr>
          <w:b/>
          <w:sz w:val="48"/>
          <w:szCs w:val="48"/>
        </w:rPr>
        <w:t xml:space="preserve">Facilities </w:t>
      </w:r>
      <w:r w:rsidRPr="002562D6">
        <w:rPr>
          <w:b/>
          <w:sz w:val="48"/>
          <w:szCs w:val="48"/>
        </w:rPr>
        <w:t xml:space="preserve">and </w:t>
      </w:r>
      <w:r w:rsidR="00D861D3" w:rsidRPr="002562D6">
        <w:rPr>
          <w:b/>
          <w:sz w:val="48"/>
          <w:szCs w:val="48"/>
        </w:rPr>
        <w:t>Activities</w:t>
      </w:r>
    </w:p>
    <w:p w:rsidR="00641A28" w:rsidRPr="00C9026A" w:rsidRDefault="00641A28" w:rsidP="00A57A35">
      <w:pPr>
        <w:pStyle w:val="BodyText"/>
        <w:rPr>
          <w:lang w:val="en-GB"/>
        </w:rPr>
      </w:pPr>
    </w:p>
    <w:p w:rsidR="00E12A42" w:rsidRPr="00C9026A" w:rsidRDefault="006E5633" w:rsidP="00A57A35">
      <w:pPr>
        <w:pStyle w:val="Title"/>
        <w:spacing w:before="2835" w:after="360"/>
        <w:jc w:val="left"/>
        <w:rPr>
          <w:i w:val="0"/>
          <w:sz w:val="32"/>
        </w:rPr>
      </w:pPr>
      <w:r w:rsidRPr="00C9026A">
        <w:rPr>
          <w:b w:val="0"/>
          <w:i w:val="0"/>
          <w:sz w:val="32"/>
        </w:rPr>
        <w:t>DRAFT SAFETY GUIDE</w:t>
      </w:r>
      <w:r w:rsidR="009B0282" w:rsidRPr="00C9026A">
        <w:rPr>
          <w:b w:val="0"/>
          <w:i w:val="0"/>
          <w:sz w:val="32"/>
        </w:rPr>
        <w:t xml:space="preserve"> </w:t>
      </w:r>
      <w:r w:rsidR="009D2F21" w:rsidRPr="00C9026A">
        <w:rPr>
          <w:i w:val="0"/>
          <w:sz w:val="32"/>
        </w:rPr>
        <w:t>DS427</w:t>
      </w:r>
    </w:p>
    <w:p w:rsidR="00E12A42" w:rsidRPr="00C9026A" w:rsidRDefault="00E12A42" w:rsidP="00A57A35">
      <w:pPr>
        <w:pStyle w:val="Foreword"/>
        <w:rPr>
          <w:szCs w:val="24"/>
          <w:lang w:val="en-GB"/>
        </w:rPr>
      </w:pPr>
      <w:r w:rsidRPr="00C9026A">
        <w:rPr>
          <w:szCs w:val="24"/>
          <w:lang w:val="en-GB"/>
        </w:rPr>
        <w:lastRenderedPageBreak/>
        <w:t>Foreword</w:t>
      </w:r>
    </w:p>
    <w:p w:rsidR="0019035D" w:rsidRPr="00C9026A" w:rsidRDefault="00A51BE7" w:rsidP="00A57A35">
      <w:pPr>
        <w:pStyle w:val="StyleBodyTextFirstline1cmAfter0pt"/>
        <w:rPr>
          <w:lang w:val="en-GB"/>
        </w:rPr>
      </w:pPr>
      <w:r w:rsidRPr="00C9026A">
        <w:rPr>
          <w:lang w:val="en-GB"/>
        </w:rPr>
        <w:fldChar w:fldCharType="begin"/>
      </w:r>
      <w:r w:rsidR="00E12A42" w:rsidRPr="00C9026A">
        <w:rPr>
          <w:lang w:val="en-GB"/>
        </w:rPr>
        <w:instrText xml:space="preserve"> MACROBUTTON ""[Click here to insert foreword]</w:instrText>
      </w:r>
      <w:r w:rsidRPr="00C9026A">
        <w:rPr>
          <w:lang w:val="en-GB"/>
        </w:rPr>
        <w:fldChar w:fldCharType="end"/>
      </w:r>
    </w:p>
    <w:p w:rsidR="00E12A42" w:rsidRPr="00C9026A" w:rsidRDefault="00E12A42" w:rsidP="00A57A35">
      <w:pPr>
        <w:pStyle w:val="Contents"/>
        <w:rPr>
          <w:szCs w:val="24"/>
          <w:lang w:val="en-GB"/>
        </w:rPr>
      </w:pPr>
      <w:r w:rsidRPr="00C9026A">
        <w:rPr>
          <w:szCs w:val="24"/>
          <w:lang w:val="en-GB"/>
        </w:rPr>
        <w:lastRenderedPageBreak/>
        <w:t>Contents</w:t>
      </w:r>
    </w:p>
    <w:p w:rsidR="005E3463" w:rsidRDefault="00A51BE7">
      <w:pPr>
        <w:pStyle w:val="TOC1"/>
        <w:rPr>
          <w:rFonts w:asciiTheme="minorHAnsi" w:eastAsiaTheme="minorEastAsia" w:hAnsiTheme="minorHAnsi" w:cstheme="minorBidi"/>
          <w:bCs w:val="0"/>
          <w:iCs w:val="0"/>
          <w:caps w:val="0"/>
          <w:sz w:val="22"/>
          <w:szCs w:val="22"/>
          <w:lang w:eastAsia="en-GB"/>
        </w:rPr>
      </w:pPr>
      <w:r w:rsidRPr="00C9026A">
        <w:rPr>
          <w:caps w:val="0"/>
          <w:noProof w:val="0"/>
          <w:szCs w:val="24"/>
        </w:rPr>
        <w:fldChar w:fldCharType="begin"/>
      </w:r>
      <w:r w:rsidR="00E12A42" w:rsidRPr="00C9026A">
        <w:rPr>
          <w:caps w:val="0"/>
          <w:noProof w:val="0"/>
          <w:szCs w:val="24"/>
        </w:rPr>
        <w:instrText xml:space="preserve"> TOC \o "1-3" \h \z \t "Annex Heading 1,4,Heading,6,Reference Heading,1,Appendix Heading 1,5" </w:instrText>
      </w:r>
      <w:r w:rsidRPr="00C9026A">
        <w:rPr>
          <w:caps w:val="0"/>
          <w:noProof w:val="0"/>
          <w:szCs w:val="24"/>
        </w:rPr>
        <w:fldChar w:fldCharType="separate"/>
      </w:r>
      <w:hyperlink w:anchor="_Toc450203979" w:history="1">
        <w:r w:rsidR="005E3463" w:rsidRPr="00F7583D">
          <w:rPr>
            <w:rStyle w:val="Hyperlink"/>
          </w:rPr>
          <w:t>1.</w:t>
        </w:r>
        <w:r w:rsidR="005E3463">
          <w:rPr>
            <w:rFonts w:asciiTheme="minorHAnsi" w:eastAsiaTheme="minorEastAsia" w:hAnsiTheme="minorHAnsi" w:cstheme="minorBidi"/>
            <w:bCs w:val="0"/>
            <w:iCs w:val="0"/>
            <w:caps w:val="0"/>
            <w:sz w:val="22"/>
            <w:szCs w:val="22"/>
            <w:lang w:eastAsia="en-GB"/>
          </w:rPr>
          <w:tab/>
        </w:r>
        <w:r w:rsidR="005E3463" w:rsidRPr="00F7583D">
          <w:rPr>
            <w:rStyle w:val="Hyperlink"/>
          </w:rPr>
          <w:t>Introduction</w:t>
        </w:r>
        <w:r w:rsidR="005E3463">
          <w:rPr>
            <w:webHidden/>
          </w:rPr>
          <w:tab/>
        </w:r>
        <w:r w:rsidR="005E3463">
          <w:rPr>
            <w:webHidden/>
          </w:rPr>
          <w:fldChar w:fldCharType="begin"/>
        </w:r>
        <w:r w:rsidR="005E3463">
          <w:rPr>
            <w:webHidden/>
          </w:rPr>
          <w:instrText xml:space="preserve"> PAGEREF _Toc450203979 \h </w:instrText>
        </w:r>
        <w:r w:rsidR="005E3463">
          <w:rPr>
            <w:webHidden/>
          </w:rPr>
        </w:r>
        <w:r w:rsidR="005E3463">
          <w:rPr>
            <w:webHidden/>
          </w:rPr>
          <w:fldChar w:fldCharType="separate"/>
        </w:r>
        <w:r w:rsidR="005E3463">
          <w:rPr>
            <w:webHidden/>
          </w:rPr>
          <w:t>5</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3980" w:history="1">
        <w:r w:rsidR="005E3463" w:rsidRPr="00F7583D">
          <w:rPr>
            <w:rStyle w:val="Hyperlink"/>
          </w:rPr>
          <w:t>Background</w:t>
        </w:r>
        <w:r w:rsidR="005E3463">
          <w:rPr>
            <w:webHidden/>
          </w:rPr>
          <w:tab/>
        </w:r>
        <w:r w:rsidR="005E3463">
          <w:rPr>
            <w:webHidden/>
          </w:rPr>
          <w:fldChar w:fldCharType="begin"/>
        </w:r>
        <w:r w:rsidR="005E3463">
          <w:rPr>
            <w:webHidden/>
          </w:rPr>
          <w:instrText xml:space="preserve"> PAGEREF _Toc450203980 \h </w:instrText>
        </w:r>
        <w:r w:rsidR="005E3463">
          <w:rPr>
            <w:webHidden/>
          </w:rPr>
        </w:r>
        <w:r w:rsidR="005E3463">
          <w:rPr>
            <w:webHidden/>
          </w:rPr>
          <w:fldChar w:fldCharType="separate"/>
        </w:r>
        <w:r w:rsidR="005E3463">
          <w:rPr>
            <w:webHidden/>
          </w:rPr>
          <w:t>5</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3981" w:history="1">
        <w:r w:rsidR="005E3463" w:rsidRPr="00F7583D">
          <w:rPr>
            <w:rStyle w:val="Hyperlink"/>
          </w:rPr>
          <w:t>Objective</w:t>
        </w:r>
        <w:r w:rsidR="005E3463">
          <w:rPr>
            <w:webHidden/>
          </w:rPr>
          <w:tab/>
        </w:r>
        <w:r w:rsidR="005E3463">
          <w:rPr>
            <w:webHidden/>
          </w:rPr>
          <w:fldChar w:fldCharType="begin"/>
        </w:r>
        <w:r w:rsidR="005E3463">
          <w:rPr>
            <w:webHidden/>
          </w:rPr>
          <w:instrText xml:space="preserve"> PAGEREF _Toc450203981 \h </w:instrText>
        </w:r>
        <w:r w:rsidR="005E3463">
          <w:rPr>
            <w:webHidden/>
          </w:rPr>
        </w:r>
        <w:r w:rsidR="005E3463">
          <w:rPr>
            <w:webHidden/>
          </w:rPr>
          <w:fldChar w:fldCharType="separate"/>
        </w:r>
        <w:r w:rsidR="005E3463">
          <w:rPr>
            <w:webHidden/>
          </w:rPr>
          <w:t>6</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3982" w:history="1">
        <w:r w:rsidR="005E3463" w:rsidRPr="00F7583D">
          <w:rPr>
            <w:rStyle w:val="Hyperlink"/>
          </w:rPr>
          <w:t>Scope</w:t>
        </w:r>
        <w:r w:rsidR="005E3463">
          <w:rPr>
            <w:webHidden/>
          </w:rPr>
          <w:tab/>
        </w:r>
        <w:r w:rsidR="005E3463">
          <w:rPr>
            <w:webHidden/>
          </w:rPr>
          <w:fldChar w:fldCharType="begin"/>
        </w:r>
        <w:r w:rsidR="005E3463">
          <w:rPr>
            <w:webHidden/>
          </w:rPr>
          <w:instrText xml:space="preserve"> PAGEREF _Toc450203982 \h </w:instrText>
        </w:r>
        <w:r w:rsidR="005E3463">
          <w:rPr>
            <w:webHidden/>
          </w:rPr>
        </w:r>
        <w:r w:rsidR="005E3463">
          <w:rPr>
            <w:webHidden/>
          </w:rPr>
          <w:fldChar w:fldCharType="separate"/>
        </w:r>
        <w:r w:rsidR="005E3463">
          <w:rPr>
            <w:webHidden/>
          </w:rPr>
          <w:t>7</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3983" w:history="1">
        <w:r w:rsidR="005E3463" w:rsidRPr="00F7583D">
          <w:rPr>
            <w:rStyle w:val="Hyperlink"/>
          </w:rPr>
          <w:t>Structure</w:t>
        </w:r>
        <w:r w:rsidR="005E3463">
          <w:rPr>
            <w:webHidden/>
          </w:rPr>
          <w:tab/>
        </w:r>
        <w:r w:rsidR="005E3463">
          <w:rPr>
            <w:webHidden/>
          </w:rPr>
          <w:fldChar w:fldCharType="begin"/>
        </w:r>
        <w:r w:rsidR="005E3463">
          <w:rPr>
            <w:webHidden/>
          </w:rPr>
          <w:instrText xml:space="preserve"> PAGEREF _Toc450203983 \h </w:instrText>
        </w:r>
        <w:r w:rsidR="005E3463">
          <w:rPr>
            <w:webHidden/>
          </w:rPr>
        </w:r>
        <w:r w:rsidR="005E3463">
          <w:rPr>
            <w:webHidden/>
          </w:rPr>
          <w:fldChar w:fldCharType="separate"/>
        </w:r>
        <w:r w:rsidR="005E3463">
          <w:rPr>
            <w:webHidden/>
          </w:rPr>
          <w:t>10</w:t>
        </w:r>
        <w:r w:rsidR="005E3463">
          <w:rPr>
            <w:webHidden/>
          </w:rPr>
          <w:fldChar w:fldCharType="end"/>
        </w:r>
      </w:hyperlink>
    </w:p>
    <w:p w:rsidR="005E3463" w:rsidRDefault="00527DD7">
      <w:pPr>
        <w:pStyle w:val="TOC1"/>
        <w:rPr>
          <w:rFonts w:asciiTheme="minorHAnsi" w:eastAsiaTheme="minorEastAsia" w:hAnsiTheme="minorHAnsi" w:cstheme="minorBidi"/>
          <w:bCs w:val="0"/>
          <w:iCs w:val="0"/>
          <w:caps w:val="0"/>
          <w:sz w:val="22"/>
          <w:szCs w:val="22"/>
          <w:lang w:eastAsia="en-GB"/>
        </w:rPr>
      </w:pPr>
      <w:hyperlink w:anchor="_Toc450203984" w:history="1">
        <w:r w:rsidR="005E3463" w:rsidRPr="00F7583D">
          <w:rPr>
            <w:rStyle w:val="Hyperlink"/>
          </w:rPr>
          <w:t>2.</w:t>
        </w:r>
        <w:r w:rsidR="005E3463">
          <w:rPr>
            <w:rFonts w:asciiTheme="minorHAnsi" w:eastAsiaTheme="minorEastAsia" w:hAnsiTheme="minorHAnsi" w:cstheme="minorBidi"/>
            <w:bCs w:val="0"/>
            <w:iCs w:val="0"/>
            <w:caps w:val="0"/>
            <w:sz w:val="22"/>
            <w:szCs w:val="22"/>
            <w:lang w:eastAsia="en-GB"/>
          </w:rPr>
          <w:tab/>
        </w:r>
        <w:r w:rsidR="005E3463" w:rsidRPr="00F7583D">
          <w:rPr>
            <w:rStyle w:val="Hyperlink"/>
          </w:rPr>
          <w:t>explanation of CONCEPTS AND terms</w:t>
        </w:r>
        <w:r w:rsidR="005E3463">
          <w:rPr>
            <w:webHidden/>
          </w:rPr>
          <w:tab/>
        </w:r>
        <w:r w:rsidR="005E3463">
          <w:rPr>
            <w:webHidden/>
          </w:rPr>
          <w:fldChar w:fldCharType="begin"/>
        </w:r>
        <w:r w:rsidR="005E3463">
          <w:rPr>
            <w:webHidden/>
          </w:rPr>
          <w:instrText xml:space="preserve"> PAGEREF _Toc450203984 \h </w:instrText>
        </w:r>
        <w:r w:rsidR="005E3463">
          <w:rPr>
            <w:webHidden/>
          </w:rPr>
        </w:r>
        <w:r w:rsidR="005E3463">
          <w:rPr>
            <w:webHidden/>
          </w:rPr>
          <w:fldChar w:fldCharType="separate"/>
        </w:r>
        <w:r w:rsidR="005E3463">
          <w:rPr>
            <w:webHidden/>
          </w:rPr>
          <w:t>11</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3985" w:history="1">
        <w:r w:rsidR="005E3463" w:rsidRPr="00F7583D">
          <w:rPr>
            <w:rStyle w:val="Hyperlink"/>
          </w:rPr>
          <w:t>Planned exposure situations: exposures expected to occur in normal operation and potential exposures</w:t>
        </w:r>
        <w:r w:rsidR="005E3463">
          <w:rPr>
            <w:webHidden/>
          </w:rPr>
          <w:tab/>
        </w:r>
        <w:r w:rsidR="005E3463">
          <w:rPr>
            <w:webHidden/>
          </w:rPr>
          <w:fldChar w:fldCharType="begin"/>
        </w:r>
        <w:r w:rsidR="005E3463">
          <w:rPr>
            <w:webHidden/>
          </w:rPr>
          <w:instrText xml:space="preserve"> PAGEREF _Toc450203985 \h </w:instrText>
        </w:r>
        <w:r w:rsidR="005E3463">
          <w:rPr>
            <w:webHidden/>
          </w:rPr>
        </w:r>
        <w:r w:rsidR="005E3463">
          <w:rPr>
            <w:webHidden/>
          </w:rPr>
          <w:fldChar w:fldCharType="separate"/>
        </w:r>
        <w:r w:rsidR="005E3463">
          <w:rPr>
            <w:webHidden/>
          </w:rPr>
          <w:t>11</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3986" w:history="1">
        <w:r w:rsidR="005E3463" w:rsidRPr="00F7583D">
          <w:rPr>
            <w:rStyle w:val="Hyperlink"/>
          </w:rPr>
          <w:t>Governmental decision making process</w:t>
        </w:r>
        <w:r w:rsidR="005E3463">
          <w:rPr>
            <w:webHidden/>
          </w:rPr>
          <w:tab/>
        </w:r>
        <w:r w:rsidR="005E3463">
          <w:rPr>
            <w:webHidden/>
          </w:rPr>
          <w:fldChar w:fldCharType="begin"/>
        </w:r>
        <w:r w:rsidR="005E3463">
          <w:rPr>
            <w:webHidden/>
          </w:rPr>
          <w:instrText xml:space="preserve"> PAGEREF _Toc450203986 \h </w:instrText>
        </w:r>
        <w:r w:rsidR="005E3463">
          <w:rPr>
            <w:webHidden/>
          </w:rPr>
        </w:r>
        <w:r w:rsidR="005E3463">
          <w:rPr>
            <w:webHidden/>
          </w:rPr>
          <w:fldChar w:fldCharType="separate"/>
        </w:r>
        <w:r w:rsidR="005E3463">
          <w:rPr>
            <w:webHidden/>
          </w:rPr>
          <w:t>11</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3987" w:history="1">
        <w:r w:rsidR="005E3463" w:rsidRPr="00F7583D">
          <w:rPr>
            <w:rStyle w:val="Hyperlink"/>
          </w:rPr>
          <w:t>Authorization process</w:t>
        </w:r>
        <w:r w:rsidR="005E3463">
          <w:rPr>
            <w:webHidden/>
          </w:rPr>
          <w:tab/>
        </w:r>
        <w:r w:rsidR="005E3463">
          <w:rPr>
            <w:webHidden/>
          </w:rPr>
          <w:fldChar w:fldCharType="begin"/>
        </w:r>
        <w:r w:rsidR="005E3463">
          <w:rPr>
            <w:webHidden/>
          </w:rPr>
          <w:instrText xml:space="preserve"> PAGEREF _Toc450203987 \h </w:instrText>
        </w:r>
        <w:r w:rsidR="005E3463">
          <w:rPr>
            <w:webHidden/>
          </w:rPr>
        </w:r>
        <w:r w:rsidR="005E3463">
          <w:rPr>
            <w:webHidden/>
          </w:rPr>
          <w:fldChar w:fldCharType="separate"/>
        </w:r>
        <w:r w:rsidR="005E3463">
          <w:rPr>
            <w:webHidden/>
          </w:rPr>
          <w:t>11</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3988" w:history="1">
        <w:r w:rsidR="005E3463" w:rsidRPr="00F7583D">
          <w:rPr>
            <w:rStyle w:val="Hyperlink"/>
          </w:rPr>
          <w:t>Environmental Impact Assessment</w:t>
        </w:r>
        <w:r w:rsidR="005E3463">
          <w:rPr>
            <w:webHidden/>
          </w:rPr>
          <w:tab/>
        </w:r>
        <w:r w:rsidR="005E3463">
          <w:rPr>
            <w:webHidden/>
          </w:rPr>
          <w:fldChar w:fldCharType="begin"/>
        </w:r>
        <w:r w:rsidR="005E3463">
          <w:rPr>
            <w:webHidden/>
          </w:rPr>
          <w:instrText xml:space="preserve"> PAGEREF _Toc450203988 \h </w:instrText>
        </w:r>
        <w:r w:rsidR="005E3463">
          <w:rPr>
            <w:webHidden/>
          </w:rPr>
        </w:r>
        <w:r w:rsidR="005E3463">
          <w:rPr>
            <w:webHidden/>
          </w:rPr>
          <w:fldChar w:fldCharType="separate"/>
        </w:r>
        <w:r w:rsidR="005E3463">
          <w:rPr>
            <w:webHidden/>
          </w:rPr>
          <w:t>12</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3989" w:history="1">
        <w:r w:rsidR="005E3463" w:rsidRPr="00F7583D">
          <w:rPr>
            <w:rStyle w:val="Hyperlink"/>
          </w:rPr>
          <w:t>Environment and protection of the environment</w:t>
        </w:r>
        <w:r w:rsidR="005E3463">
          <w:rPr>
            <w:webHidden/>
          </w:rPr>
          <w:tab/>
        </w:r>
        <w:r w:rsidR="005E3463">
          <w:rPr>
            <w:webHidden/>
          </w:rPr>
          <w:fldChar w:fldCharType="begin"/>
        </w:r>
        <w:r w:rsidR="005E3463">
          <w:rPr>
            <w:webHidden/>
          </w:rPr>
          <w:instrText xml:space="preserve"> PAGEREF _Toc450203989 \h </w:instrText>
        </w:r>
        <w:r w:rsidR="005E3463">
          <w:rPr>
            <w:webHidden/>
          </w:rPr>
        </w:r>
        <w:r w:rsidR="005E3463">
          <w:rPr>
            <w:webHidden/>
          </w:rPr>
          <w:fldChar w:fldCharType="separate"/>
        </w:r>
        <w:r w:rsidR="005E3463">
          <w:rPr>
            <w:webHidden/>
          </w:rPr>
          <w:t>12</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3990" w:history="1">
        <w:r w:rsidR="005E3463" w:rsidRPr="00F7583D">
          <w:rPr>
            <w:rStyle w:val="Hyperlink"/>
          </w:rPr>
          <w:t>Radiological Environmental Impact Assessment</w:t>
        </w:r>
        <w:r w:rsidR="005E3463">
          <w:rPr>
            <w:webHidden/>
          </w:rPr>
          <w:tab/>
        </w:r>
        <w:r w:rsidR="005E3463">
          <w:rPr>
            <w:webHidden/>
          </w:rPr>
          <w:fldChar w:fldCharType="begin"/>
        </w:r>
        <w:r w:rsidR="005E3463">
          <w:rPr>
            <w:webHidden/>
          </w:rPr>
          <w:instrText xml:space="preserve"> PAGEREF _Toc450203990 \h </w:instrText>
        </w:r>
        <w:r w:rsidR="005E3463">
          <w:rPr>
            <w:webHidden/>
          </w:rPr>
        </w:r>
        <w:r w:rsidR="005E3463">
          <w:rPr>
            <w:webHidden/>
          </w:rPr>
          <w:fldChar w:fldCharType="separate"/>
        </w:r>
        <w:r w:rsidR="005E3463">
          <w:rPr>
            <w:webHidden/>
          </w:rPr>
          <w:t>13</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3991" w:history="1">
        <w:r w:rsidR="005E3463" w:rsidRPr="00F7583D">
          <w:rPr>
            <w:rStyle w:val="Hyperlink"/>
          </w:rPr>
          <w:t>Members of the Public</w:t>
        </w:r>
        <w:r w:rsidR="005E3463">
          <w:rPr>
            <w:webHidden/>
          </w:rPr>
          <w:tab/>
        </w:r>
        <w:r w:rsidR="005E3463">
          <w:rPr>
            <w:webHidden/>
          </w:rPr>
          <w:fldChar w:fldCharType="begin"/>
        </w:r>
        <w:r w:rsidR="005E3463">
          <w:rPr>
            <w:webHidden/>
          </w:rPr>
          <w:instrText xml:space="preserve"> PAGEREF _Toc450203991 \h </w:instrText>
        </w:r>
        <w:r w:rsidR="005E3463">
          <w:rPr>
            <w:webHidden/>
          </w:rPr>
        </w:r>
        <w:r w:rsidR="005E3463">
          <w:rPr>
            <w:webHidden/>
          </w:rPr>
          <w:fldChar w:fldCharType="separate"/>
        </w:r>
        <w:r w:rsidR="005E3463">
          <w:rPr>
            <w:webHidden/>
          </w:rPr>
          <w:t>13</w:t>
        </w:r>
        <w:r w:rsidR="005E3463">
          <w:rPr>
            <w:webHidden/>
          </w:rPr>
          <w:fldChar w:fldCharType="end"/>
        </w:r>
      </w:hyperlink>
    </w:p>
    <w:p w:rsidR="005E3463" w:rsidRDefault="00527DD7">
      <w:pPr>
        <w:pStyle w:val="TOC1"/>
        <w:rPr>
          <w:rFonts w:asciiTheme="minorHAnsi" w:eastAsiaTheme="minorEastAsia" w:hAnsiTheme="minorHAnsi" w:cstheme="minorBidi"/>
          <w:bCs w:val="0"/>
          <w:iCs w:val="0"/>
          <w:caps w:val="0"/>
          <w:sz w:val="22"/>
          <w:szCs w:val="22"/>
          <w:lang w:eastAsia="en-GB"/>
        </w:rPr>
      </w:pPr>
      <w:hyperlink w:anchor="_Toc450203992" w:history="1">
        <w:r w:rsidR="005E3463" w:rsidRPr="00F7583D">
          <w:rPr>
            <w:rStyle w:val="Hyperlink"/>
          </w:rPr>
          <w:t>3.</w:t>
        </w:r>
        <w:r w:rsidR="005E3463">
          <w:rPr>
            <w:rFonts w:asciiTheme="minorHAnsi" w:eastAsiaTheme="minorEastAsia" w:hAnsiTheme="minorHAnsi" w:cstheme="minorBidi"/>
            <w:bCs w:val="0"/>
            <w:iCs w:val="0"/>
            <w:caps w:val="0"/>
            <w:sz w:val="22"/>
            <w:szCs w:val="22"/>
            <w:lang w:eastAsia="en-GB"/>
          </w:rPr>
          <w:tab/>
        </w:r>
        <w:r w:rsidR="005E3463" w:rsidRPr="00F7583D">
          <w:rPr>
            <w:rStyle w:val="Hyperlink"/>
          </w:rPr>
          <w:t>SAFETY REQUIREMENTS RELEVANT TO prospective radiological environmental impact assessment and protection of the public</w:t>
        </w:r>
        <w:r w:rsidR="005E3463">
          <w:rPr>
            <w:webHidden/>
          </w:rPr>
          <w:tab/>
        </w:r>
        <w:r w:rsidR="005E3463">
          <w:rPr>
            <w:webHidden/>
          </w:rPr>
          <w:fldChar w:fldCharType="begin"/>
        </w:r>
        <w:r w:rsidR="005E3463">
          <w:rPr>
            <w:webHidden/>
          </w:rPr>
          <w:instrText xml:space="preserve"> PAGEREF _Toc450203992 \h </w:instrText>
        </w:r>
        <w:r w:rsidR="005E3463">
          <w:rPr>
            <w:webHidden/>
          </w:rPr>
        </w:r>
        <w:r w:rsidR="005E3463">
          <w:rPr>
            <w:webHidden/>
          </w:rPr>
          <w:fldChar w:fldCharType="separate"/>
        </w:r>
        <w:r w:rsidR="005E3463">
          <w:rPr>
            <w:webHidden/>
          </w:rPr>
          <w:t>14</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3993" w:history="1">
        <w:r w:rsidR="005E3463" w:rsidRPr="00F7583D">
          <w:rPr>
            <w:rStyle w:val="Hyperlink"/>
          </w:rPr>
          <w:t>Limitation of dose and constraint of dose and risk</w:t>
        </w:r>
        <w:r w:rsidR="005E3463">
          <w:rPr>
            <w:webHidden/>
          </w:rPr>
          <w:tab/>
        </w:r>
        <w:r w:rsidR="005E3463">
          <w:rPr>
            <w:webHidden/>
          </w:rPr>
          <w:fldChar w:fldCharType="begin"/>
        </w:r>
        <w:r w:rsidR="005E3463">
          <w:rPr>
            <w:webHidden/>
          </w:rPr>
          <w:instrText xml:space="preserve"> PAGEREF _Toc450203993 \h </w:instrText>
        </w:r>
        <w:r w:rsidR="005E3463">
          <w:rPr>
            <w:webHidden/>
          </w:rPr>
        </w:r>
        <w:r w:rsidR="005E3463">
          <w:rPr>
            <w:webHidden/>
          </w:rPr>
          <w:fldChar w:fldCharType="separate"/>
        </w:r>
        <w:r w:rsidR="005E3463">
          <w:rPr>
            <w:webHidden/>
          </w:rPr>
          <w:t>14</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3994" w:history="1">
        <w:r w:rsidR="005E3463" w:rsidRPr="00F7583D">
          <w:rPr>
            <w:rStyle w:val="Hyperlink"/>
          </w:rPr>
          <w:t>Assessment for protection of the public and protection of the environment</w:t>
        </w:r>
        <w:r w:rsidR="005E3463">
          <w:rPr>
            <w:webHidden/>
          </w:rPr>
          <w:tab/>
        </w:r>
        <w:r w:rsidR="005E3463">
          <w:rPr>
            <w:webHidden/>
          </w:rPr>
          <w:fldChar w:fldCharType="begin"/>
        </w:r>
        <w:r w:rsidR="005E3463">
          <w:rPr>
            <w:webHidden/>
          </w:rPr>
          <w:instrText xml:space="preserve"> PAGEREF _Toc450203994 \h </w:instrText>
        </w:r>
        <w:r w:rsidR="005E3463">
          <w:rPr>
            <w:webHidden/>
          </w:rPr>
        </w:r>
        <w:r w:rsidR="005E3463">
          <w:rPr>
            <w:webHidden/>
          </w:rPr>
          <w:fldChar w:fldCharType="separate"/>
        </w:r>
        <w:r w:rsidR="005E3463">
          <w:rPr>
            <w:webHidden/>
          </w:rPr>
          <w:t>14</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3995" w:history="1">
        <w:r w:rsidR="005E3463" w:rsidRPr="00F7583D">
          <w:rPr>
            <w:rStyle w:val="Hyperlink"/>
          </w:rPr>
          <w:t>Assessment and control of potential exposure</w:t>
        </w:r>
        <w:r w:rsidR="005E3463">
          <w:rPr>
            <w:webHidden/>
          </w:rPr>
          <w:tab/>
        </w:r>
        <w:r w:rsidR="005E3463">
          <w:rPr>
            <w:webHidden/>
          </w:rPr>
          <w:fldChar w:fldCharType="begin"/>
        </w:r>
        <w:r w:rsidR="005E3463">
          <w:rPr>
            <w:webHidden/>
          </w:rPr>
          <w:instrText xml:space="preserve"> PAGEREF _Toc450203995 \h </w:instrText>
        </w:r>
        <w:r w:rsidR="005E3463">
          <w:rPr>
            <w:webHidden/>
          </w:rPr>
        </w:r>
        <w:r w:rsidR="005E3463">
          <w:rPr>
            <w:webHidden/>
          </w:rPr>
          <w:fldChar w:fldCharType="separate"/>
        </w:r>
        <w:r w:rsidR="005E3463">
          <w:rPr>
            <w:webHidden/>
          </w:rPr>
          <w:t>15</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3996" w:history="1">
        <w:r w:rsidR="005E3463" w:rsidRPr="00F7583D">
          <w:rPr>
            <w:rStyle w:val="Hyperlink"/>
          </w:rPr>
          <w:t>Graded approach</w:t>
        </w:r>
        <w:r w:rsidR="005E3463">
          <w:rPr>
            <w:webHidden/>
          </w:rPr>
          <w:tab/>
        </w:r>
        <w:r w:rsidR="005E3463">
          <w:rPr>
            <w:webHidden/>
          </w:rPr>
          <w:fldChar w:fldCharType="begin"/>
        </w:r>
        <w:r w:rsidR="005E3463">
          <w:rPr>
            <w:webHidden/>
          </w:rPr>
          <w:instrText xml:space="preserve"> PAGEREF _Toc450203996 \h </w:instrText>
        </w:r>
        <w:r w:rsidR="005E3463">
          <w:rPr>
            <w:webHidden/>
          </w:rPr>
        </w:r>
        <w:r w:rsidR="005E3463">
          <w:rPr>
            <w:webHidden/>
          </w:rPr>
          <w:fldChar w:fldCharType="separate"/>
        </w:r>
        <w:r w:rsidR="005E3463">
          <w:rPr>
            <w:webHidden/>
          </w:rPr>
          <w:t>16</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3997" w:history="1">
        <w:r w:rsidR="005E3463" w:rsidRPr="00F7583D">
          <w:rPr>
            <w:rStyle w:val="Hyperlink"/>
          </w:rPr>
          <w:t>Transboundary impacts</w:t>
        </w:r>
        <w:r w:rsidR="005E3463">
          <w:rPr>
            <w:webHidden/>
          </w:rPr>
          <w:tab/>
        </w:r>
        <w:r w:rsidR="005E3463">
          <w:rPr>
            <w:webHidden/>
          </w:rPr>
          <w:fldChar w:fldCharType="begin"/>
        </w:r>
        <w:r w:rsidR="005E3463">
          <w:rPr>
            <w:webHidden/>
          </w:rPr>
          <w:instrText xml:space="preserve"> PAGEREF _Toc450203997 \h </w:instrText>
        </w:r>
        <w:r w:rsidR="005E3463">
          <w:rPr>
            <w:webHidden/>
          </w:rPr>
        </w:r>
        <w:r w:rsidR="005E3463">
          <w:rPr>
            <w:webHidden/>
          </w:rPr>
          <w:fldChar w:fldCharType="separate"/>
        </w:r>
        <w:r w:rsidR="005E3463">
          <w:rPr>
            <w:webHidden/>
          </w:rPr>
          <w:t>17</w:t>
        </w:r>
        <w:r w:rsidR="005E3463">
          <w:rPr>
            <w:webHidden/>
          </w:rPr>
          <w:fldChar w:fldCharType="end"/>
        </w:r>
      </w:hyperlink>
    </w:p>
    <w:p w:rsidR="005E3463" w:rsidRDefault="00527DD7">
      <w:pPr>
        <w:pStyle w:val="TOC1"/>
        <w:rPr>
          <w:rFonts w:asciiTheme="minorHAnsi" w:eastAsiaTheme="minorEastAsia" w:hAnsiTheme="minorHAnsi" w:cstheme="minorBidi"/>
          <w:bCs w:val="0"/>
          <w:iCs w:val="0"/>
          <w:caps w:val="0"/>
          <w:sz w:val="22"/>
          <w:szCs w:val="22"/>
          <w:lang w:eastAsia="en-GB"/>
        </w:rPr>
      </w:pPr>
      <w:hyperlink w:anchor="_Toc450203998" w:history="1">
        <w:r w:rsidR="005E3463" w:rsidRPr="00F7583D">
          <w:rPr>
            <w:rStyle w:val="Hyperlink"/>
          </w:rPr>
          <w:t>4.</w:t>
        </w:r>
        <w:r w:rsidR="005E3463">
          <w:rPr>
            <w:rFonts w:asciiTheme="minorHAnsi" w:eastAsiaTheme="minorEastAsia" w:hAnsiTheme="minorHAnsi" w:cstheme="minorBidi"/>
            <w:bCs w:val="0"/>
            <w:iCs w:val="0"/>
            <w:caps w:val="0"/>
            <w:sz w:val="22"/>
            <w:szCs w:val="22"/>
            <w:lang w:eastAsia="en-GB"/>
          </w:rPr>
          <w:tab/>
        </w:r>
        <w:r w:rsidR="005E3463" w:rsidRPr="00F7583D">
          <w:rPr>
            <w:rStyle w:val="Hyperlink"/>
          </w:rPr>
          <w:t>FRAMEWORK for PROSPECTIVE RADIOLOGICAL ENVIRONMENTAL IMPACT ASSESSMENT FOR FACILITIES AND ACTIVITIES</w:t>
        </w:r>
        <w:r w:rsidR="005E3463">
          <w:rPr>
            <w:webHidden/>
          </w:rPr>
          <w:tab/>
        </w:r>
        <w:r w:rsidR="005E3463">
          <w:rPr>
            <w:webHidden/>
          </w:rPr>
          <w:fldChar w:fldCharType="begin"/>
        </w:r>
        <w:r w:rsidR="005E3463">
          <w:rPr>
            <w:webHidden/>
          </w:rPr>
          <w:instrText xml:space="preserve"> PAGEREF _Toc450203998 \h </w:instrText>
        </w:r>
        <w:r w:rsidR="005E3463">
          <w:rPr>
            <w:webHidden/>
          </w:rPr>
        </w:r>
        <w:r w:rsidR="005E3463">
          <w:rPr>
            <w:webHidden/>
          </w:rPr>
          <w:fldChar w:fldCharType="separate"/>
        </w:r>
        <w:r w:rsidR="005E3463">
          <w:rPr>
            <w:webHidden/>
          </w:rPr>
          <w:t>18</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3999" w:history="1">
        <w:r w:rsidR="005E3463" w:rsidRPr="00F7583D">
          <w:rPr>
            <w:rStyle w:val="Hyperlink"/>
          </w:rPr>
          <w:t>Assessment for the authorization process</w:t>
        </w:r>
        <w:r w:rsidR="005E3463">
          <w:rPr>
            <w:webHidden/>
          </w:rPr>
          <w:tab/>
        </w:r>
        <w:r w:rsidR="005E3463">
          <w:rPr>
            <w:webHidden/>
          </w:rPr>
          <w:fldChar w:fldCharType="begin"/>
        </w:r>
        <w:r w:rsidR="005E3463">
          <w:rPr>
            <w:webHidden/>
          </w:rPr>
          <w:instrText xml:space="preserve"> PAGEREF _Toc450203999 \h </w:instrText>
        </w:r>
        <w:r w:rsidR="005E3463">
          <w:rPr>
            <w:webHidden/>
          </w:rPr>
        </w:r>
        <w:r w:rsidR="005E3463">
          <w:rPr>
            <w:webHidden/>
          </w:rPr>
          <w:fldChar w:fldCharType="separate"/>
        </w:r>
        <w:r w:rsidR="005E3463">
          <w:rPr>
            <w:webHidden/>
          </w:rPr>
          <w:t>18</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4000" w:history="1">
        <w:r w:rsidR="005E3463" w:rsidRPr="00F7583D">
          <w:rPr>
            <w:rStyle w:val="Hyperlink"/>
          </w:rPr>
          <w:t>Assessment as part of a governmental decision making process</w:t>
        </w:r>
        <w:r w:rsidR="005E3463">
          <w:rPr>
            <w:webHidden/>
          </w:rPr>
          <w:tab/>
        </w:r>
        <w:r w:rsidR="005E3463">
          <w:rPr>
            <w:webHidden/>
          </w:rPr>
          <w:fldChar w:fldCharType="begin"/>
        </w:r>
        <w:r w:rsidR="005E3463">
          <w:rPr>
            <w:webHidden/>
          </w:rPr>
          <w:instrText xml:space="preserve"> PAGEREF _Toc450204000 \h </w:instrText>
        </w:r>
        <w:r w:rsidR="005E3463">
          <w:rPr>
            <w:webHidden/>
          </w:rPr>
        </w:r>
        <w:r w:rsidR="005E3463">
          <w:rPr>
            <w:webHidden/>
          </w:rPr>
          <w:fldChar w:fldCharType="separate"/>
        </w:r>
        <w:r w:rsidR="005E3463">
          <w:rPr>
            <w:webHidden/>
          </w:rPr>
          <w:t>22</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4001" w:history="1">
        <w:r w:rsidR="005E3463" w:rsidRPr="00F7583D">
          <w:rPr>
            <w:rStyle w:val="Hyperlink"/>
          </w:rPr>
          <w:t>Assessments for other purposes</w:t>
        </w:r>
        <w:r w:rsidR="005E3463">
          <w:rPr>
            <w:webHidden/>
          </w:rPr>
          <w:tab/>
        </w:r>
        <w:r w:rsidR="005E3463">
          <w:rPr>
            <w:webHidden/>
          </w:rPr>
          <w:fldChar w:fldCharType="begin"/>
        </w:r>
        <w:r w:rsidR="005E3463">
          <w:rPr>
            <w:webHidden/>
          </w:rPr>
          <w:instrText xml:space="preserve"> PAGEREF _Toc450204001 \h </w:instrText>
        </w:r>
        <w:r w:rsidR="005E3463">
          <w:rPr>
            <w:webHidden/>
          </w:rPr>
        </w:r>
        <w:r w:rsidR="005E3463">
          <w:rPr>
            <w:webHidden/>
          </w:rPr>
          <w:fldChar w:fldCharType="separate"/>
        </w:r>
        <w:r w:rsidR="005E3463">
          <w:rPr>
            <w:webHidden/>
          </w:rPr>
          <w:t>23</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4002" w:history="1">
        <w:r w:rsidR="005E3463" w:rsidRPr="00F7583D">
          <w:rPr>
            <w:rStyle w:val="Hyperlink"/>
          </w:rPr>
          <w:t>Communication of results</w:t>
        </w:r>
        <w:r w:rsidR="005E3463">
          <w:rPr>
            <w:webHidden/>
          </w:rPr>
          <w:tab/>
        </w:r>
        <w:r w:rsidR="005E3463">
          <w:rPr>
            <w:webHidden/>
          </w:rPr>
          <w:fldChar w:fldCharType="begin"/>
        </w:r>
        <w:r w:rsidR="005E3463">
          <w:rPr>
            <w:webHidden/>
          </w:rPr>
          <w:instrText xml:space="preserve"> PAGEREF _Toc450204002 \h </w:instrText>
        </w:r>
        <w:r w:rsidR="005E3463">
          <w:rPr>
            <w:webHidden/>
          </w:rPr>
        </w:r>
        <w:r w:rsidR="005E3463">
          <w:rPr>
            <w:webHidden/>
          </w:rPr>
          <w:fldChar w:fldCharType="separate"/>
        </w:r>
        <w:r w:rsidR="005E3463">
          <w:rPr>
            <w:webHidden/>
          </w:rPr>
          <w:t>23</w:t>
        </w:r>
        <w:r w:rsidR="005E3463">
          <w:rPr>
            <w:webHidden/>
          </w:rPr>
          <w:fldChar w:fldCharType="end"/>
        </w:r>
      </w:hyperlink>
    </w:p>
    <w:p w:rsidR="005E3463" w:rsidRDefault="00527DD7">
      <w:pPr>
        <w:pStyle w:val="TOC1"/>
        <w:rPr>
          <w:rFonts w:asciiTheme="minorHAnsi" w:eastAsiaTheme="minorEastAsia" w:hAnsiTheme="minorHAnsi" w:cstheme="minorBidi"/>
          <w:bCs w:val="0"/>
          <w:iCs w:val="0"/>
          <w:caps w:val="0"/>
          <w:sz w:val="22"/>
          <w:szCs w:val="22"/>
          <w:lang w:eastAsia="en-GB"/>
        </w:rPr>
      </w:pPr>
      <w:hyperlink w:anchor="_Toc450204003" w:history="1">
        <w:r w:rsidR="005E3463" w:rsidRPr="00F7583D">
          <w:rPr>
            <w:rStyle w:val="Hyperlink"/>
          </w:rPr>
          <w:t>5.</w:t>
        </w:r>
        <w:r w:rsidR="005E3463">
          <w:rPr>
            <w:rFonts w:asciiTheme="minorHAnsi" w:eastAsiaTheme="minorEastAsia" w:hAnsiTheme="minorHAnsi" w:cstheme="minorBidi"/>
            <w:bCs w:val="0"/>
            <w:iCs w:val="0"/>
            <w:caps w:val="0"/>
            <w:sz w:val="22"/>
            <w:szCs w:val="22"/>
            <w:lang w:eastAsia="en-GB"/>
          </w:rPr>
          <w:tab/>
        </w:r>
        <w:r w:rsidR="005E3463" w:rsidRPr="00F7583D">
          <w:rPr>
            <w:rStyle w:val="Hyperlink"/>
          </w:rPr>
          <w:t>METHODOLOGY FOR THE ASSESSMENT</w:t>
        </w:r>
        <w:r w:rsidR="005E3463">
          <w:rPr>
            <w:webHidden/>
          </w:rPr>
          <w:tab/>
        </w:r>
        <w:r w:rsidR="005E3463">
          <w:rPr>
            <w:webHidden/>
          </w:rPr>
          <w:fldChar w:fldCharType="begin"/>
        </w:r>
        <w:r w:rsidR="005E3463">
          <w:rPr>
            <w:webHidden/>
          </w:rPr>
          <w:instrText xml:space="preserve"> PAGEREF _Toc450204003 \h </w:instrText>
        </w:r>
        <w:r w:rsidR="005E3463">
          <w:rPr>
            <w:webHidden/>
          </w:rPr>
        </w:r>
        <w:r w:rsidR="005E3463">
          <w:rPr>
            <w:webHidden/>
          </w:rPr>
          <w:fldChar w:fldCharType="separate"/>
        </w:r>
        <w:r w:rsidR="005E3463">
          <w:rPr>
            <w:webHidden/>
          </w:rPr>
          <w:t>25</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4004" w:history="1">
        <w:r w:rsidR="005E3463" w:rsidRPr="00F7583D">
          <w:rPr>
            <w:rStyle w:val="Hyperlink"/>
          </w:rPr>
          <w:t>General considerations</w:t>
        </w:r>
        <w:r w:rsidR="005E3463">
          <w:rPr>
            <w:webHidden/>
          </w:rPr>
          <w:tab/>
        </w:r>
        <w:r w:rsidR="005E3463">
          <w:rPr>
            <w:webHidden/>
          </w:rPr>
          <w:fldChar w:fldCharType="begin"/>
        </w:r>
        <w:r w:rsidR="005E3463">
          <w:rPr>
            <w:webHidden/>
          </w:rPr>
          <w:instrText xml:space="preserve"> PAGEREF _Toc450204004 \h </w:instrText>
        </w:r>
        <w:r w:rsidR="005E3463">
          <w:rPr>
            <w:webHidden/>
          </w:rPr>
        </w:r>
        <w:r w:rsidR="005E3463">
          <w:rPr>
            <w:webHidden/>
          </w:rPr>
          <w:fldChar w:fldCharType="separate"/>
        </w:r>
        <w:r w:rsidR="005E3463">
          <w:rPr>
            <w:webHidden/>
          </w:rPr>
          <w:t>25</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4005" w:history="1">
        <w:r w:rsidR="005E3463" w:rsidRPr="00F7583D">
          <w:rPr>
            <w:rStyle w:val="Hyperlink"/>
          </w:rPr>
          <w:t>Assessment for protection of the public in normal operation</w:t>
        </w:r>
        <w:r w:rsidR="005E3463">
          <w:rPr>
            <w:webHidden/>
          </w:rPr>
          <w:tab/>
        </w:r>
        <w:r w:rsidR="005E3463">
          <w:rPr>
            <w:webHidden/>
          </w:rPr>
          <w:fldChar w:fldCharType="begin"/>
        </w:r>
        <w:r w:rsidR="005E3463">
          <w:rPr>
            <w:webHidden/>
          </w:rPr>
          <w:instrText xml:space="preserve"> PAGEREF _Toc450204005 \h </w:instrText>
        </w:r>
        <w:r w:rsidR="005E3463">
          <w:rPr>
            <w:webHidden/>
          </w:rPr>
        </w:r>
        <w:r w:rsidR="005E3463">
          <w:rPr>
            <w:webHidden/>
          </w:rPr>
          <w:fldChar w:fldCharType="separate"/>
        </w:r>
        <w:r w:rsidR="005E3463">
          <w:rPr>
            <w:webHidden/>
          </w:rPr>
          <w:t>26</w:t>
        </w:r>
        <w:r w:rsidR="005E3463">
          <w:rPr>
            <w:webHidden/>
          </w:rPr>
          <w:fldChar w:fldCharType="end"/>
        </w:r>
      </w:hyperlink>
    </w:p>
    <w:p w:rsidR="005E3463" w:rsidRDefault="00527DD7">
      <w:pPr>
        <w:pStyle w:val="TOC3"/>
        <w:rPr>
          <w:rFonts w:asciiTheme="minorHAnsi" w:eastAsiaTheme="minorEastAsia" w:hAnsiTheme="minorHAnsi" w:cstheme="minorBidi"/>
          <w:sz w:val="22"/>
          <w:szCs w:val="22"/>
          <w:lang w:eastAsia="en-GB"/>
        </w:rPr>
      </w:pPr>
      <w:hyperlink w:anchor="_Toc450204006" w:history="1">
        <w:r w:rsidR="005E3463" w:rsidRPr="00F7583D">
          <w:rPr>
            <w:rStyle w:val="Hyperlink"/>
          </w:rPr>
          <w:t>Approach to the assessment</w:t>
        </w:r>
        <w:r w:rsidR="005E3463">
          <w:rPr>
            <w:webHidden/>
          </w:rPr>
          <w:tab/>
        </w:r>
        <w:r w:rsidR="005E3463">
          <w:rPr>
            <w:webHidden/>
          </w:rPr>
          <w:fldChar w:fldCharType="begin"/>
        </w:r>
        <w:r w:rsidR="005E3463">
          <w:rPr>
            <w:webHidden/>
          </w:rPr>
          <w:instrText xml:space="preserve"> PAGEREF _Toc450204006 \h </w:instrText>
        </w:r>
        <w:r w:rsidR="005E3463">
          <w:rPr>
            <w:webHidden/>
          </w:rPr>
        </w:r>
        <w:r w:rsidR="005E3463">
          <w:rPr>
            <w:webHidden/>
          </w:rPr>
          <w:fldChar w:fldCharType="separate"/>
        </w:r>
        <w:r w:rsidR="005E3463">
          <w:rPr>
            <w:webHidden/>
          </w:rPr>
          <w:t>26</w:t>
        </w:r>
        <w:r w:rsidR="005E3463">
          <w:rPr>
            <w:webHidden/>
          </w:rPr>
          <w:fldChar w:fldCharType="end"/>
        </w:r>
      </w:hyperlink>
    </w:p>
    <w:p w:rsidR="005E3463" w:rsidRDefault="00527DD7">
      <w:pPr>
        <w:pStyle w:val="TOC3"/>
        <w:rPr>
          <w:rFonts w:asciiTheme="minorHAnsi" w:eastAsiaTheme="minorEastAsia" w:hAnsiTheme="minorHAnsi" w:cstheme="minorBidi"/>
          <w:sz w:val="22"/>
          <w:szCs w:val="22"/>
          <w:lang w:eastAsia="en-GB"/>
        </w:rPr>
      </w:pPr>
      <w:hyperlink w:anchor="_Toc450204007" w:history="1">
        <w:r w:rsidR="005E3463" w:rsidRPr="00F7583D">
          <w:rPr>
            <w:rStyle w:val="Hyperlink"/>
          </w:rPr>
          <w:t>Selection of the source term</w:t>
        </w:r>
        <w:r w:rsidR="005E3463">
          <w:rPr>
            <w:webHidden/>
          </w:rPr>
          <w:tab/>
        </w:r>
        <w:r w:rsidR="005E3463">
          <w:rPr>
            <w:webHidden/>
          </w:rPr>
          <w:fldChar w:fldCharType="begin"/>
        </w:r>
        <w:r w:rsidR="005E3463">
          <w:rPr>
            <w:webHidden/>
          </w:rPr>
          <w:instrText xml:space="preserve"> PAGEREF _Toc450204007 \h </w:instrText>
        </w:r>
        <w:r w:rsidR="005E3463">
          <w:rPr>
            <w:webHidden/>
          </w:rPr>
        </w:r>
        <w:r w:rsidR="005E3463">
          <w:rPr>
            <w:webHidden/>
          </w:rPr>
          <w:fldChar w:fldCharType="separate"/>
        </w:r>
        <w:r w:rsidR="005E3463">
          <w:rPr>
            <w:webHidden/>
          </w:rPr>
          <w:t>27</w:t>
        </w:r>
        <w:r w:rsidR="005E3463">
          <w:rPr>
            <w:webHidden/>
          </w:rPr>
          <w:fldChar w:fldCharType="end"/>
        </w:r>
      </w:hyperlink>
    </w:p>
    <w:p w:rsidR="005E3463" w:rsidRDefault="00527DD7">
      <w:pPr>
        <w:pStyle w:val="TOC3"/>
        <w:rPr>
          <w:rFonts w:asciiTheme="minorHAnsi" w:eastAsiaTheme="minorEastAsia" w:hAnsiTheme="minorHAnsi" w:cstheme="minorBidi"/>
          <w:sz w:val="22"/>
          <w:szCs w:val="22"/>
          <w:lang w:eastAsia="en-GB"/>
        </w:rPr>
      </w:pPr>
      <w:hyperlink w:anchor="_Toc450204008" w:history="1">
        <w:r w:rsidR="005E3463" w:rsidRPr="00F7583D">
          <w:rPr>
            <w:rStyle w:val="Hyperlink"/>
          </w:rPr>
          <w:t>Modelling of direct irradiation, dispersion and transfer in the environment</w:t>
        </w:r>
        <w:r w:rsidR="005E3463">
          <w:rPr>
            <w:webHidden/>
          </w:rPr>
          <w:tab/>
        </w:r>
        <w:r w:rsidR="005E3463">
          <w:rPr>
            <w:webHidden/>
          </w:rPr>
          <w:fldChar w:fldCharType="begin"/>
        </w:r>
        <w:r w:rsidR="005E3463">
          <w:rPr>
            <w:webHidden/>
          </w:rPr>
          <w:instrText xml:space="preserve"> PAGEREF _Toc450204008 \h </w:instrText>
        </w:r>
        <w:r w:rsidR="005E3463">
          <w:rPr>
            <w:webHidden/>
          </w:rPr>
        </w:r>
        <w:r w:rsidR="005E3463">
          <w:rPr>
            <w:webHidden/>
          </w:rPr>
          <w:fldChar w:fldCharType="separate"/>
        </w:r>
        <w:r w:rsidR="005E3463">
          <w:rPr>
            <w:webHidden/>
          </w:rPr>
          <w:t>28</w:t>
        </w:r>
        <w:r w:rsidR="005E3463">
          <w:rPr>
            <w:webHidden/>
          </w:rPr>
          <w:fldChar w:fldCharType="end"/>
        </w:r>
      </w:hyperlink>
    </w:p>
    <w:p w:rsidR="005E3463" w:rsidRDefault="00527DD7">
      <w:pPr>
        <w:pStyle w:val="TOC3"/>
        <w:rPr>
          <w:rFonts w:asciiTheme="minorHAnsi" w:eastAsiaTheme="minorEastAsia" w:hAnsiTheme="minorHAnsi" w:cstheme="minorBidi"/>
          <w:sz w:val="22"/>
          <w:szCs w:val="22"/>
          <w:lang w:eastAsia="en-GB"/>
        </w:rPr>
      </w:pPr>
      <w:hyperlink w:anchor="_Toc450204009" w:history="1">
        <w:r w:rsidR="005E3463" w:rsidRPr="00F7583D">
          <w:rPr>
            <w:rStyle w:val="Hyperlink"/>
          </w:rPr>
          <w:t>Identification of exposure pathways</w:t>
        </w:r>
        <w:r w:rsidR="005E3463">
          <w:rPr>
            <w:webHidden/>
          </w:rPr>
          <w:tab/>
        </w:r>
        <w:r w:rsidR="005E3463">
          <w:rPr>
            <w:webHidden/>
          </w:rPr>
          <w:fldChar w:fldCharType="begin"/>
        </w:r>
        <w:r w:rsidR="005E3463">
          <w:rPr>
            <w:webHidden/>
          </w:rPr>
          <w:instrText xml:space="preserve"> PAGEREF _Toc450204009 \h </w:instrText>
        </w:r>
        <w:r w:rsidR="005E3463">
          <w:rPr>
            <w:webHidden/>
          </w:rPr>
        </w:r>
        <w:r w:rsidR="005E3463">
          <w:rPr>
            <w:webHidden/>
          </w:rPr>
          <w:fldChar w:fldCharType="separate"/>
        </w:r>
        <w:r w:rsidR="005E3463">
          <w:rPr>
            <w:webHidden/>
          </w:rPr>
          <w:t>31</w:t>
        </w:r>
        <w:r w:rsidR="005E3463">
          <w:rPr>
            <w:webHidden/>
          </w:rPr>
          <w:fldChar w:fldCharType="end"/>
        </w:r>
      </w:hyperlink>
    </w:p>
    <w:p w:rsidR="005E3463" w:rsidRDefault="00527DD7">
      <w:pPr>
        <w:pStyle w:val="TOC3"/>
        <w:rPr>
          <w:rFonts w:asciiTheme="minorHAnsi" w:eastAsiaTheme="minorEastAsia" w:hAnsiTheme="minorHAnsi" w:cstheme="minorBidi"/>
          <w:sz w:val="22"/>
          <w:szCs w:val="22"/>
          <w:lang w:eastAsia="en-GB"/>
        </w:rPr>
      </w:pPr>
      <w:hyperlink w:anchor="_Toc450204010" w:history="1">
        <w:r w:rsidR="005E3463" w:rsidRPr="00F7583D">
          <w:rPr>
            <w:rStyle w:val="Hyperlink"/>
          </w:rPr>
          <w:t>Identification of the representative person for normal operation</w:t>
        </w:r>
        <w:r w:rsidR="005E3463">
          <w:rPr>
            <w:webHidden/>
          </w:rPr>
          <w:tab/>
        </w:r>
        <w:r w:rsidR="005E3463">
          <w:rPr>
            <w:webHidden/>
          </w:rPr>
          <w:fldChar w:fldCharType="begin"/>
        </w:r>
        <w:r w:rsidR="005E3463">
          <w:rPr>
            <w:webHidden/>
          </w:rPr>
          <w:instrText xml:space="preserve"> PAGEREF _Toc450204010 \h </w:instrText>
        </w:r>
        <w:r w:rsidR="005E3463">
          <w:rPr>
            <w:webHidden/>
          </w:rPr>
        </w:r>
        <w:r w:rsidR="005E3463">
          <w:rPr>
            <w:webHidden/>
          </w:rPr>
          <w:fldChar w:fldCharType="separate"/>
        </w:r>
        <w:r w:rsidR="005E3463">
          <w:rPr>
            <w:webHidden/>
          </w:rPr>
          <w:t>32</w:t>
        </w:r>
        <w:r w:rsidR="005E3463">
          <w:rPr>
            <w:webHidden/>
          </w:rPr>
          <w:fldChar w:fldCharType="end"/>
        </w:r>
      </w:hyperlink>
    </w:p>
    <w:p w:rsidR="005E3463" w:rsidRDefault="00527DD7">
      <w:pPr>
        <w:pStyle w:val="TOC3"/>
        <w:rPr>
          <w:rFonts w:asciiTheme="minorHAnsi" w:eastAsiaTheme="minorEastAsia" w:hAnsiTheme="minorHAnsi" w:cstheme="minorBidi"/>
          <w:sz w:val="22"/>
          <w:szCs w:val="22"/>
          <w:lang w:eastAsia="en-GB"/>
        </w:rPr>
      </w:pPr>
      <w:hyperlink w:anchor="_Toc450204011" w:history="1">
        <w:r w:rsidR="005E3463" w:rsidRPr="00F7583D">
          <w:rPr>
            <w:rStyle w:val="Hyperlink"/>
          </w:rPr>
          <w:t>Assessment of the dose to the representative person</w:t>
        </w:r>
        <w:r w:rsidR="005E3463">
          <w:rPr>
            <w:webHidden/>
          </w:rPr>
          <w:tab/>
        </w:r>
        <w:r w:rsidR="005E3463">
          <w:rPr>
            <w:webHidden/>
          </w:rPr>
          <w:fldChar w:fldCharType="begin"/>
        </w:r>
        <w:r w:rsidR="005E3463">
          <w:rPr>
            <w:webHidden/>
          </w:rPr>
          <w:instrText xml:space="preserve"> PAGEREF _Toc450204011 \h </w:instrText>
        </w:r>
        <w:r w:rsidR="005E3463">
          <w:rPr>
            <w:webHidden/>
          </w:rPr>
        </w:r>
        <w:r w:rsidR="005E3463">
          <w:rPr>
            <w:webHidden/>
          </w:rPr>
          <w:fldChar w:fldCharType="separate"/>
        </w:r>
        <w:r w:rsidR="005E3463">
          <w:rPr>
            <w:webHidden/>
          </w:rPr>
          <w:t>33</w:t>
        </w:r>
        <w:r w:rsidR="005E3463">
          <w:rPr>
            <w:webHidden/>
          </w:rPr>
          <w:fldChar w:fldCharType="end"/>
        </w:r>
      </w:hyperlink>
    </w:p>
    <w:p w:rsidR="005E3463" w:rsidRDefault="00527DD7">
      <w:pPr>
        <w:pStyle w:val="TOC3"/>
        <w:rPr>
          <w:rFonts w:asciiTheme="minorHAnsi" w:eastAsiaTheme="minorEastAsia" w:hAnsiTheme="minorHAnsi" w:cstheme="minorBidi"/>
          <w:sz w:val="22"/>
          <w:szCs w:val="22"/>
          <w:lang w:eastAsia="en-GB"/>
        </w:rPr>
      </w:pPr>
      <w:hyperlink w:anchor="_Toc450204012" w:history="1">
        <w:r w:rsidR="005E3463" w:rsidRPr="00F7583D">
          <w:rPr>
            <w:rStyle w:val="Hyperlink"/>
          </w:rPr>
          <w:t>Comparison of estimated doses with dose constraints and dose limits</w:t>
        </w:r>
        <w:r w:rsidR="005E3463">
          <w:rPr>
            <w:webHidden/>
          </w:rPr>
          <w:tab/>
        </w:r>
        <w:r w:rsidR="005E3463">
          <w:rPr>
            <w:webHidden/>
          </w:rPr>
          <w:fldChar w:fldCharType="begin"/>
        </w:r>
        <w:r w:rsidR="005E3463">
          <w:rPr>
            <w:webHidden/>
          </w:rPr>
          <w:instrText xml:space="preserve"> PAGEREF _Toc450204012 \h </w:instrText>
        </w:r>
        <w:r w:rsidR="005E3463">
          <w:rPr>
            <w:webHidden/>
          </w:rPr>
        </w:r>
        <w:r w:rsidR="005E3463">
          <w:rPr>
            <w:webHidden/>
          </w:rPr>
          <w:fldChar w:fldCharType="separate"/>
        </w:r>
        <w:r w:rsidR="005E3463">
          <w:rPr>
            <w:webHidden/>
          </w:rPr>
          <w:t>34</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4013" w:history="1">
        <w:r w:rsidR="005E3463" w:rsidRPr="00F7583D">
          <w:rPr>
            <w:rStyle w:val="Hyperlink"/>
          </w:rPr>
          <w:t>Assessment for protection of the public against potential exposures</w:t>
        </w:r>
        <w:r w:rsidR="005E3463">
          <w:rPr>
            <w:webHidden/>
          </w:rPr>
          <w:tab/>
        </w:r>
        <w:r w:rsidR="005E3463">
          <w:rPr>
            <w:webHidden/>
          </w:rPr>
          <w:fldChar w:fldCharType="begin"/>
        </w:r>
        <w:r w:rsidR="005E3463">
          <w:rPr>
            <w:webHidden/>
          </w:rPr>
          <w:instrText xml:space="preserve"> PAGEREF _Toc450204013 \h </w:instrText>
        </w:r>
        <w:r w:rsidR="005E3463">
          <w:rPr>
            <w:webHidden/>
          </w:rPr>
        </w:r>
        <w:r w:rsidR="005E3463">
          <w:rPr>
            <w:webHidden/>
          </w:rPr>
          <w:fldChar w:fldCharType="separate"/>
        </w:r>
        <w:r w:rsidR="005E3463">
          <w:rPr>
            <w:webHidden/>
          </w:rPr>
          <w:t>34</w:t>
        </w:r>
        <w:r w:rsidR="005E3463">
          <w:rPr>
            <w:webHidden/>
          </w:rPr>
          <w:fldChar w:fldCharType="end"/>
        </w:r>
      </w:hyperlink>
    </w:p>
    <w:p w:rsidR="005E3463" w:rsidRDefault="00527DD7">
      <w:pPr>
        <w:pStyle w:val="TOC3"/>
        <w:rPr>
          <w:rFonts w:asciiTheme="minorHAnsi" w:eastAsiaTheme="minorEastAsia" w:hAnsiTheme="minorHAnsi" w:cstheme="minorBidi"/>
          <w:sz w:val="22"/>
          <w:szCs w:val="22"/>
          <w:lang w:eastAsia="en-GB"/>
        </w:rPr>
      </w:pPr>
      <w:hyperlink w:anchor="_Toc450204014" w:history="1">
        <w:r w:rsidR="005E3463" w:rsidRPr="00F7583D">
          <w:rPr>
            <w:rStyle w:val="Hyperlink"/>
          </w:rPr>
          <w:t>Approach to the assessment</w:t>
        </w:r>
        <w:r w:rsidR="005E3463">
          <w:rPr>
            <w:webHidden/>
          </w:rPr>
          <w:tab/>
        </w:r>
        <w:r w:rsidR="005E3463">
          <w:rPr>
            <w:webHidden/>
          </w:rPr>
          <w:fldChar w:fldCharType="begin"/>
        </w:r>
        <w:r w:rsidR="005E3463">
          <w:rPr>
            <w:webHidden/>
          </w:rPr>
          <w:instrText xml:space="preserve"> PAGEREF _Toc450204014 \h </w:instrText>
        </w:r>
        <w:r w:rsidR="005E3463">
          <w:rPr>
            <w:webHidden/>
          </w:rPr>
        </w:r>
        <w:r w:rsidR="005E3463">
          <w:rPr>
            <w:webHidden/>
          </w:rPr>
          <w:fldChar w:fldCharType="separate"/>
        </w:r>
        <w:r w:rsidR="005E3463">
          <w:rPr>
            <w:webHidden/>
          </w:rPr>
          <w:t>35</w:t>
        </w:r>
        <w:r w:rsidR="005E3463">
          <w:rPr>
            <w:webHidden/>
          </w:rPr>
          <w:fldChar w:fldCharType="end"/>
        </w:r>
      </w:hyperlink>
    </w:p>
    <w:p w:rsidR="005E3463" w:rsidRDefault="00527DD7">
      <w:pPr>
        <w:pStyle w:val="TOC3"/>
        <w:rPr>
          <w:rFonts w:asciiTheme="minorHAnsi" w:eastAsiaTheme="minorEastAsia" w:hAnsiTheme="minorHAnsi" w:cstheme="minorBidi"/>
          <w:sz w:val="22"/>
          <w:szCs w:val="22"/>
          <w:lang w:eastAsia="en-GB"/>
        </w:rPr>
      </w:pPr>
      <w:hyperlink w:anchor="_Toc450204015" w:history="1">
        <w:r w:rsidR="005E3463" w:rsidRPr="00F7583D">
          <w:rPr>
            <w:rStyle w:val="Hyperlink"/>
          </w:rPr>
          <w:t>Identification and selection of potential exposure scenarios</w:t>
        </w:r>
        <w:r w:rsidR="005E3463">
          <w:rPr>
            <w:webHidden/>
          </w:rPr>
          <w:tab/>
        </w:r>
        <w:r w:rsidR="005E3463">
          <w:rPr>
            <w:webHidden/>
          </w:rPr>
          <w:fldChar w:fldCharType="begin"/>
        </w:r>
        <w:r w:rsidR="005E3463">
          <w:rPr>
            <w:webHidden/>
          </w:rPr>
          <w:instrText xml:space="preserve"> PAGEREF _Toc450204015 \h </w:instrText>
        </w:r>
        <w:r w:rsidR="005E3463">
          <w:rPr>
            <w:webHidden/>
          </w:rPr>
        </w:r>
        <w:r w:rsidR="005E3463">
          <w:rPr>
            <w:webHidden/>
          </w:rPr>
          <w:fldChar w:fldCharType="separate"/>
        </w:r>
        <w:r w:rsidR="005E3463">
          <w:rPr>
            <w:webHidden/>
          </w:rPr>
          <w:t>35</w:t>
        </w:r>
        <w:r w:rsidR="005E3463">
          <w:rPr>
            <w:webHidden/>
          </w:rPr>
          <w:fldChar w:fldCharType="end"/>
        </w:r>
      </w:hyperlink>
    </w:p>
    <w:p w:rsidR="005E3463" w:rsidRDefault="00527DD7">
      <w:pPr>
        <w:pStyle w:val="TOC3"/>
        <w:rPr>
          <w:rFonts w:asciiTheme="minorHAnsi" w:eastAsiaTheme="minorEastAsia" w:hAnsiTheme="minorHAnsi" w:cstheme="minorBidi"/>
          <w:sz w:val="22"/>
          <w:szCs w:val="22"/>
          <w:lang w:eastAsia="en-GB"/>
        </w:rPr>
      </w:pPr>
      <w:hyperlink w:anchor="_Toc450204016" w:history="1">
        <w:r w:rsidR="005E3463" w:rsidRPr="00F7583D">
          <w:rPr>
            <w:rStyle w:val="Hyperlink"/>
          </w:rPr>
          <w:t>Selection of the source term</w:t>
        </w:r>
        <w:r w:rsidR="005E3463">
          <w:rPr>
            <w:webHidden/>
          </w:rPr>
          <w:tab/>
        </w:r>
        <w:r w:rsidR="005E3463">
          <w:rPr>
            <w:webHidden/>
          </w:rPr>
          <w:fldChar w:fldCharType="begin"/>
        </w:r>
        <w:r w:rsidR="005E3463">
          <w:rPr>
            <w:webHidden/>
          </w:rPr>
          <w:instrText xml:space="preserve"> PAGEREF _Toc450204016 \h </w:instrText>
        </w:r>
        <w:r w:rsidR="005E3463">
          <w:rPr>
            <w:webHidden/>
          </w:rPr>
        </w:r>
        <w:r w:rsidR="005E3463">
          <w:rPr>
            <w:webHidden/>
          </w:rPr>
          <w:fldChar w:fldCharType="separate"/>
        </w:r>
        <w:r w:rsidR="005E3463">
          <w:rPr>
            <w:webHidden/>
          </w:rPr>
          <w:t>36</w:t>
        </w:r>
        <w:r w:rsidR="005E3463">
          <w:rPr>
            <w:webHidden/>
          </w:rPr>
          <w:fldChar w:fldCharType="end"/>
        </w:r>
      </w:hyperlink>
    </w:p>
    <w:p w:rsidR="005E3463" w:rsidRDefault="00527DD7">
      <w:pPr>
        <w:pStyle w:val="TOC3"/>
        <w:rPr>
          <w:rFonts w:asciiTheme="minorHAnsi" w:eastAsiaTheme="minorEastAsia" w:hAnsiTheme="minorHAnsi" w:cstheme="minorBidi"/>
          <w:sz w:val="22"/>
          <w:szCs w:val="22"/>
          <w:lang w:eastAsia="en-GB"/>
        </w:rPr>
      </w:pPr>
      <w:hyperlink w:anchor="_Toc450204017" w:history="1">
        <w:r w:rsidR="005E3463" w:rsidRPr="00F7583D">
          <w:rPr>
            <w:rStyle w:val="Hyperlink"/>
          </w:rPr>
          <w:t>Modelling of direct irradiation, dispersion and environmental transfer</w:t>
        </w:r>
        <w:r w:rsidR="005E3463">
          <w:rPr>
            <w:webHidden/>
          </w:rPr>
          <w:tab/>
        </w:r>
        <w:r w:rsidR="005E3463">
          <w:rPr>
            <w:webHidden/>
          </w:rPr>
          <w:fldChar w:fldCharType="begin"/>
        </w:r>
        <w:r w:rsidR="005E3463">
          <w:rPr>
            <w:webHidden/>
          </w:rPr>
          <w:instrText xml:space="preserve"> PAGEREF _Toc450204017 \h </w:instrText>
        </w:r>
        <w:r w:rsidR="005E3463">
          <w:rPr>
            <w:webHidden/>
          </w:rPr>
        </w:r>
        <w:r w:rsidR="005E3463">
          <w:rPr>
            <w:webHidden/>
          </w:rPr>
          <w:fldChar w:fldCharType="separate"/>
        </w:r>
        <w:r w:rsidR="005E3463">
          <w:rPr>
            <w:webHidden/>
          </w:rPr>
          <w:t>37</w:t>
        </w:r>
        <w:r w:rsidR="005E3463">
          <w:rPr>
            <w:webHidden/>
          </w:rPr>
          <w:fldChar w:fldCharType="end"/>
        </w:r>
      </w:hyperlink>
    </w:p>
    <w:p w:rsidR="005E3463" w:rsidRDefault="00527DD7">
      <w:pPr>
        <w:pStyle w:val="TOC3"/>
        <w:rPr>
          <w:rFonts w:asciiTheme="minorHAnsi" w:eastAsiaTheme="minorEastAsia" w:hAnsiTheme="minorHAnsi" w:cstheme="minorBidi"/>
          <w:sz w:val="22"/>
          <w:szCs w:val="22"/>
          <w:lang w:eastAsia="en-GB"/>
        </w:rPr>
      </w:pPr>
      <w:hyperlink w:anchor="_Toc450204018" w:history="1">
        <w:r w:rsidR="005E3463" w:rsidRPr="00F7583D">
          <w:rPr>
            <w:rStyle w:val="Hyperlink"/>
          </w:rPr>
          <w:t>Identification of exposure pathways</w:t>
        </w:r>
        <w:r w:rsidR="005E3463">
          <w:rPr>
            <w:webHidden/>
          </w:rPr>
          <w:tab/>
        </w:r>
        <w:r w:rsidR="005E3463">
          <w:rPr>
            <w:webHidden/>
          </w:rPr>
          <w:fldChar w:fldCharType="begin"/>
        </w:r>
        <w:r w:rsidR="005E3463">
          <w:rPr>
            <w:webHidden/>
          </w:rPr>
          <w:instrText xml:space="preserve"> PAGEREF _Toc450204018 \h </w:instrText>
        </w:r>
        <w:r w:rsidR="005E3463">
          <w:rPr>
            <w:webHidden/>
          </w:rPr>
        </w:r>
        <w:r w:rsidR="005E3463">
          <w:rPr>
            <w:webHidden/>
          </w:rPr>
          <w:fldChar w:fldCharType="separate"/>
        </w:r>
        <w:r w:rsidR="005E3463">
          <w:rPr>
            <w:webHidden/>
          </w:rPr>
          <w:t>38</w:t>
        </w:r>
        <w:r w:rsidR="005E3463">
          <w:rPr>
            <w:webHidden/>
          </w:rPr>
          <w:fldChar w:fldCharType="end"/>
        </w:r>
      </w:hyperlink>
    </w:p>
    <w:p w:rsidR="005E3463" w:rsidRDefault="00527DD7">
      <w:pPr>
        <w:pStyle w:val="TOC3"/>
        <w:rPr>
          <w:rFonts w:asciiTheme="minorHAnsi" w:eastAsiaTheme="minorEastAsia" w:hAnsiTheme="minorHAnsi" w:cstheme="minorBidi"/>
          <w:sz w:val="22"/>
          <w:szCs w:val="22"/>
          <w:lang w:eastAsia="en-GB"/>
        </w:rPr>
      </w:pPr>
      <w:hyperlink w:anchor="_Toc450204019" w:history="1">
        <w:r w:rsidR="005E3463" w:rsidRPr="00F7583D">
          <w:rPr>
            <w:rStyle w:val="Hyperlink"/>
          </w:rPr>
          <w:t>Identification of the representative person for potential exposures</w:t>
        </w:r>
        <w:r w:rsidR="005E3463">
          <w:rPr>
            <w:webHidden/>
          </w:rPr>
          <w:tab/>
        </w:r>
        <w:r w:rsidR="005E3463">
          <w:rPr>
            <w:webHidden/>
          </w:rPr>
          <w:fldChar w:fldCharType="begin"/>
        </w:r>
        <w:r w:rsidR="005E3463">
          <w:rPr>
            <w:webHidden/>
          </w:rPr>
          <w:instrText xml:space="preserve"> PAGEREF _Toc450204019 \h </w:instrText>
        </w:r>
        <w:r w:rsidR="005E3463">
          <w:rPr>
            <w:webHidden/>
          </w:rPr>
        </w:r>
        <w:r w:rsidR="005E3463">
          <w:rPr>
            <w:webHidden/>
          </w:rPr>
          <w:fldChar w:fldCharType="separate"/>
        </w:r>
        <w:r w:rsidR="005E3463">
          <w:rPr>
            <w:webHidden/>
          </w:rPr>
          <w:t>39</w:t>
        </w:r>
        <w:r w:rsidR="005E3463">
          <w:rPr>
            <w:webHidden/>
          </w:rPr>
          <w:fldChar w:fldCharType="end"/>
        </w:r>
      </w:hyperlink>
    </w:p>
    <w:p w:rsidR="005E3463" w:rsidRDefault="00527DD7">
      <w:pPr>
        <w:pStyle w:val="TOC3"/>
        <w:rPr>
          <w:rFonts w:asciiTheme="minorHAnsi" w:eastAsiaTheme="minorEastAsia" w:hAnsiTheme="minorHAnsi" w:cstheme="minorBidi"/>
          <w:sz w:val="22"/>
          <w:szCs w:val="22"/>
          <w:lang w:eastAsia="en-GB"/>
        </w:rPr>
      </w:pPr>
      <w:hyperlink w:anchor="_Toc450204020" w:history="1">
        <w:r w:rsidR="005E3463" w:rsidRPr="00F7583D">
          <w:rPr>
            <w:rStyle w:val="Hyperlink"/>
          </w:rPr>
          <w:t>Assessment of the dose to the representative person for potential exposures</w:t>
        </w:r>
        <w:r w:rsidR="005E3463">
          <w:rPr>
            <w:webHidden/>
          </w:rPr>
          <w:tab/>
        </w:r>
        <w:r w:rsidR="005E3463">
          <w:rPr>
            <w:webHidden/>
          </w:rPr>
          <w:fldChar w:fldCharType="begin"/>
        </w:r>
        <w:r w:rsidR="005E3463">
          <w:rPr>
            <w:webHidden/>
          </w:rPr>
          <w:instrText xml:space="preserve"> PAGEREF _Toc450204020 \h </w:instrText>
        </w:r>
        <w:r w:rsidR="005E3463">
          <w:rPr>
            <w:webHidden/>
          </w:rPr>
        </w:r>
        <w:r w:rsidR="005E3463">
          <w:rPr>
            <w:webHidden/>
          </w:rPr>
          <w:fldChar w:fldCharType="separate"/>
        </w:r>
        <w:r w:rsidR="005E3463">
          <w:rPr>
            <w:webHidden/>
          </w:rPr>
          <w:t>40</w:t>
        </w:r>
        <w:r w:rsidR="005E3463">
          <w:rPr>
            <w:webHidden/>
          </w:rPr>
          <w:fldChar w:fldCharType="end"/>
        </w:r>
      </w:hyperlink>
    </w:p>
    <w:p w:rsidR="005E3463" w:rsidRDefault="00527DD7">
      <w:pPr>
        <w:pStyle w:val="TOC3"/>
        <w:rPr>
          <w:rFonts w:asciiTheme="minorHAnsi" w:eastAsiaTheme="minorEastAsia" w:hAnsiTheme="minorHAnsi" w:cstheme="minorBidi"/>
          <w:sz w:val="22"/>
          <w:szCs w:val="22"/>
          <w:lang w:eastAsia="en-GB"/>
        </w:rPr>
      </w:pPr>
      <w:hyperlink w:anchor="_Toc450204021" w:history="1">
        <w:r w:rsidR="005E3463" w:rsidRPr="00F7583D">
          <w:rPr>
            <w:rStyle w:val="Hyperlink"/>
          </w:rPr>
          <w:t>Comparison of estimated doses and risks with criteria</w:t>
        </w:r>
        <w:r w:rsidR="005E3463">
          <w:rPr>
            <w:webHidden/>
          </w:rPr>
          <w:tab/>
        </w:r>
        <w:r w:rsidR="005E3463">
          <w:rPr>
            <w:webHidden/>
          </w:rPr>
          <w:fldChar w:fldCharType="begin"/>
        </w:r>
        <w:r w:rsidR="005E3463">
          <w:rPr>
            <w:webHidden/>
          </w:rPr>
          <w:instrText xml:space="preserve"> PAGEREF _Toc450204021 \h </w:instrText>
        </w:r>
        <w:r w:rsidR="005E3463">
          <w:rPr>
            <w:webHidden/>
          </w:rPr>
        </w:r>
        <w:r w:rsidR="005E3463">
          <w:rPr>
            <w:webHidden/>
          </w:rPr>
          <w:fldChar w:fldCharType="separate"/>
        </w:r>
        <w:r w:rsidR="005E3463">
          <w:rPr>
            <w:webHidden/>
          </w:rPr>
          <w:t>40</w:t>
        </w:r>
        <w:r w:rsidR="005E3463">
          <w:rPr>
            <w:webHidden/>
          </w:rPr>
          <w:fldChar w:fldCharType="end"/>
        </w:r>
      </w:hyperlink>
    </w:p>
    <w:p w:rsidR="005E3463" w:rsidRDefault="00527DD7">
      <w:pPr>
        <w:pStyle w:val="TOC2"/>
        <w:rPr>
          <w:rFonts w:asciiTheme="minorHAnsi" w:eastAsiaTheme="minorEastAsia" w:hAnsiTheme="minorHAnsi" w:cstheme="minorBidi"/>
          <w:bCs w:val="0"/>
          <w:sz w:val="22"/>
          <w:szCs w:val="22"/>
          <w:lang w:eastAsia="en-GB"/>
        </w:rPr>
      </w:pPr>
      <w:hyperlink w:anchor="_Toc450204022" w:history="1">
        <w:r w:rsidR="005E3463" w:rsidRPr="00F7583D">
          <w:rPr>
            <w:rStyle w:val="Hyperlink"/>
          </w:rPr>
          <w:t>Considerations relating to the assessment of the protection of the environment</w:t>
        </w:r>
        <w:r w:rsidR="005E3463">
          <w:rPr>
            <w:webHidden/>
          </w:rPr>
          <w:tab/>
        </w:r>
        <w:r w:rsidR="005E3463">
          <w:rPr>
            <w:webHidden/>
          </w:rPr>
          <w:fldChar w:fldCharType="begin"/>
        </w:r>
        <w:r w:rsidR="005E3463">
          <w:rPr>
            <w:webHidden/>
          </w:rPr>
          <w:instrText xml:space="preserve"> PAGEREF _Toc450204022 \h </w:instrText>
        </w:r>
        <w:r w:rsidR="005E3463">
          <w:rPr>
            <w:webHidden/>
          </w:rPr>
        </w:r>
        <w:r w:rsidR="005E3463">
          <w:rPr>
            <w:webHidden/>
          </w:rPr>
          <w:fldChar w:fldCharType="separate"/>
        </w:r>
        <w:r w:rsidR="005E3463">
          <w:rPr>
            <w:webHidden/>
          </w:rPr>
          <w:t>42</w:t>
        </w:r>
        <w:r w:rsidR="005E3463">
          <w:rPr>
            <w:webHidden/>
          </w:rPr>
          <w:fldChar w:fldCharType="end"/>
        </w:r>
      </w:hyperlink>
    </w:p>
    <w:p w:rsidR="005E3463" w:rsidRDefault="00527DD7">
      <w:pPr>
        <w:pStyle w:val="TOC1"/>
        <w:rPr>
          <w:rFonts w:asciiTheme="minorHAnsi" w:eastAsiaTheme="minorEastAsia" w:hAnsiTheme="minorHAnsi" w:cstheme="minorBidi"/>
          <w:bCs w:val="0"/>
          <w:iCs w:val="0"/>
          <w:caps w:val="0"/>
          <w:sz w:val="22"/>
          <w:szCs w:val="22"/>
          <w:lang w:eastAsia="en-GB"/>
        </w:rPr>
      </w:pPr>
      <w:hyperlink w:anchor="_Toc450204023" w:history="1">
        <w:r w:rsidR="005E3463" w:rsidRPr="00F7583D">
          <w:rPr>
            <w:rStyle w:val="Hyperlink"/>
          </w:rPr>
          <w:t>6.</w:t>
        </w:r>
        <w:r w:rsidR="005E3463">
          <w:rPr>
            <w:rFonts w:asciiTheme="minorHAnsi" w:eastAsiaTheme="minorEastAsia" w:hAnsiTheme="minorHAnsi" w:cstheme="minorBidi"/>
            <w:bCs w:val="0"/>
            <w:iCs w:val="0"/>
            <w:caps w:val="0"/>
            <w:sz w:val="22"/>
            <w:szCs w:val="22"/>
            <w:lang w:eastAsia="en-GB"/>
          </w:rPr>
          <w:tab/>
        </w:r>
        <w:r w:rsidR="005E3463" w:rsidRPr="00F7583D">
          <w:rPr>
            <w:rStyle w:val="Hyperlink"/>
          </w:rPr>
          <w:t>CONSIDERATIONS ON Variability and uncertainty in radiological environmental impact assessments</w:t>
        </w:r>
        <w:r w:rsidR="005E3463">
          <w:rPr>
            <w:webHidden/>
          </w:rPr>
          <w:tab/>
        </w:r>
        <w:r w:rsidR="005E3463">
          <w:rPr>
            <w:webHidden/>
          </w:rPr>
          <w:fldChar w:fldCharType="begin"/>
        </w:r>
        <w:r w:rsidR="005E3463">
          <w:rPr>
            <w:webHidden/>
          </w:rPr>
          <w:instrText xml:space="preserve"> PAGEREF _Toc450204023 \h </w:instrText>
        </w:r>
        <w:r w:rsidR="005E3463">
          <w:rPr>
            <w:webHidden/>
          </w:rPr>
        </w:r>
        <w:r w:rsidR="005E3463">
          <w:rPr>
            <w:webHidden/>
          </w:rPr>
          <w:fldChar w:fldCharType="separate"/>
        </w:r>
        <w:r w:rsidR="005E3463">
          <w:rPr>
            <w:webHidden/>
          </w:rPr>
          <w:t>44</w:t>
        </w:r>
        <w:r w:rsidR="005E3463">
          <w:rPr>
            <w:webHidden/>
          </w:rPr>
          <w:fldChar w:fldCharType="end"/>
        </w:r>
      </w:hyperlink>
    </w:p>
    <w:p w:rsidR="005E3463" w:rsidRDefault="00527DD7">
      <w:pPr>
        <w:pStyle w:val="TOC5"/>
        <w:rPr>
          <w:rFonts w:asciiTheme="minorHAnsi" w:eastAsiaTheme="minorEastAsia" w:hAnsiTheme="minorHAnsi" w:cstheme="minorBidi"/>
          <w:caps w:val="0"/>
          <w:sz w:val="22"/>
          <w:szCs w:val="22"/>
          <w:lang w:val="en-GB" w:eastAsia="en-GB"/>
        </w:rPr>
      </w:pPr>
      <w:hyperlink w:anchor="_Toc450204024" w:history="1">
        <w:r w:rsidR="005E3463" w:rsidRPr="00F7583D">
          <w:rPr>
            <w:rStyle w:val="Hyperlink"/>
            <w:lang w:val="en-GB"/>
          </w:rPr>
          <w:t>APPENDIX. RISK Criteria FOR the assessment of POTENTIAL EXPOSURE of the public</w:t>
        </w:r>
        <w:r w:rsidR="005E3463">
          <w:rPr>
            <w:webHidden/>
          </w:rPr>
          <w:tab/>
        </w:r>
        <w:r w:rsidR="005E3463">
          <w:rPr>
            <w:webHidden/>
          </w:rPr>
          <w:fldChar w:fldCharType="begin"/>
        </w:r>
        <w:r w:rsidR="005E3463">
          <w:rPr>
            <w:webHidden/>
          </w:rPr>
          <w:instrText xml:space="preserve"> PAGEREF _Toc450204024 \h </w:instrText>
        </w:r>
        <w:r w:rsidR="005E3463">
          <w:rPr>
            <w:webHidden/>
          </w:rPr>
        </w:r>
        <w:r w:rsidR="005E3463">
          <w:rPr>
            <w:webHidden/>
          </w:rPr>
          <w:fldChar w:fldCharType="separate"/>
        </w:r>
        <w:r w:rsidR="005E3463">
          <w:rPr>
            <w:webHidden/>
          </w:rPr>
          <w:t>47</w:t>
        </w:r>
        <w:r w:rsidR="005E3463">
          <w:rPr>
            <w:webHidden/>
          </w:rPr>
          <w:fldChar w:fldCharType="end"/>
        </w:r>
      </w:hyperlink>
    </w:p>
    <w:p w:rsidR="005E3463" w:rsidRDefault="00527DD7">
      <w:pPr>
        <w:pStyle w:val="TOC1"/>
        <w:rPr>
          <w:rFonts w:asciiTheme="minorHAnsi" w:eastAsiaTheme="minorEastAsia" w:hAnsiTheme="minorHAnsi" w:cstheme="minorBidi"/>
          <w:bCs w:val="0"/>
          <w:iCs w:val="0"/>
          <w:caps w:val="0"/>
          <w:sz w:val="22"/>
          <w:szCs w:val="22"/>
          <w:lang w:eastAsia="en-GB"/>
        </w:rPr>
      </w:pPr>
      <w:hyperlink w:anchor="_Toc450204025" w:history="1">
        <w:r w:rsidR="005E3463" w:rsidRPr="00F7583D">
          <w:rPr>
            <w:rStyle w:val="Hyperlink"/>
          </w:rPr>
          <w:t>REFERENCES</w:t>
        </w:r>
        <w:r w:rsidR="005E3463">
          <w:rPr>
            <w:webHidden/>
          </w:rPr>
          <w:tab/>
        </w:r>
        <w:r w:rsidR="005E3463">
          <w:rPr>
            <w:webHidden/>
          </w:rPr>
          <w:fldChar w:fldCharType="begin"/>
        </w:r>
        <w:r w:rsidR="005E3463">
          <w:rPr>
            <w:webHidden/>
          </w:rPr>
          <w:instrText xml:space="preserve"> PAGEREF _Toc450204025 \h </w:instrText>
        </w:r>
        <w:r w:rsidR="005E3463">
          <w:rPr>
            <w:webHidden/>
          </w:rPr>
        </w:r>
        <w:r w:rsidR="005E3463">
          <w:rPr>
            <w:webHidden/>
          </w:rPr>
          <w:fldChar w:fldCharType="separate"/>
        </w:r>
        <w:r w:rsidR="005E3463">
          <w:rPr>
            <w:webHidden/>
          </w:rPr>
          <w:t>49</w:t>
        </w:r>
        <w:r w:rsidR="005E3463">
          <w:rPr>
            <w:webHidden/>
          </w:rPr>
          <w:fldChar w:fldCharType="end"/>
        </w:r>
      </w:hyperlink>
    </w:p>
    <w:p w:rsidR="005E3463" w:rsidRDefault="00527DD7">
      <w:pPr>
        <w:pStyle w:val="TOC4"/>
        <w:rPr>
          <w:rFonts w:asciiTheme="minorHAnsi" w:eastAsiaTheme="minorEastAsia" w:hAnsiTheme="minorHAnsi" w:cstheme="minorBidi"/>
          <w:caps w:val="0"/>
          <w:noProof/>
          <w:sz w:val="22"/>
          <w:szCs w:val="22"/>
          <w:lang w:val="en-GB" w:eastAsia="en-GB"/>
        </w:rPr>
      </w:pPr>
      <w:hyperlink w:anchor="_Toc450204026" w:history="1">
        <w:r w:rsidR="005E3463" w:rsidRPr="00F7583D">
          <w:rPr>
            <w:rStyle w:val="Hyperlink"/>
            <w:noProof/>
            <w:lang w:val="en-GB"/>
          </w:rPr>
          <w:t>ANNEX I.</w:t>
        </w:r>
        <w:r w:rsidR="005E3463">
          <w:rPr>
            <w:rFonts w:asciiTheme="minorHAnsi" w:eastAsiaTheme="minorEastAsia" w:hAnsiTheme="minorHAnsi" w:cstheme="minorBidi"/>
            <w:caps w:val="0"/>
            <w:noProof/>
            <w:sz w:val="22"/>
            <w:szCs w:val="22"/>
            <w:lang w:val="en-GB" w:eastAsia="en-GB"/>
          </w:rPr>
          <w:tab/>
        </w:r>
        <w:r w:rsidR="005E3463" w:rsidRPr="00F7583D">
          <w:rPr>
            <w:rStyle w:val="Hyperlink"/>
            <w:noProof/>
            <w:lang w:val="en-GB"/>
          </w:rPr>
          <w:t>EXAMPLE OF a generic methodology for assessing exposures of flora and fauna in NORMAL OPERATION of FACILITIES AND ACTIVITIES</w:t>
        </w:r>
        <w:r w:rsidR="005E3463">
          <w:rPr>
            <w:noProof/>
            <w:webHidden/>
          </w:rPr>
          <w:tab/>
        </w:r>
        <w:r w:rsidR="005E3463">
          <w:rPr>
            <w:noProof/>
            <w:webHidden/>
          </w:rPr>
          <w:fldChar w:fldCharType="begin"/>
        </w:r>
        <w:r w:rsidR="005E3463">
          <w:rPr>
            <w:noProof/>
            <w:webHidden/>
          </w:rPr>
          <w:instrText xml:space="preserve"> PAGEREF _Toc450204026 \h </w:instrText>
        </w:r>
        <w:r w:rsidR="005E3463">
          <w:rPr>
            <w:noProof/>
            <w:webHidden/>
          </w:rPr>
        </w:r>
        <w:r w:rsidR="005E3463">
          <w:rPr>
            <w:noProof/>
            <w:webHidden/>
          </w:rPr>
          <w:fldChar w:fldCharType="separate"/>
        </w:r>
        <w:r w:rsidR="005E3463">
          <w:rPr>
            <w:noProof/>
            <w:webHidden/>
          </w:rPr>
          <w:t>55</w:t>
        </w:r>
        <w:r w:rsidR="005E3463">
          <w:rPr>
            <w:noProof/>
            <w:webHidden/>
          </w:rPr>
          <w:fldChar w:fldCharType="end"/>
        </w:r>
      </w:hyperlink>
    </w:p>
    <w:p w:rsidR="005E3463" w:rsidRDefault="00527DD7">
      <w:pPr>
        <w:pStyle w:val="TOC1"/>
        <w:rPr>
          <w:rFonts w:asciiTheme="minorHAnsi" w:eastAsiaTheme="minorEastAsia" w:hAnsiTheme="minorHAnsi" w:cstheme="minorBidi"/>
          <w:bCs w:val="0"/>
          <w:iCs w:val="0"/>
          <w:caps w:val="0"/>
          <w:sz w:val="22"/>
          <w:szCs w:val="22"/>
          <w:lang w:eastAsia="en-GB"/>
        </w:rPr>
      </w:pPr>
      <w:hyperlink w:anchor="_Toc450204027" w:history="1">
        <w:r w:rsidR="005E3463" w:rsidRPr="00F7583D">
          <w:rPr>
            <w:rStyle w:val="Hyperlink"/>
          </w:rPr>
          <w:t>REFERENCES TO ANNEX I</w:t>
        </w:r>
        <w:r w:rsidR="005E3463">
          <w:rPr>
            <w:webHidden/>
          </w:rPr>
          <w:tab/>
        </w:r>
        <w:r w:rsidR="005E3463">
          <w:rPr>
            <w:webHidden/>
          </w:rPr>
          <w:fldChar w:fldCharType="begin"/>
        </w:r>
        <w:r w:rsidR="005E3463">
          <w:rPr>
            <w:webHidden/>
          </w:rPr>
          <w:instrText xml:space="preserve"> PAGEREF _Toc450204027 \h </w:instrText>
        </w:r>
        <w:r w:rsidR="005E3463">
          <w:rPr>
            <w:webHidden/>
          </w:rPr>
        </w:r>
        <w:r w:rsidR="005E3463">
          <w:rPr>
            <w:webHidden/>
          </w:rPr>
          <w:fldChar w:fldCharType="separate"/>
        </w:r>
        <w:r w:rsidR="005E3463">
          <w:rPr>
            <w:webHidden/>
          </w:rPr>
          <w:t>63</w:t>
        </w:r>
        <w:r w:rsidR="005E3463">
          <w:rPr>
            <w:webHidden/>
          </w:rPr>
          <w:fldChar w:fldCharType="end"/>
        </w:r>
      </w:hyperlink>
    </w:p>
    <w:p w:rsidR="005E3463" w:rsidRDefault="00527DD7">
      <w:pPr>
        <w:pStyle w:val="TOC4"/>
        <w:rPr>
          <w:rFonts w:asciiTheme="minorHAnsi" w:eastAsiaTheme="minorEastAsia" w:hAnsiTheme="minorHAnsi" w:cstheme="minorBidi"/>
          <w:caps w:val="0"/>
          <w:noProof/>
          <w:sz w:val="22"/>
          <w:szCs w:val="22"/>
          <w:lang w:val="en-GB" w:eastAsia="en-GB"/>
        </w:rPr>
      </w:pPr>
      <w:hyperlink w:anchor="_Toc450204028" w:history="1">
        <w:r w:rsidR="005E3463" w:rsidRPr="00F7583D">
          <w:rPr>
            <w:rStyle w:val="Hyperlink"/>
            <w:noProof/>
            <w:lang w:val="en-GB"/>
          </w:rPr>
          <w:t>ANNEX II.</w:t>
        </w:r>
        <w:r w:rsidR="005E3463">
          <w:rPr>
            <w:rFonts w:asciiTheme="minorHAnsi" w:eastAsiaTheme="minorEastAsia" w:hAnsiTheme="minorHAnsi" w:cstheme="minorBidi"/>
            <w:caps w:val="0"/>
            <w:noProof/>
            <w:sz w:val="22"/>
            <w:szCs w:val="22"/>
            <w:lang w:val="en-GB" w:eastAsia="en-GB"/>
          </w:rPr>
          <w:tab/>
        </w:r>
        <w:r w:rsidR="005E3463" w:rsidRPr="00F7583D">
          <w:rPr>
            <w:rStyle w:val="Hyperlink"/>
            <w:noProof/>
            <w:lang w:val="en-GB"/>
          </w:rPr>
          <w:t>CONSIDERATION ON THE RISK OF HEALTH EFFECTS and THE ASSESSMENT OF Potential exposures</w:t>
        </w:r>
        <w:r w:rsidR="005E3463">
          <w:rPr>
            <w:noProof/>
            <w:webHidden/>
          </w:rPr>
          <w:tab/>
        </w:r>
        <w:r w:rsidR="005E3463">
          <w:rPr>
            <w:noProof/>
            <w:webHidden/>
          </w:rPr>
          <w:fldChar w:fldCharType="begin"/>
        </w:r>
        <w:r w:rsidR="005E3463">
          <w:rPr>
            <w:noProof/>
            <w:webHidden/>
          </w:rPr>
          <w:instrText xml:space="preserve"> PAGEREF _Toc450204028 \h </w:instrText>
        </w:r>
        <w:r w:rsidR="005E3463">
          <w:rPr>
            <w:noProof/>
            <w:webHidden/>
          </w:rPr>
        </w:r>
        <w:r w:rsidR="005E3463">
          <w:rPr>
            <w:noProof/>
            <w:webHidden/>
          </w:rPr>
          <w:fldChar w:fldCharType="separate"/>
        </w:r>
        <w:r w:rsidR="005E3463">
          <w:rPr>
            <w:noProof/>
            <w:webHidden/>
          </w:rPr>
          <w:t>65</w:t>
        </w:r>
        <w:r w:rsidR="005E3463">
          <w:rPr>
            <w:noProof/>
            <w:webHidden/>
          </w:rPr>
          <w:fldChar w:fldCharType="end"/>
        </w:r>
      </w:hyperlink>
    </w:p>
    <w:p w:rsidR="005E3463" w:rsidRDefault="00527DD7">
      <w:pPr>
        <w:pStyle w:val="TOC1"/>
        <w:rPr>
          <w:rFonts w:asciiTheme="minorHAnsi" w:eastAsiaTheme="minorEastAsia" w:hAnsiTheme="minorHAnsi" w:cstheme="minorBidi"/>
          <w:bCs w:val="0"/>
          <w:iCs w:val="0"/>
          <w:caps w:val="0"/>
          <w:sz w:val="22"/>
          <w:szCs w:val="22"/>
          <w:lang w:eastAsia="en-GB"/>
        </w:rPr>
      </w:pPr>
      <w:hyperlink w:anchor="_Toc450204029" w:history="1">
        <w:r w:rsidR="005E3463" w:rsidRPr="00F7583D">
          <w:rPr>
            <w:rStyle w:val="Hyperlink"/>
          </w:rPr>
          <w:t>REFERENCES TO ANNEX II</w:t>
        </w:r>
        <w:r w:rsidR="005E3463">
          <w:rPr>
            <w:webHidden/>
          </w:rPr>
          <w:tab/>
        </w:r>
        <w:r w:rsidR="005E3463">
          <w:rPr>
            <w:webHidden/>
          </w:rPr>
          <w:fldChar w:fldCharType="begin"/>
        </w:r>
        <w:r w:rsidR="005E3463">
          <w:rPr>
            <w:webHidden/>
          </w:rPr>
          <w:instrText xml:space="preserve"> PAGEREF _Toc450204029 \h </w:instrText>
        </w:r>
        <w:r w:rsidR="005E3463">
          <w:rPr>
            <w:webHidden/>
          </w:rPr>
        </w:r>
        <w:r w:rsidR="005E3463">
          <w:rPr>
            <w:webHidden/>
          </w:rPr>
          <w:fldChar w:fldCharType="separate"/>
        </w:r>
        <w:r w:rsidR="005E3463">
          <w:rPr>
            <w:webHidden/>
          </w:rPr>
          <w:t>69</w:t>
        </w:r>
        <w:r w:rsidR="005E3463">
          <w:rPr>
            <w:webHidden/>
          </w:rPr>
          <w:fldChar w:fldCharType="end"/>
        </w:r>
      </w:hyperlink>
    </w:p>
    <w:p w:rsidR="005E3463" w:rsidRDefault="00527DD7">
      <w:pPr>
        <w:pStyle w:val="TOC6"/>
        <w:tabs>
          <w:tab w:val="right" w:leader="dot" w:pos="9061"/>
        </w:tabs>
        <w:rPr>
          <w:rFonts w:asciiTheme="minorHAnsi" w:eastAsiaTheme="minorEastAsia" w:hAnsiTheme="minorHAnsi" w:cstheme="minorBidi"/>
          <w:caps w:val="0"/>
          <w:noProof/>
          <w:sz w:val="22"/>
          <w:szCs w:val="22"/>
          <w:lang w:eastAsia="en-GB"/>
        </w:rPr>
      </w:pPr>
      <w:hyperlink w:anchor="_Toc450204030" w:history="1">
        <w:r w:rsidR="005E3463" w:rsidRPr="00F7583D">
          <w:rPr>
            <w:rStyle w:val="Hyperlink"/>
            <w:noProof/>
          </w:rPr>
          <w:t>CONTRIBUTORS TO DRAFTING AND REVIEW</w:t>
        </w:r>
        <w:r w:rsidR="005E3463">
          <w:rPr>
            <w:noProof/>
            <w:webHidden/>
          </w:rPr>
          <w:tab/>
        </w:r>
        <w:r w:rsidR="005E3463">
          <w:rPr>
            <w:noProof/>
            <w:webHidden/>
          </w:rPr>
          <w:fldChar w:fldCharType="begin"/>
        </w:r>
        <w:r w:rsidR="005E3463">
          <w:rPr>
            <w:noProof/>
            <w:webHidden/>
          </w:rPr>
          <w:instrText xml:space="preserve"> PAGEREF _Toc450204030 \h </w:instrText>
        </w:r>
        <w:r w:rsidR="005E3463">
          <w:rPr>
            <w:noProof/>
            <w:webHidden/>
          </w:rPr>
        </w:r>
        <w:r w:rsidR="005E3463">
          <w:rPr>
            <w:noProof/>
            <w:webHidden/>
          </w:rPr>
          <w:fldChar w:fldCharType="separate"/>
        </w:r>
        <w:r w:rsidR="005E3463">
          <w:rPr>
            <w:noProof/>
            <w:webHidden/>
          </w:rPr>
          <w:t>71</w:t>
        </w:r>
        <w:r w:rsidR="005E3463">
          <w:rPr>
            <w:noProof/>
            <w:webHidden/>
          </w:rPr>
          <w:fldChar w:fldCharType="end"/>
        </w:r>
      </w:hyperlink>
    </w:p>
    <w:p w:rsidR="00E12A42" w:rsidRPr="00C9026A" w:rsidRDefault="00A51BE7" w:rsidP="00A57A35">
      <w:pPr>
        <w:pStyle w:val="TOC3"/>
        <w:ind w:left="0" w:firstLine="0"/>
        <w:rPr>
          <w:caps/>
          <w:noProof w:val="0"/>
        </w:rPr>
      </w:pPr>
      <w:r w:rsidRPr="00C9026A">
        <w:rPr>
          <w:caps/>
          <w:noProof w:val="0"/>
        </w:rPr>
        <w:fldChar w:fldCharType="end"/>
      </w:r>
    </w:p>
    <w:p w:rsidR="0031541C" w:rsidRPr="00C9026A" w:rsidRDefault="0031541C" w:rsidP="00A57A35">
      <w:pPr>
        <w:pStyle w:val="BodyText"/>
        <w:rPr>
          <w:lang w:val="en-GB"/>
        </w:rPr>
        <w:sectPr w:rsidR="0031541C" w:rsidRPr="00C9026A">
          <w:headerReference w:type="even" r:id="rId9"/>
          <w:footerReference w:type="even" r:id="rId10"/>
          <w:footerReference w:type="default" r:id="rId11"/>
          <w:pgSz w:w="11907" w:h="16840" w:code="9"/>
          <w:pgMar w:top="1134" w:right="1418" w:bottom="1531" w:left="1418" w:header="709" w:footer="709" w:gutter="0"/>
          <w:pgNumType w:start="1"/>
          <w:cols w:space="720"/>
          <w:docGrid w:linePitch="360"/>
        </w:sectPr>
      </w:pPr>
    </w:p>
    <w:p w:rsidR="00E12A42" w:rsidRDefault="000C6FB9" w:rsidP="00A57A35">
      <w:pPr>
        <w:pStyle w:val="Heading1"/>
        <w:rPr>
          <w:lang w:val="en-GB"/>
        </w:rPr>
      </w:pPr>
      <w:bookmarkStart w:id="0" w:name="_Toc447613456"/>
      <w:bookmarkStart w:id="1" w:name="_Toc450203979"/>
      <w:r w:rsidRPr="00C9026A">
        <w:rPr>
          <w:lang w:val="en-GB"/>
        </w:rPr>
        <w:lastRenderedPageBreak/>
        <w:t>Introduction</w:t>
      </w:r>
      <w:bookmarkEnd w:id="0"/>
      <w:bookmarkEnd w:id="1"/>
    </w:p>
    <w:p w:rsidR="00BA768E" w:rsidRPr="005E005F" w:rsidRDefault="00036AF9" w:rsidP="007E60CF">
      <w:pPr>
        <w:pStyle w:val="Heading2"/>
        <w:rPr>
          <w:lang w:val="en-GB"/>
        </w:rPr>
      </w:pPr>
      <w:bookmarkStart w:id="2" w:name="_Toc447613457"/>
      <w:bookmarkStart w:id="3" w:name="_Toc450203980"/>
      <w:r w:rsidRPr="00036AF9">
        <w:rPr>
          <w:lang w:val="en-GB"/>
        </w:rPr>
        <w:t>Background</w:t>
      </w:r>
      <w:bookmarkEnd w:id="2"/>
      <w:bookmarkEnd w:id="3"/>
    </w:p>
    <w:p w:rsidR="00FA7362" w:rsidRPr="00C9026A" w:rsidRDefault="000C6FB9" w:rsidP="00080CC1">
      <w:pPr>
        <w:pStyle w:val="Heading4"/>
        <w:ind w:left="0"/>
      </w:pPr>
      <w:r w:rsidRPr="00C9026A">
        <w:t>In 201</w:t>
      </w:r>
      <w:r w:rsidR="00586411">
        <w:t>4</w:t>
      </w:r>
      <w:r w:rsidRPr="00C9026A">
        <w:t xml:space="preserve">, the IAEA published the Safety Requirements: Radiation Protection and Safety of Radiation Sources: International Basic Safety Standards, General Safety Requirements Part 3 </w:t>
      </w:r>
      <w:r w:rsidR="00D122E9" w:rsidRPr="00C9026A">
        <w:t xml:space="preserve">(GSR </w:t>
      </w:r>
      <w:r w:rsidR="00F90F28" w:rsidRPr="00C9026A">
        <w:t xml:space="preserve">Part </w:t>
      </w:r>
      <w:r w:rsidR="00D122E9" w:rsidRPr="00C9026A">
        <w:t>3)</w:t>
      </w:r>
      <w:r w:rsidR="00586411">
        <w:t xml:space="preserve"> </w:t>
      </w:r>
      <w:r w:rsidR="00C25B52" w:rsidRPr="00C9026A">
        <w:t xml:space="preserve">[1]. </w:t>
      </w:r>
      <w:r w:rsidR="00D122E9" w:rsidRPr="00C9026A">
        <w:t xml:space="preserve">GSR </w:t>
      </w:r>
      <w:r w:rsidR="00F90F28" w:rsidRPr="00C9026A">
        <w:t xml:space="preserve">Part </w:t>
      </w:r>
      <w:r w:rsidR="00D122E9" w:rsidRPr="00C9026A">
        <w:t>3</w:t>
      </w:r>
      <w:r w:rsidR="00E24DCF" w:rsidRPr="00C9026A">
        <w:t xml:space="preserve"> </w:t>
      </w:r>
      <w:r w:rsidR="00C25B52" w:rsidRPr="00C9026A">
        <w:t xml:space="preserve">[1] </w:t>
      </w:r>
      <w:r w:rsidR="004A4BAD" w:rsidRPr="00C9026A">
        <w:t>is</w:t>
      </w:r>
      <w:r w:rsidRPr="00C9026A">
        <w:t xml:space="preserve"> based on the Fundamental</w:t>
      </w:r>
      <w:r w:rsidR="000C3D7F" w:rsidRPr="00C9026A">
        <w:t xml:space="preserve"> </w:t>
      </w:r>
      <w:r w:rsidRPr="00C9026A">
        <w:t xml:space="preserve">Safety Principles </w:t>
      </w:r>
      <w:r w:rsidR="00A62164">
        <w:t xml:space="preserve">(SF-1) </w:t>
      </w:r>
      <w:r w:rsidR="003D4F88" w:rsidRPr="00C9026A">
        <w:t>[2</w:t>
      </w:r>
      <w:r w:rsidR="000842AD" w:rsidRPr="00C9026A">
        <w:t xml:space="preserve">] and </w:t>
      </w:r>
      <w:r w:rsidRPr="00C9026A">
        <w:t>the recommendations of the International Commission on Radiological Protection (</w:t>
      </w:r>
      <w:r w:rsidR="00C20BB7" w:rsidRPr="00C9026A">
        <w:t>ICRP)</w:t>
      </w:r>
      <w:r w:rsidRPr="00C9026A">
        <w:t xml:space="preserve"> </w:t>
      </w:r>
      <w:r w:rsidR="003D4F88" w:rsidRPr="00C9026A">
        <w:t>[3</w:t>
      </w:r>
      <w:r w:rsidRPr="00C9026A">
        <w:t>]</w:t>
      </w:r>
      <w:r w:rsidR="007216EF" w:rsidRPr="00C9026A">
        <w:t>.</w:t>
      </w:r>
      <w:r w:rsidR="00FA7362" w:rsidRPr="00C9026A">
        <w:t xml:space="preserve">The system of </w:t>
      </w:r>
      <w:r w:rsidR="00586411">
        <w:t>radi</w:t>
      </w:r>
      <w:r w:rsidR="00C636C8">
        <w:t>ation</w:t>
      </w:r>
      <w:r w:rsidR="00080CC1">
        <w:t xml:space="preserve"> </w:t>
      </w:r>
      <w:r w:rsidR="00FA7362" w:rsidRPr="00C9026A">
        <w:t xml:space="preserve">protection and safety </w:t>
      </w:r>
      <w:r w:rsidR="00AA640F">
        <w:t xml:space="preserve">set out in GSR Part 3 [1] </w:t>
      </w:r>
      <w:r w:rsidR="00FA7362" w:rsidRPr="00C9026A">
        <w:t>aims to assess, manage and control exposure to radiation</w:t>
      </w:r>
      <w:r w:rsidR="005030D8">
        <w:t xml:space="preserve"> so that radiation risks, including risks of health effects and risks to the environment, are reduced to the extent reasonably achievable</w:t>
      </w:r>
      <w:r w:rsidR="00FA7362" w:rsidRPr="00C9026A">
        <w:t xml:space="preserve">. </w:t>
      </w:r>
      <w:r w:rsidR="005030D8">
        <w:t>P</w:t>
      </w:r>
      <w:r w:rsidR="00FA7362" w:rsidRPr="00BB70B4">
        <w:t xml:space="preserve">rotection of the public is based on the principles of justification, </w:t>
      </w:r>
      <w:r w:rsidR="00837768" w:rsidRPr="00BB70B4">
        <w:t xml:space="preserve">optimization and </w:t>
      </w:r>
      <w:r w:rsidR="00FA7362" w:rsidRPr="00BB70B4">
        <w:t>dose limitation, which were specified by the ICRP [3] and are incorporated in the IAEA Safety Standards [1, 2].</w:t>
      </w:r>
    </w:p>
    <w:p w:rsidR="00F52920" w:rsidRPr="00C9026A" w:rsidRDefault="00F90F28" w:rsidP="00A57A35">
      <w:pPr>
        <w:pStyle w:val="Heading4"/>
        <w:ind w:left="0"/>
      </w:pPr>
      <w:r w:rsidRPr="00C9026A">
        <w:rPr>
          <w:lang w:val="en-US"/>
        </w:rPr>
        <w:t>GSR Part 3</w:t>
      </w:r>
      <w:r w:rsidR="001A5039" w:rsidRPr="00C9026A">
        <w:rPr>
          <w:lang w:val="en-US"/>
        </w:rPr>
        <w:t xml:space="preserve"> </w:t>
      </w:r>
      <w:r w:rsidR="00981A9A" w:rsidRPr="00C9026A">
        <w:rPr>
          <w:lang w:val="en-US"/>
        </w:rPr>
        <w:t xml:space="preserve">[1] </w:t>
      </w:r>
      <w:r w:rsidR="00AA640F">
        <w:rPr>
          <w:lang w:val="en-US"/>
        </w:rPr>
        <w:t>establishes</w:t>
      </w:r>
      <w:r w:rsidR="00AA640F" w:rsidRPr="00C9026A">
        <w:rPr>
          <w:lang w:val="en-US"/>
        </w:rPr>
        <w:t xml:space="preserve"> </w:t>
      </w:r>
      <w:r w:rsidR="005030D8">
        <w:rPr>
          <w:lang w:val="en-US"/>
        </w:rPr>
        <w:t>a</w:t>
      </w:r>
      <w:r w:rsidR="005030D8" w:rsidRPr="00C9026A">
        <w:rPr>
          <w:lang w:val="en-US"/>
        </w:rPr>
        <w:t xml:space="preserve"> </w:t>
      </w:r>
      <w:r w:rsidR="001A5039" w:rsidRPr="00C9026A">
        <w:rPr>
          <w:lang w:val="en-US"/>
        </w:rPr>
        <w:t xml:space="preserve">requirement for </w:t>
      </w:r>
      <w:r w:rsidR="00563ABE" w:rsidRPr="00C9026A">
        <w:rPr>
          <w:lang w:val="en-US"/>
        </w:rPr>
        <w:t xml:space="preserve">a prospective </w:t>
      </w:r>
      <w:r w:rsidR="001A5039" w:rsidRPr="00C9026A">
        <w:rPr>
          <w:lang w:val="en-US"/>
        </w:rPr>
        <w:t xml:space="preserve">assessment </w:t>
      </w:r>
      <w:r w:rsidR="00AA640F">
        <w:rPr>
          <w:lang w:val="en-US"/>
        </w:rPr>
        <w:t xml:space="preserve">to be conducted </w:t>
      </w:r>
      <w:r w:rsidR="001A5039" w:rsidRPr="00C9026A">
        <w:rPr>
          <w:lang w:val="en-US"/>
        </w:rPr>
        <w:t xml:space="preserve">of the </w:t>
      </w:r>
      <w:r w:rsidR="00B86524" w:rsidRPr="00C9026A">
        <w:rPr>
          <w:lang w:val="en-US"/>
        </w:rPr>
        <w:t xml:space="preserve">radiological environmental </w:t>
      </w:r>
      <w:r w:rsidR="001A5039" w:rsidRPr="00C9026A">
        <w:rPr>
          <w:lang w:val="en-US"/>
        </w:rPr>
        <w:t>impacts due to releases of radionuclides from facilities and activities</w:t>
      </w:r>
      <w:r w:rsidR="001A5039" w:rsidRPr="00C9026A">
        <w:rPr>
          <w:rStyle w:val="FootnoteReference"/>
        </w:rPr>
        <w:footnoteReference w:id="1"/>
      </w:r>
      <w:r w:rsidR="001A5039" w:rsidRPr="00C9026A">
        <w:rPr>
          <w:lang w:val="en-US"/>
        </w:rPr>
        <w:t xml:space="preserve">. </w:t>
      </w:r>
      <w:r w:rsidR="00F52920" w:rsidRPr="00C9026A">
        <w:t>Th</w:t>
      </w:r>
      <w:r w:rsidR="00CA60E6">
        <w:t>is</w:t>
      </w:r>
      <w:r w:rsidR="00F52920" w:rsidRPr="00C9026A">
        <w:t xml:space="preserve"> Safety Guide </w:t>
      </w:r>
      <w:r w:rsidR="00CA60E6">
        <w:t>provides guidance on</w:t>
      </w:r>
      <w:r w:rsidR="00AA640F">
        <w:t xml:space="preserve"> meeting</w:t>
      </w:r>
      <w:r w:rsidR="00CA60E6">
        <w:t xml:space="preserve"> </w:t>
      </w:r>
      <w:r w:rsidR="00F52920" w:rsidRPr="00C9026A">
        <w:t xml:space="preserve">the requirements in GSR Part 3 </w:t>
      </w:r>
      <w:r w:rsidR="005030D8">
        <w:t xml:space="preserve">[1] </w:t>
      </w:r>
      <w:r w:rsidR="00F52920" w:rsidRPr="00C9026A">
        <w:t xml:space="preserve">for performing such assessments for certain facilities and activities </w:t>
      </w:r>
      <w:r w:rsidR="00F52920">
        <w:t xml:space="preserve">if required by the regulatory body </w:t>
      </w:r>
      <w:r w:rsidR="00F52920" w:rsidRPr="00C9026A">
        <w:t>and, in particular,</w:t>
      </w:r>
      <w:r w:rsidR="00F52920">
        <w:t xml:space="preserve"> </w:t>
      </w:r>
      <w:r w:rsidR="005030D8">
        <w:t xml:space="preserve">for meeting the requirement established in </w:t>
      </w:r>
      <w:r w:rsidR="00F52920">
        <w:t>para</w:t>
      </w:r>
      <w:r w:rsidR="002D0EE5">
        <w:t>.</w:t>
      </w:r>
      <w:r w:rsidR="00F52920">
        <w:t xml:space="preserve"> 3.9 (e) </w:t>
      </w:r>
      <w:r w:rsidR="005030D8">
        <w:t>of GSR Part 3 [1]</w:t>
      </w:r>
      <w:r w:rsidR="00F52920" w:rsidRPr="00C9026A">
        <w:t xml:space="preserve">, which states that “Any person or organization applying for authorization: […] </w:t>
      </w:r>
      <w:proofErr w:type="gramStart"/>
      <w:r w:rsidR="005030D8">
        <w:t>S</w:t>
      </w:r>
      <w:r w:rsidR="00F52920" w:rsidRPr="00C9026A">
        <w:t>hall</w:t>
      </w:r>
      <w:proofErr w:type="gramEnd"/>
      <w:r w:rsidR="00F52920" w:rsidRPr="00C9026A">
        <w:t>, as required by the regulatory body, have an appropriate prospective assessment made for radiological environmental impacts, commensurate with the radiation risks associated with the facility or activity”</w:t>
      </w:r>
      <w:r w:rsidR="005030D8">
        <w:t>.</w:t>
      </w:r>
    </w:p>
    <w:p w:rsidR="005519E1" w:rsidRPr="00F52920" w:rsidRDefault="005519E1" w:rsidP="00A57A35">
      <w:pPr>
        <w:pStyle w:val="Heading4"/>
        <w:ind w:left="0"/>
        <w:rPr>
          <w:lang w:val="en-US"/>
        </w:rPr>
      </w:pPr>
      <w:r w:rsidRPr="00F52920">
        <w:rPr>
          <w:lang w:val="en-US"/>
        </w:rPr>
        <w:t>The aim of a prospective radiolog</w:t>
      </w:r>
      <w:r w:rsidR="008254EB" w:rsidRPr="00F52920">
        <w:rPr>
          <w:lang w:val="en-US"/>
        </w:rPr>
        <w:t xml:space="preserve">ical </w:t>
      </w:r>
      <w:r w:rsidR="002D0EE5">
        <w:rPr>
          <w:lang w:val="en-US"/>
        </w:rPr>
        <w:t>environmental</w:t>
      </w:r>
      <w:r w:rsidR="00CA60E6">
        <w:rPr>
          <w:lang w:val="en-US"/>
        </w:rPr>
        <w:t xml:space="preserve"> </w:t>
      </w:r>
      <w:r w:rsidR="008254EB" w:rsidRPr="00F52920">
        <w:rPr>
          <w:lang w:val="en-US"/>
        </w:rPr>
        <w:t>impact assessment is to de</w:t>
      </w:r>
      <w:r w:rsidRPr="00F52920">
        <w:rPr>
          <w:lang w:val="en-US"/>
        </w:rPr>
        <w:t>termine whether the planned</w:t>
      </w:r>
      <w:r w:rsidR="00B11FCC" w:rsidRPr="00F52920">
        <w:rPr>
          <w:lang w:val="en-US"/>
        </w:rPr>
        <w:t xml:space="preserve"> </w:t>
      </w:r>
      <w:r w:rsidR="004E31DB" w:rsidRPr="00F52920">
        <w:rPr>
          <w:lang w:val="en-US"/>
        </w:rPr>
        <w:t>facilit</w:t>
      </w:r>
      <w:r w:rsidR="00BB70B4" w:rsidRPr="00F52920">
        <w:rPr>
          <w:lang w:val="en-US"/>
        </w:rPr>
        <w:t>y</w:t>
      </w:r>
      <w:r w:rsidR="004E31DB" w:rsidRPr="00F52920">
        <w:rPr>
          <w:lang w:val="en-US"/>
        </w:rPr>
        <w:t xml:space="preserve"> or </w:t>
      </w:r>
      <w:r w:rsidR="00F52920" w:rsidRPr="00F52920">
        <w:rPr>
          <w:lang w:val="en-US"/>
        </w:rPr>
        <w:t>activity</w:t>
      </w:r>
      <w:r w:rsidR="00B11FCC" w:rsidRPr="00F52920">
        <w:rPr>
          <w:lang w:val="en-US"/>
        </w:rPr>
        <w:t xml:space="preserve"> </w:t>
      </w:r>
      <w:r w:rsidRPr="00F52920">
        <w:rPr>
          <w:lang w:val="en-US"/>
        </w:rPr>
        <w:t>compl</w:t>
      </w:r>
      <w:r w:rsidR="00BB70B4" w:rsidRPr="00F52920">
        <w:rPr>
          <w:lang w:val="en-US"/>
        </w:rPr>
        <w:t>ies</w:t>
      </w:r>
      <w:r w:rsidRPr="00F52920">
        <w:rPr>
          <w:lang w:val="en-US"/>
        </w:rPr>
        <w:t xml:space="preserve"> with current legislative and regulatory requirements on </w:t>
      </w:r>
      <w:r w:rsidR="00932E41" w:rsidRPr="00F52920">
        <w:rPr>
          <w:lang w:val="en-US"/>
        </w:rPr>
        <w:t>radi</w:t>
      </w:r>
      <w:r w:rsidR="00932E41">
        <w:rPr>
          <w:lang w:val="en-US"/>
        </w:rPr>
        <w:t>ation</w:t>
      </w:r>
      <w:r w:rsidR="00932E41" w:rsidRPr="00F52920">
        <w:rPr>
          <w:lang w:val="en-US"/>
        </w:rPr>
        <w:t xml:space="preserve"> </w:t>
      </w:r>
      <w:r w:rsidRPr="00F52920">
        <w:rPr>
          <w:lang w:val="en-US"/>
        </w:rPr>
        <w:t xml:space="preserve">protection of the public and </w:t>
      </w:r>
      <w:r w:rsidR="00932E41">
        <w:rPr>
          <w:lang w:val="en-US"/>
        </w:rPr>
        <w:t xml:space="preserve">protection </w:t>
      </w:r>
      <w:r w:rsidRPr="00F52920">
        <w:rPr>
          <w:lang w:val="en-US"/>
        </w:rPr>
        <w:t xml:space="preserve">the environment under all reasonably foreseeable circumstances. </w:t>
      </w:r>
      <w:r w:rsidR="002D0EE5">
        <w:rPr>
          <w:lang w:val="en-US"/>
        </w:rPr>
        <w:t>Such a</w:t>
      </w:r>
      <w:r w:rsidR="002D0EE5" w:rsidRPr="00F52920">
        <w:rPr>
          <w:lang w:val="en-US"/>
        </w:rPr>
        <w:t xml:space="preserve"> </w:t>
      </w:r>
      <w:r w:rsidR="00F52920" w:rsidRPr="00F52920">
        <w:rPr>
          <w:lang w:val="en-US"/>
        </w:rPr>
        <w:t xml:space="preserve">prospective assessment includes the consideration of exposures </w:t>
      </w:r>
      <w:r w:rsidR="00FF30D1" w:rsidRPr="00F52920">
        <w:rPr>
          <w:lang w:val="en-US"/>
        </w:rPr>
        <w:t xml:space="preserve">expected </w:t>
      </w:r>
      <w:r w:rsidR="00F45A1B">
        <w:rPr>
          <w:lang w:val="en-US"/>
        </w:rPr>
        <w:t xml:space="preserve">to occur </w:t>
      </w:r>
      <w:r w:rsidR="00247E51">
        <w:rPr>
          <w:lang w:val="en-US"/>
        </w:rPr>
        <w:t>in</w:t>
      </w:r>
      <w:r w:rsidR="00247E51" w:rsidRPr="00F52920">
        <w:rPr>
          <w:lang w:val="en-US"/>
        </w:rPr>
        <w:t xml:space="preserve"> </w:t>
      </w:r>
      <w:r w:rsidR="00F52920" w:rsidRPr="00F52920">
        <w:rPr>
          <w:lang w:val="en-US"/>
        </w:rPr>
        <w:t>normal operation and potential exposures due to accidents</w:t>
      </w:r>
      <w:r w:rsidR="00F52920" w:rsidRPr="00F52920">
        <w:rPr>
          <w:bCs w:val="0"/>
          <w:szCs w:val="20"/>
        </w:rPr>
        <w:t xml:space="preserve"> that are identified and characterized </w:t>
      </w:r>
      <w:r w:rsidR="00E54EE7">
        <w:rPr>
          <w:bCs w:val="0"/>
          <w:szCs w:val="20"/>
        </w:rPr>
        <w:t>by mean of</w:t>
      </w:r>
      <w:r w:rsidR="00F52920" w:rsidRPr="00667C16">
        <w:t xml:space="preserve"> a safety analysis</w:t>
      </w:r>
      <w:r w:rsidR="00F52920" w:rsidRPr="00F52920">
        <w:rPr>
          <w:lang w:val="en-US"/>
        </w:rPr>
        <w:t>.</w:t>
      </w:r>
      <w:r w:rsidR="00F52920" w:rsidRPr="005519E1">
        <w:t xml:space="preserve"> </w:t>
      </w:r>
      <w:r w:rsidRPr="00F52920">
        <w:rPr>
          <w:lang w:val="en-US"/>
        </w:rPr>
        <w:t xml:space="preserve">The </w:t>
      </w:r>
      <w:r w:rsidR="00CA60E6">
        <w:rPr>
          <w:lang w:val="en-US"/>
        </w:rPr>
        <w:t xml:space="preserve">radiological environmental impact </w:t>
      </w:r>
      <w:r w:rsidRPr="00F52920">
        <w:rPr>
          <w:lang w:val="en-US"/>
        </w:rPr>
        <w:t>assessment should be as simple as possible, but as complex as necessary to achieve this aim.</w:t>
      </w:r>
      <w:r w:rsidR="002F3142" w:rsidRPr="00F52920">
        <w:rPr>
          <w:lang w:val="en-US"/>
        </w:rPr>
        <w:t xml:space="preserve"> </w:t>
      </w:r>
    </w:p>
    <w:p w:rsidR="00E1552C" w:rsidRPr="00C9026A" w:rsidRDefault="003C73F6" w:rsidP="00A57A35">
      <w:pPr>
        <w:pStyle w:val="Heading4"/>
        <w:ind w:left="0"/>
      </w:pPr>
      <w:r w:rsidRPr="00C9026A">
        <w:t>In the framework of international legal instruments or n</w:t>
      </w:r>
      <w:r w:rsidR="000C6FB9" w:rsidRPr="00C9026A">
        <w:t xml:space="preserve">ational </w:t>
      </w:r>
      <w:r w:rsidRPr="00C9026A">
        <w:t xml:space="preserve">laws and regulations, </w:t>
      </w:r>
      <w:r w:rsidR="004A4BAD" w:rsidRPr="00C9026A">
        <w:t>States</w:t>
      </w:r>
      <w:r w:rsidR="001500E1" w:rsidRPr="00C9026A">
        <w:t xml:space="preserve"> </w:t>
      </w:r>
      <w:r w:rsidR="000C6FB9" w:rsidRPr="00C9026A">
        <w:t>may also require that</w:t>
      </w:r>
      <w:r w:rsidR="00D27434" w:rsidRPr="00C9026A">
        <w:t>,</w:t>
      </w:r>
      <w:r w:rsidR="000C6FB9" w:rsidRPr="00C9026A">
        <w:t xml:space="preserve"> </w:t>
      </w:r>
      <w:r w:rsidR="00A56CE9" w:rsidRPr="00C9026A">
        <w:t>for some activities or facilities</w:t>
      </w:r>
      <w:r w:rsidR="00D27434" w:rsidRPr="00C9026A">
        <w:t>,</w:t>
      </w:r>
      <w:r w:rsidR="009E784C" w:rsidRPr="00C9026A">
        <w:t xml:space="preserve"> a</w:t>
      </w:r>
      <w:r w:rsidR="00F15B52" w:rsidRPr="00C9026A">
        <w:t xml:space="preserve"> </w:t>
      </w:r>
      <w:r w:rsidR="004A4BAD" w:rsidRPr="00C9026A">
        <w:t xml:space="preserve">governmental </w:t>
      </w:r>
      <w:r w:rsidR="009E784C" w:rsidRPr="00C9026A">
        <w:t>decision</w:t>
      </w:r>
      <w:r w:rsidR="002D0EE5">
        <w:t xml:space="preserve"> </w:t>
      </w:r>
      <w:r w:rsidR="00990F70" w:rsidRPr="00C9026A">
        <w:t>making</w:t>
      </w:r>
      <w:r w:rsidR="009E784C" w:rsidRPr="00C9026A">
        <w:t xml:space="preserve"> process</w:t>
      </w:r>
      <w:r w:rsidR="00462E60">
        <w:rPr>
          <w:rStyle w:val="FootnoteReference"/>
        </w:rPr>
        <w:footnoteReference w:id="2"/>
      </w:r>
      <w:r w:rsidR="00990F70" w:rsidRPr="00C9026A">
        <w:t>,</w:t>
      </w:r>
      <w:r w:rsidR="009E784C" w:rsidRPr="00C9026A">
        <w:t xml:space="preserve"> including</w:t>
      </w:r>
      <w:r w:rsidR="00A56CE9" w:rsidRPr="00C9026A">
        <w:t xml:space="preserve"> </w:t>
      </w:r>
      <w:r w:rsidR="000C6FB9" w:rsidRPr="00C9026A">
        <w:t>a</w:t>
      </w:r>
      <w:r w:rsidR="00526FF6" w:rsidRPr="00C9026A">
        <w:t xml:space="preserve"> comprehensive</w:t>
      </w:r>
      <w:r w:rsidR="000C6FB9" w:rsidRPr="00C9026A">
        <w:t xml:space="preserve"> </w:t>
      </w:r>
      <w:r w:rsidR="00A44181" w:rsidRPr="00C9026A">
        <w:t xml:space="preserve">initial </w:t>
      </w:r>
      <w:r w:rsidR="00100601" w:rsidRPr="00C9026A">
        <w:t xml:space="preserve">assessment </w:t>
      </w:r>
      <w:r w:rsidR="00990F70" w:rsidRPr="00C9026A">
        <w:t xml:space="preserve">of possible significant effects on the environment, </w:t>
      </w:r>
      <w:r w:rsidR="00A56CE9" w:rsidRPr="00C9026A">
        <w:t xml:space="preserve">is carried </w:t>
      </w:r>
      <w:r w:rsidR="00D27434" w:rsidRPr="00C9026A">
        <w:t>out</w:t>
      </w:r>
      <w:r w:rsidR="00DE0CFA" w:rsidRPr="00C9026A">
        <w:t xml:space="preserve"> at an early stage</w:t>
      </w:r>
      <w:r w:rsidR="00CA60E6">
        <w:t xml:space="preserve"> in the development of the facility or activity</w:t>
      </w:r>
      <w:r w:rsidR="000C6FB9" w:rsidRPr="00C9026A">
        <w:t xml:space="preserve">. </w:t>
      </w:r>
      <w:r w:rsidR="00A44181" w:rsidRPr="00C9026A">
        <w:t xml:space="preserve">In this case, </w:t>
      </w:r>
      <w:r w:rsidR="00736B19" w:rsidRPr="00C9026A">
        <w:t xml:space="preserve">the </w:t>
      </w:r>
      <w:r w:rsidR="001F15AC" w:rsidRPr="00C9026A">
        <w:t xml:space="preserve">radiological </w:t>
      </w:r>
      <w:r w:rsidR="000A3683" w:rsidRPr="00C9026A">
        <w:t xml:space="preserve">environmental </w:t>
      </w:r>
      <w:r w:rsidR="001F15AC" w:rsidRPr="00C9026A">
        <w:t xml:space="preserve">impact </w:t>
      </w:r>
      <w:r w:rsidR="00736B19" w:rsidRPr="00C9026A">
        <w:t xml:space="preserve">assessment </w:t>
      </w:r>
      <w:r w:rsidR="00A44181" w:rsidRPr="00C9026A">
        <w:t xml:space="preserve">is </w:t>
      </w:r>
      <w:r w:rsidR="00253B59" w:rsidRPr="00C9026A">
        <w:t xml:space="preserve">generally </w:t>
      </w:r>
      <w:r w:rsidR="00A44181" w:rsidRPr="00C9026A">
        <w:t>part</w:t>
      </w:r>
      <w:r w:rsidR="00990F70" w:rsidRPr="00C9026A">
        <w:t xml:space="preserve"> of a broader impact assessment</w:t>
      </w:r>
      <w:r w:rsidR="00100601" w:rsidRPr="00C9026A">
        <w:t>,</w:t>
      </w:r>
      <w:r w:rsidR="00A44181" w:rsidRPr="00C9026A">
        <w:t xml:space="preserve"> which is generally </w:t>
      </w:r>
      <w:r w:rsidR="00DE0CFA" w:rsidRPr="00C9026A">
        <w:t>referred to</w:t>
      </w:r>
      <w:r w:rsidR="00A44181" w:rsidRPr="00C9026A">
        <w:t xml:space="preserve"> </w:t>
      </w:r>
      <w:r w:rsidR="00D10EAB" w:rsidRPr="00C9026A">
        <w:t>as an</w:t>
      </w:r>
      <w:r w:rsidR="00D14F8E" w:rsidRPr="00C9026A">
        <w:t xml:space="preserve"> </w:t>
      </w:r>
      <w:r w:rsidR="002C01EE" w:rsidRPr="00C9026A">
        <w:t>‘</w:t>
      </w:r>
      <w:r w:rsidR="00D14F8E" w:rsidRPr="00C9026A">
        <w:t>environmental impact assessment</w:t>
      </w:r>
      <w:r w:rsidR="002C01EE" w:rsidRPr="00C9026A">
        <w:t>’</w:t>
      </w:r>
      <w:r w:rsidR="00CA6C95">
        <w:t xml:space="preserve"> or by its common abbreviation EIA</w:t>
      </w:r>
      <w:r w:rsidR="004A4BAD" w:rsidRPr="00C9026A">
        <w:t xml:space="preserve">. </w:t>
      </w:r>
      <w:r w:rsidR="00CA60E6">
        <w:t>An e</w:t>
      </w:r>
      <w:r w:rsidR="002D0EE5">
        <w:t>nvironmental impact assessment</w:t>
      </w:r>
      <w:r w:rsidR="002D0EE5" w:rsidRPr="00C9026A">
        <w:t xml:space="preserve"> </w:t>
      </w:r>
      <w:r w:rsidR="00253B59" w:rsidRPr="00C9026A">
        <w:t>cover</w:t>
      </w:r>
      <w:r w:rsidR="00F05E87" w:rsidRPr="00C9026A">
        <w:t>s</w:t>
      </w:r>
      <w:r w:rsidR="00253B59" w:rsidRPr="00C9026A">
        <w:t xml:space="preserve"> </w:t>
      </w:r>
      <w:r w:rsidR="00D14F8E" w:rsidRPr="00C9026A">
        <w:t xml:space="preserve">not only </w:t>
      </w:r>
      <w:r w:rsidR="00BE4BE7" w:rsidRPr="00BE4BE7">
        <w:t xml:space="preserve">biophysical </w:t>
      </w:r>
      <w:r w:rsidR="00BE4BE7">
        <w:t>impacts</w:t>
      </w:r>
      <w:r w:rsidR="009A1411">
        <w:t>,</w:t>
      </w:r>
      <w:r w:rsidR="00BE4BE7">
        <w:t xml:space="preserve"> </w:t>
      </w:r>
      <w:r w:rsidR="00D14F8E" w:rsidRPr="00C9026A">
        <w:t xml:space="preserve">but </w:t>
      </w:r>
      <w:r w:rsidR="002D0EE5">
        <w:t>also assesses prospectively</w:t>
      </w:r>
      <w:r w:rsidR="00A4244F">
        <w:t xml:space="preserve"> </w:t>
      </w:r>
      <w:r w:rsidR="00253B59" w:rsidRPr="00C9026A">
        <w:t>social,</w:t>
      </w:r>
      <w:r w:rsidR="00320FB6" w:rsidRPr="00C9026A">
        <w:t xml:space="preserve"> </w:t>
      </w:r>
      <w:r w:rsidR="008F402F" w:rsidRPr="00C9026A">
        <w:t>economic</w:t>
      </w:r>
      <w:r w:rsidR="00253B59" w:rsidRPr="00C9026A">
        <w:t xml:space="preserve"> and other relevant </w:t>
      </w:r>
      <w:r w:rsidR="002D0EE5">
        <w:t xml:space="preserve">impacts of </w:t>
      </w:r>
      <w:r w:rsidR="00CA6C95">
        <w:t>a proposed</w:t>
      </w:r>
      <w:r w:rsidR="002D0EE5">
        <w:t xml:space="preserve"> activity or facility</w:t>
      </w:r>
      <w:r w:rsidR="00253B59" w:rsidRPr="00C9026A">
        <w:t xml:space="preserve"> prior to major decisions being taken</w:t>
      </w:r>
      <w:r w:rsidR="00A44181" w:rsidRPr="00C9026A">
        <w:t xml:space="preserve">. Within </w:t>
      </w:r>
      <w:r w:rsidR="002D0EE5">
        <w:t>such a</w:t>
      </w:r>
      <w:r w:rsidR="002D0EE5" w:rsidRPr="00C9026A">
        <w:t xml:space="preserve"> </w:t>
      </w:r>
      <w:r w:rsidR="00A44181" w:rsidRPr="00C9026A">
        <w:t>framework, t</w:t>
      </w:r>
      <w:r w:rsidR="000C6FB9" w:rsidRPr="00C9026A">
        <w:t>he results of th</w:t>
      </w:r>
      <w:r w:rsidR="00AF33B2" w:rsidRPr="00C9026A">
        <w:t>e</w:t>
      </w:r>
      <w:r w:rsidR="000C6FB9" w:rsidRPr="00C9026A">
        <w:t xml:space="preserve"> </w:t>
      </w:r>
      <w:r w:rsidR="001F15AC" w:rsidRPr="00C9026A">
        <w:t>radiological</w:t>
      </w:r>
      <w:r w:rsidR="00990F70" w:rsidRPr="00C9026A">
        <w:t xml:space="preserve"> environmental impact</w:t>
      </w:r>
      <w:r w:rsidR="001F15AC" w:rsidRPr="00C9026A">
        <w:t xml:space="preserve"> </w:t>
      </w:r>
      <w:r w:rsidR="00736B19" w:rsidRPr="00C9026A">
        <w:t>assessment</w:t>
      </w:r>
      <w:r w:rsidR="00F35C57">
        <w:t xml:space="preserve">, as described </w:t>
      </w:r>
      <w:r w:rsidR="00F35C57">
        <w:lastRenderedPageBreak/>
        <w:t>within this Safety Guide,</w:t>
      </w:r>
      <w:r w:rsidR="000C6FB9" w:rsidRPr="00C9026A">
        <w:t xml:space="preserve"> may be used </w:t>
      </w:r>
      <w:r w:rsidR="00AB1B63">
        <w:t xml:space="preserve">for </w:t>
      </w:r>
      <w:r w:rsidR="00CA60E6">
        <w:t xml:space="preserve">making </w:t>
      </w:r>
      <w:r w:rsidR="00AB1B63">
        <w:t>informed</w:t>
      </w:r>
      <w:r w:rsidR="000C6FB9" w:rsidRPr="00C9026A">
        <w:t xml:space="preserve"> judgements on the acceptability of </w:t>
      </w:r>
      <w:r w:rsidR="00C50ED4" w:rsidRPr="00C9026A">
        <w:t xml:space="preserve">the risk </w:t>
      </w:r>
      <w:r w:rsidR="00BA0FFA">
        <w:t xml:space="preserve">from the </w:t>
      </w:r>
      <w:r w:rsidR="002571E7">
        <w:t>radiation protection</w:t>
      </w:r>
      <w:r w:rsidR="00BA0FFA">
        <w:t xml:space="preserve"> perspective</w:t>
      </w:r>
      <w:r w:rsidR="00F35C57">
        <w:t>.</w:t>
      </w:r>
    </w:p>
    <w:p w:rsidR="004A4BAD" w:rsidRPr="00C9026A" w:rsidRDefault="000C6FB9" w:rsidP="00A57A35">
      <w:pPr>
        <w:pStyle w:val="Heading4"/>
        <w:ind w:left="0"/>
      </w:pPr>
      <w:r w:rsidRPr="00C9026A">
        <w:t>This Safety Guide is related to other</w:t>
      </w:r>
      <w:r w:rsidR="002D0EE5">
        <w:t xml:space="preserve"> publications in the</w:t>
      </w:r>
      <w:r w:rsidRPr="00C9026A">
        <w:t xml:space="preserve"> </w:t>
      </w:r>
      <w:r w:rsidR="00A56EBD" w:rsidRPr="00C9026A">
        <w:t xml:space="preserve">IAEA </w:t>
      </w:r>
      <w:r w:rsidRPr="00C9026A">
        <w:t>Safety Standards Series</w:t>
      </w:r>
      <w:r w:rsidR="002D0EE5">
        <w:t>, namely</w:t>
      </w:r>
      <w:r w:rsidR="00C37E91" w:rsidRPr="00C9026A">
        <w:t xml:space="preserve"> </w:t>
      </w:r>
      <w:r w:rsidR="00253932" w:rsidRPr="00C9026A">
        <w:t xml:space="preserve">the Safety Requirements for </w:t>
      </w:r>
      <w:r w:rsidR="002D0EE5">
        <w:t>S</w:t>
      </w:r>
      <w:r w:rsidR="00253932" w:rsidRPr="00C9026A">
        <w:t xml:space="preserve">afety </w:t>
      </w:r>
      <w:r w:rsidR="002D0EE5">
        <w:t>A</w:t>
      </w:r>
      <w:r w:rsidR="00253932" w:rsidRPr="00C9026A">
        <w:t xml:space="preserve">ssessment </w:t>
      </w:r>
      <w:r w:rsidR="002D0EE5">
        <w:t>for F</w:t>
      </w:r>
      <w:r w:rsidR="00BA6D7C">
        <w:t>acilities and</w:t>
      </w:r>
      <w:r w:rsidR="00253932" w:rsidRPr="00C9026A">
        <w:t xml:space="preserve"> </w:t>
      </w:r>
      <w:r w:rsidR="002D0EE5">
        <w:t>A</w:t>
      </w:r>
      <w:r w:rsidR="00253932" w:rsidRPr="00C9026A">
        <w:t>ctivities</w:t>
      </w:r>
      <w:r w:rsidR="002D0EE5">
        <w:t>, IAEA Safety Standards Series No.</w:t>
      </w:r>
      <w:r w:rsidR="00253932" w:rsidRPr="00C9026A">
        <w:t xml:space="preserve"> </w:t>
      </w:r>
      <w:proofErr w:type="gramStart"/>
      <w:r w:rsidR="00F2567A">
        <w:t xml:space="preserve">GSR Part 4 </w:t>
      </w:r>
      <w:r w:rsidR="002D0EE5">
        <w:t xml:space="preserve">(Rev. 1) </w:t>
      </w:r>
      <w:r w:rsidR="00253932" w:rsidRPr="00C9026A">
        <w:t>[</w:t>
      </w:r>
      <w:r w:rsidR="00981A9A" w:rsidRPr="00C9026A">
        <w:t>5</w:t>
      </w:r>
      <w:r w:rsidR="00253932" w:rsidRPr="00C9026A">
        <w:t>]</w:t>
      </w:r>
      <w:r w:rsidR="008C02DF">
        <w:t xml:space="preserve"> and </w:t>
      </w:r>
      <w:r w:rsidR="00034BFF">
        <w:t xml:space="preserve">for </w:t>
      </w:r>
      <w:r w:rsidR="002D0EE5">
        <w:t>P</w:t>
      </w:r>
      <w:r w:rsidR="00034BFF" w:rsidRPr="00034BFF">
        <w:t xml:space="preserve">reparedness and </w:t>
      </w:r>
      <w:r w:rsidR="002D0EE5">
        <w:t>R</w:t>
      </w:r>
      <w:r w:rsidR="00034BFF" w:rsidRPr="00034BFF">
        <w:t xml:space="preserve">esponse for a </w:t>
      </w:r>
      <w:r w:rsidR="002D0EE5">
        <w:t>N</w:t>
      </w:r>
      <w:r w:rsidR="00034BFF" w:rsidRPr="00034BFF">
        <w:t xml:space="preserve">uclear or </w:t>
      </w:r>
      <w:r w:rsidR="002D0EE5">
        <w:t>R</w:t>
      </w:r>
      <w:r w:rsidR="00034BFF" w:rsidRPr="00034BFF">
        <w:t xml:space="preserve">adiological </w:t>
      </w:r>
      <w:r w:rsidR="002D0EE5">
        <w:t>E</w:t>
      </w:r>
      <w:r w:rsidR="00034BFF" w:rsidRPr="00034BFF">
        <w:t>mergency</w:t>
      </w:r>
      <w:r w:rsidR="002D0EE5">
        <w:t>, IAEA Safety Standards Series No.</w:t>
      </w:r>
      <w:proofErr w:type="gramEnd"/>
      <w:r w:rsidR="00034BFF">
        <w:t xml:space="preserve"> </w:t>
      </w:r>
      <w:r w:rsidR="00F2567A">
        <w:t xml:space="preserve">GSR Part 7 </w:t>
      </w:r>
      <w:r w:rsidR="00034BFF">
        <w:t>[</w:t>
      </w:r>
      <w:r w:rsidR="00CA60E6">
        <w:t>6</w:t>
      </w:r>
      <w:r w:rsidR="00034BFF">
        <w:t>]</w:t>
      </w:r>
      <w:r w:rsidR="00034BFF" w:rsidRPr="00034BFF">
        <w:t>,</w:t>
      </w:r>
      <w:r w:rsidR="00253932" w:rsidRPr="00C9026A">
        <w:t xml:space="preserve"> and </w:t>
      </w:r>
      <w:r w:rsidRPr="00C9026A">
        <w:t xml:space="preserve">the </w:t>
      </w:r>
      <w:r w:rsidR="00C37E91" w:rsidRPr="00C9026A">
        <w:t>S</w:t>
      </w:r>
      <w:r w:rsidR="00B179B6" w:rsidRPr="00C9026A">
        <w:t xml:space="preserve">afety </w:t>
      </w:r>
      <w:r w:rsidR="00C37E91" w:rsidRPr="00C9026A">
        <w:t>G</w:t>
      </w:r>
      <w:r w:rsidR="00B179B6" w:rsidRPr="00C9026A">
        <w:t xml:space="preserve">uides </w:t>
      </w:r>
      <w:r w:rsidR="00013306">
        <w:t>on</w:t>
      </w:r>
      <w:r w:rsidR="00013306" w:rsidRPr="00C9026A">
        <w:t xml:space="preserve"> </w:t>
      </w:r>
      <w:r w:rsidR="00013306">
        <w:t>R</w:t>
      </w:r>
      <w:r w:rsidR="00EA3490">
        <w:t xml:space="preserve">adiation </w:t>
      </w:r>
      <w:r w:rsidR="00013306">
        <w:t>P</w:t>
      </w:r>
      <w:r w:rsidR="00261EA9" w:rsidRPr="00C9026A">
        <w:t>rotection of</w:t>
      </w:r>
      <w:r w:rsidR="00B179B6" w:rsidRPr="00C9026A">
        <w:t xml:space="preserve"> </w:t>
      </w:r>
      <w:r w:rsidR="00261EA9" w:rsidRPr="00C9026A">
        <w:t xml:space="preserve">the </w:t>
      </w:r>
      <w:r w:rsidR="00013306">
        <w:t>P</w:t>
      </w:r>
      <w:r w:rsidR="00261EA9" w:rsidRPr="00C9026A">
        <w:t xml:space="preserve">ublic and </w:t>
      </w:r>
      <w:r w:rsidR="00013306">
        <w:t>P</w:t>
      </w:r>
      <w:r w:rsidR="00A56EBD" w:rsidRPr="00C9026A">
        <w:t xml:space="preserve">rotection of </w:t>
      </w:r>
      <w:r w:rsidR="00261EA9" w:rsidRPr="00C9026A">
        <w:t xml:space="preserve">the </w:t>
      </w:r>
      <w:r w:rsidR="00013306">
        <w:t>E</w:t>
      </w:r>
      <w:r w:rsidR="00261EA9" w:rsidRPr="00C9026A">
        <w:t>nvironment</w:t>
      </w:r>
      <w:r w:rsidR="00F2567A">
        <w:t>,</w:t>
      </w:r>
      <w:r w:rsidR="00261EA9" w:rsidRPr="00C9026A">
        <w:t xml:space="preserve"> </w:t>
      </w:r>
      <w:r w:rsidR="00B86454">
        <w:t xml:space="preserve">IAEA Safety Standards Series No. </w:t>
      </w:r>
      <w:proofErr w:type="gramStart"/>
      <w:r w:rsidR="00B86454">
        <w:t>DS</w:t>
      </w:r>
      <w:r w:rsidR="00F2567A">
        <w:t xml:space="preserve">432 </w:t>
      </w:r>
      <w:r w:rsidR="00E77F34" w:rsidRPr="00C9026A">
        <w:rPr>
          <w:rStyle w:val="Strong"/>
          <w:b w:val="0"/>
        </w:rPr>
        <w:t>[</w:t>
      </w:r>
      <w:r w:rsidR="00152714">
        <w:rPr>
          <w:rStyle w:val="Strong"/>
          <w:b w:val="0"/>
        </w:rPr>
        <w:t>7</w:t>
      </w:r>
      <w:r w:rsidR="00253932" w:rsidRPr="00C9026A">
        <w:rPr>
          <w:rStyle w:val="Strong"/>
          <w:b w:val="0"/>
        </w:rPr>
        <w:t>]</w:t>
      </w:r>
      <w:r w:rsidR="008C7EAE" w:rsidRPr="00C9026A">
        <w:rPr>
          <w:rStyle w:val="Strong"/>
          <w:b w:val="0"/>
        </w:rPr>
        <w:t xml:space="preserve">, </w:t>
      </w:r>
      <w:r w:rsidR="00253932" w:rsidRPr="00C9026A">
        <w:rPr>
          <w:rStyle w:val="Strong"/>
          <w:b w:val="0"/>
        </w:rPr>
        <w:t xml:space="preserve">on </w:t>
      </w:r>
      <w:r w:rsidR="00013306">
        <w:rPr>
          <w:rStyle w:val="Strong"/>
          <w:b w:val="0"/>
        </w:rPr>
        <w:t>C</w:t>
      </w:r>
      <w:r w:rsidR="00253932" w:rsidRPr="00C9026A">
        <w:rPr>
          <w:rStyle w:val="Strong"/>
          <w:b w:val="0"/>
        </w:rPr>
        <w:t xml:space="preserve">riteria for </w:t>
      </w:r>
      <w:r w:rsidR="00013306">
        <w:rPr>
          <w:rStyle w:val="Strong"/>
          <w:b w:val="0"/>
        </w:rPr>
        <w:t>U</w:t>
      </w:r>
      <w:r w:rsidR="00253932" w:rsidRPr="00C9026A">
        <w:rPr>
          <w:rStyle w:val="Strong"/>
          <w:b w:val="0"/>
        </w:rPr>
        <w:t xml:space="preserve">se </w:t>
      </w:r>
      <w:r w:rsidR="00EA3490">
        <w:rPr>
          <w:rStyle w:val="Strong"/>
          <w:b w:val="0"/>
        </w:rPr>
        <w:t xml:space="preserve">in </w:t>
      </w:r>
      <w:r w:rsidR="00013306">
        <w:rPr>
          <w:rStyle w:val="Strong"/>
          <w:b w:val="0"/>
        </w:rPr>
        <w:t>P</w:t>
      </w:r>
      <w:r w:rsidR="00253932" w:rsidRPr="00C9026A">
        <w:rPr>
          <w:rStyle w:val="Strong"/>
          <w:b w:val="0"/>
        </w:rPr>
        <w:t xml:space="preserve">reparedness and </w:t>
      </w:r>
      <w:r w:rsidR="00013306">
        <w:rPr>
          <w:rStyle w:val="Strong"/>
          <w:b w:val="0"/>
        </w:rPr>
        <w:t>R</w:t>
      </w:r>
      <w:r w:rsidR="00253932" w:rsidRPr="00C9026A">
        <w:rPr>
          <w:rStyle w:val="Strong"/>
          <w:b w:val="0"/>
        </w:rPr>
        <w:t xml:space="preserve">esponse </w:t>
      </w:r>
      <w:r w:rsidR="00EA3490">
        <w:rPr>
          <w:rStyle w:val="Strong"/>
          <w:b w:val="0"/>
        </w:rPr>
        <w:t xml:space="preserve">for a </w:t>
      </w:r>
      <w:r w:rsidR="00013306">
        <w:rPr>
          <w:rStyle w:val="Strong"/>
          <w:b w:val="0"/>
        </w:rPr>
        <w:t>N</w:t>
      </w:r>
      <w:r w:rsidR="00EA3490">
        <w:rPr>
          <w:rStyle w:val="Strong"/>
          <w:b w:val="0"/>
        </w:rPr>
        <w:t xml:space="preserve">uclear or </w:t>
      </w:r>
      <w:r w:rsidR="00013306">
        <w:rPr>
          <w:rStyle w:val="Strong"/>
          <w:b w:val="0"/>
        </w:rPr>
        <w:t>R</w:t>
      </w:r>
      <w:r w:rsidR="00EA3490">
        <w:rPr>
          <w:rStyle w:val="Strong"/>
          <w:b w:val="0"/>
        </w:rPr>
        <w:t xml:space="preserve">adiological </w:t>
      </w:r>
      <w:r w:rsidR="00013306">
        <w:rPr>
          <w:rStyle w:val="Strong"/>
          <w:b w:val="0"/>
        </w:rPr>
        <w:t>E</w:t>
      </w:r>
      <w:r w:rsidR="00EA3490">
        <w:rPr>
          <w:rStyle w:val="Strong"/>
          <w:b w:val="0"/>
        </w:rPr>
        <w:t>mergency</w:t>
      </w:r>
      <w:r w:rsidR="00F2567A">
        <w:rPr>
          <w:rStyle w:val="Strong"/>
          <w:b w:val="0"/>
        </w:rPr>
        <w:t>,</w:t>
      </w:r>
      <w:r w:rsidR="00EA3490">
        <w:rPr>
          <w:rStyle w:val="Strong"/>
          <w:b w:val="0"/>
        </w:rPr>
        <w:t xml:space="preserve"> </w:t>
      </w:r>
      <w:r w:rsidR="00013306">
        <w:t>IAEA Safety Standards Series No.</w:t>
      </w:r>
      <w:proofErr w:type="gramEnd"/>
      <w:r w:rsidR="00013306">
        <w:t xml:space="preserve"> </w:t>
      </w:r>
      <w:r w:rsidR="00F2567A">
        <w:rPr>
          <w:rStyle w:val="Strong"/>
          <w:b w:val="0"/>
        </w:rPr>
        <w:t>GSG</w:t>
      </w:r>
      <w:r w:rsidR="00F35C57">
        <w:rPr>
          <w:rStyle w:val="Strong"/>
          <w:b w:val="0"/>
        </w:rPr>
        <w:noBreakHyphen/>
      </w:r>
      <w:r w:rsidR="00F2567A">
        <w:rPr>
          <w:rStyle w:val="Strong"/>
          <w:b w:val="0"/>
        </w:rPr>
        <w:t xml:space="preserve">2 </w:t>
      </w:r>
      <w:r w:rsidR="00253932" w:rsidRPr="00C9026A">
        <w:rPr>
          <w:rStyle w:val="Strong"/>
          <w:b w:val="0"/>
        </w:rPr>
        <w:t>[</w:t>
      </w:r>
      <w:r w:rsidR="00152714">
        <w:rPr>
          <w:rStyle w:val="Strong"/>
          <w:b w:val="0"/>
        </w:rPr>
        <w:t>8</w:t>
      </w:r>
      <w:r w:rsidR="00C96660" w:rsidRPr="00C9026A">
        <w:rPr>
          <w:rStyle w:val="Strong"/>
          <w:b w:val="0"/>
        </w:rPr>
        <w:t>]</w:t>
      </w:r>
      <w:r w:rsidR="00237F94" w:rsidRPr="00C9026A">
        <w:rPr>
          <w:rStyle w:val="Strong"/>
          <w:b w:val="0"/>
        </w:rPr>
        <w:t xml:space="preserve"> a</w:t>
      </w:r>
      <w:r w:rsidRPr="00C9026A">
        <w:t xml:space="preserve">nd on </w:t>
      </w:r>
      <w:r w:rsidR="00013306">
        <w:t>R</w:t>
      </w:r>
      <w:r w:rsidR="00B179B6" w:rsidRPr="00C9026A">
        <w:t xml:space="preserve">egulatory </w:t>
      </w:r>
      <w:r w:rsidR="00013306">
        <w:t>C</w:t>
      </w:r>
      <w:r w:rsidR="00B179B6" w:rsidRPr="00C9026A">
        <w:t xml:space="preserve">ontrol </w:t>
      </w:r>
      <w:r w:rsidRPr="00C9026A">
        <w:t xml:space="preserve">of </w:t>
      </w:r>
      <w:r w:rsidR="00013306">
        <w:t>R</w:t>
      </w:r>
      <w:r w:rsidR="00B179B6" w:rsidRPr="00C9026A">
        <w:t xml:space="preserve">adioactive </w:t>
      </w:r>
      <w:r w:rsidR="00013306">
        <w:t>D</w:t>
      </w:r>
      <w:r w:rsidR="00EA3490">
        <w:t>ischarges</w:t>
      </w:r>
      <w:r w:rsidR="00EA3490" w:rsidRPr="00C9026A">
        <w:t xml:space="preserve"> </w:t>
      </w:r>
      <w:r w:rsidRPr="00C9026A">
        <w:t xml:space="preserve">to the </w:t>
      </w:r>
      <w:r w:rsidR="00013306">
        <w:t>E</w:t>
      </w:r>
      <w:r w:rsidR="00B179B6" w:rsidRPr="00C9026A">
        <w:t>nvironment</w:t>
      </w:r>
      <w:r w:rsidR="00B86454">
        <w:t>,</w:t>
      </w:r>
      <w:r w:rsidR="00B86454" w:rsidRPr="00B86454">
        <w:t xml:space="preserve"> </w:t>
      </w:r>
      <w:r w:rsidR="00B86454">
        <w:t>IAEA Safety Standards Series No.</w:t>
      </w:r>
      <w:r w:rsidR="00041F74" w:rsidRPr="00C9026A">
        <w:t xml:space="preserve"> </w:t>
      </w:r>
      <w:proofErr w:type="gramStart"/>
      <w:r w:rsidR="00B86454">
        <w:t>DS</w:t>
      </w:r>
      <w:r w:rsidR="00F2567A">
        <w:t>442</w:t>
      </w:r>
      <w:r w:rsidR="00041F74" w:rsidRPr="00C9026A">
        <w:t>[</w:t>
      </w:r>
      <w:proofErr w:type="gramEnd"/>
      <w:r w:rsidR="00152714">
        <w:t>9</w:t>
      </w:r>
      <w:r w:rsidR="00F65218" w:rsidRPr="00C9026A">
        <w:t>]</w:t>
      </w:r>
      <w:r w:rsidR="00F35C57">
        <w:t xml:space="preserve">. </w:t>
      </w:r>
      <w:r w:rsidR="0015024B">
        <w:t>T</w:t>
      </w:r>
      <w:r w:rsidR="002571E7">
        <w:t xml:space="preserve">his Safety Guide </w:t>
      </w:r>
      <w:r w:rsidR="00013306">
        <w:t xml:space="preserve">should be </w:t>
      </w:r>
      <w:r w:rsidR="0015024B">
        <w:t>used</w:t>
      </w:r>
      <w:r w:rsidR="00013306">
        <w:t xml:space="preserve"> in conjunction with these</w:t>
      </w:r>
      <w:r w:rsidR="0015024B">
        <w:t xml:space="preserve"> other safety standards</w:t>
      </w:r>
      <w:r w:rsidR="00D10A47">
        <w:rPr>
          <w:rStyle w:val="FootnoteReference"/>
        </w:rPr>
        <w:footnoteReference w:id="3"/>
      </w:r>
      <w:r w:rsidR="00253932" w:rsidRPr="00C9026A">
        <w:t xml:space="preserve">. </w:t>
      </w:r>
    </w:p>
    <w:p w:rsidR="004A4BAD" w:rsidRPr="00C9026A" w:rsidRDefault="00884835" w:rsidP="00A57A35">
      <w:pPr>
        <w:pStyle w:val="Heading4"/>
        <w:ind w:left="0"/>
      </w:pPr>
      <w:r w:rsidRPr="00C9026A">
        <w:t>This Safety Guide provide</w:t>
      </w:r>
      <w:r w:rsidR="00D70A09" w:rsidRPr="00C9026A">
        <w:t>s</w:t>
      </w:r>
      <w:r w:rsidRPr="00C9026A">
        <w:t xml:space="preserve"> a general framework that is consistent with and can be appl</w:t>
      </w:r>
      <w:r w:rsidR="00726986" w:rsidRPr="00C9026A">
        <w:t>ied</w:t>
      </w:r>
      <w:r w:rsidRPr="00C9026A">
        <w:t xml:space="preserve"> as a complement to </w:t>
      </w:r>
      <w:r w:rsidR="00B86454">
        <w:t xml:space="preserve">the guidance provided in </w:t>
      </w:r>
      <w:r w:rsidRPr="00C9026A">
        <w:t xml:space="preserve">other Safety Guides </w:t>
      </w:r>
      <w:r w:rsidR="00B86454">
        <w:t>setting out</w:t>
      </w:r>
      <w:r w:rsidR="009555D3">
        <w:t xml:space="preserve"> </w:t>
      </w:r>
      <w:r w:rsidR="00BC4683" w:rsidRPr="00C9026A">
        <w:t>frameworks for safety assessment</w:t>
      </w:r>
      <w:r w:rsidR="005E32ED" w:rsidRPr="00C9026A">
        <w:t xml:space="preserve"> for </w:t>
      </w:r>
      <w:r w:rsidR="00BA6D7C">
        <w:t xml:space="preserve">facilities and </w:t>
      </w:r>
      <w:r w:rsidR="005E32ED" w:rsidRPr="00C9026A">
        <w:t>activities</w:t>
      </w:r>
      <w:r w:rsidR="009555D3">
        <w:t>, in which</w:t>
      </w:r>
      <w:r w:rsidR="004A4BAD" w:rsidRPr="00C9026A">
        <w:t xml:space="preserve"> the concept of</w:t>
      </w:r>
      <w:r w:rsidR="00BC4683" w:rsidRPr="00C9026A">
        <w:t xml:space="preserve"> </w:t>
      </w:r>
      <w:r w:rsidRPr="00C9026A">
        <w:t xml:space="preserve">radiological </w:t>
      </w:r>
      <w:r w:rsidR="005E32ED" w:rsidRPr="00C9026A">
        <w:t xml:space="preserve">environmental </w:t>
      </w:r>
      <w:r w:rsidRPr="00C9026A">
        <w:t>impact assessment</w:t>
      </w:r>
      <w:r w:rsidR="009555D3">
        <w:t xml:space="preserve"> is included</w:t>
      </w:r>
      <w:r w:rsidR="004A4BAD" w:rsidRPr="00C9026A">
        <w:t xml:space="preserve"> as part of the safety assessment</w:t>
      </w:r>
      <w:r w:rsidR="009555D3">
        <w:t xml:space="preserve"> </w:t>
      </w:r>
      <w:r w:rsidRPr="00C9026A">
        <w:t xml:space="preserve">but </w:t>
      </w:r>
      <w:r w:rsidR="00B86454">
        <w:t xml:space="preserve">where it </w:t>
      </w:r>
      <w:r w:rsidR="009555D3">
        <w:t xml:space="preserve">is </w:t>
      </w:r>
      <w:r w:rsidR="00300322">
        <w:t>described</w:t>
      </w:r>
      <w:r w:rsidR="00300322" w:rsidRPr="00C9026A">
        <w:t xml:space="preserve"> </w:t>
      </w:r>
      <w:r w:rsidR="00EB16DE">
        <w:t>in less detail</w:t>
      </w:r>
      <w:r w:rsidR="00990F70" w:rsidRPr="00C9026A">
        <w:t>; f</w:t>
      </w:r>
      <w:r w:rsidRPr="00C9026A">
        <w:t>or example, in the framework</w:t>
      </w:r>
      <w:r w:rsidR="00CE7F7D" w:rsidRPr="00C9026A">
        <w:t>s</w:t>
      </w:r>
      <w:r w:rsidRPr="00C9026A">
        <w:t xml:space="preserve"> </w:t>
      </w:r>
      <w:r w:rsidR="00B86454">
        <w:t>described in The Safety Case and</w:t>
      </w:r>
      <w:r w:rsidR="009555D3" w:rsidRPr="00C9026A">
        <w:t xml:space="preserve"> </w:t>
      </w:r>
      <w:r w:rsidR="00B86454">
        <w:t>S</w:t>
      </w:r>
      <w:r w:rsidRPr="00C9026A">
        <w:t xml:space="preserve">afety </w:t>
      </w:r>
      <w:r w:rsidR="00B86454">
        <w:t>A</w:t>
      </w:r>
      <w:r w:rsidRPr="00C9026A">
        <w:t xml:space="preserve">ssessment for </w:t>
      </w:r>
      <w:r w:rsidR="00B86454">
        <w:t>P</w:t>
      </w:r>
      <w:r w:rsidRPr="00C9026A">
        <w:t xml:space="preserve">redisposal </w:t>
      </w:r>
      <w:r w:rsidR="00B86454">
        <w:t>M</w:t>
      </w:r>
      <w:r w:rsidRPr="00C9026A">
        <w:t xml:space="preserve">anagement of </w:t>
      </w:r>
      <w:r w:rsidR="00B86454">
        <w:t>R</w:t>
      </w:r>
      <w:r w:rsidRPr="00C9026A">
        <w:t xml:space="preserve">adioactive </w:t>
      </w:r>
      <w:r w:rsidR="00B86454">
        <w:t>W</w:t>
      </w:r>
      <w:r w:rsidRPr="00C9026A">
        <w:t>aste</w:t>
      </w:r>
      <w:r w:rsidR="00B86454">
        <w:t xml:space="preserve">, IAEA Safety Standards Series No. </w:t>
      </w:r>
      <w:proofErr w:type="gramStart"/>
      <w:r w:rsidR="00B86454">
        <w:t>GSG-3</w:t>
      </w:r>
      <w:r w:rsidRPr="00C9026A">
        <w:t xml:space="preserve"> [</w:t>
      </w:r>
      <w:r w:rsidR="00F30B9B">
        <w:t>13</w:t>
      </w:r>
      <w:r w:rsidRPr="00C9026A">
        <w:t>]</w:t>
      </w:r>
      <w:r w:rsidR="00EB3382">
        <w:t>,</w:t>
      </w:r>
      <w:r w:rsidRPr="00C9026A">
        <w:t xml:space="preserve"> and </w:t>
      </w:r>
      <w:r w:rsidR="00B86454">
        <w:t>in</w:t>
      </w:r>
      <w:r w:rsidR="009555D3">
        <w:t xml:space="preserve"> </w:t>
      </w:r>
      <w:r w:rsidR="00B86454">
        <w:t>S</w:t>
      </w:r>
      <w:r w:rsidRPr="00C9026A">
        <w:t xml:space="preserve">afety </w:t>
      </w:r>
      <w:r w:rsidR="00B86454">
        <w:t>A</w:t>
      </w:r>
      <w:r w:rsidRPr="00C9026A">
        <w:t xml:space="preserve">ssessment for the </w:t>
      </w:r>
      <w:r w:rsidR="00B86454">
        <w:t>D</w:t>
      </w:r>
      <w:r w:rsidRPr="00C9026A">
        <w:t xml:space="preserve">ecommissioning of </w:t>
      </w:r>
      <w:r w:rsidR="00B86454">
        <w:t>F</w:t>
      </w:r>
      <w:r w:rsidRPr="00C9026A">
        <w:t xml:space="preserve">acilities </w:t>
      </w:r>
      <w:r w:rsidR="00B86454">
        <w:t>U</w:t>
      </w:r>
      <w:r w:rsidRPr="00C9026A">
        <w:t xml:space="preserve">sing </w:t>
      </w:r>
      <w:r w:rsidR="00B86454">
        <w:t>R</w:t>
      </w:r>
      <w:r w:rsidRPr="00C9026A">
        <w:t xml:space="preserve">adioactive </w:t>
      </w:r>
      <w:r w:rsidR="00B86454">
        <w:t>M</w:t>
      </w:r>
      <w:r w:rsidRPr="00C9026A">
        <w:t>aterial</w:t>
      </w:r>
      <w:r w:rsidR="00B86454">
        <w:t>,</w:t>
      </w:r>
      <w:r w:rsidR="00B86454" w:rsidRPr="00B86454">
        <w:t xml:space="preserve"> </w:t>
      </w:r>
      <w:r w:rsidR="00B86454">
        <w:t>IAEA Safety Standards Series No.</w:t>
      </w:r>
      <w:proofErr w:type="gramEnd"/>
      <w:r w:rsidR="00B86454">
        <w:t xml:space="preserve"> </w:t>
      </w:r>
      <w:proofErr w:type="gramStart"/>
      <w:r w:rsidR="00B86454">
        <w:t>WS-G-5.2</w:t>
      </w:r>
      <w:r w:rsidRPr="00C9026A">
        <w:t xml:space="preserve"> [</w:t>
      </w:r>
      <w:r w:rsidR="00981A9A" w:rsidRPr="00C9026A">
        <w:t>1</w:t>
      </w:r>
      <w:r w:rsidR="00F30B9B">
        <w:t>4</w:t>
      </w:r>
      <w:r w:rsidRPr="00C9026A">
        <w:t>].</w:t>
      </w:r>
      <w:proofErr w:type="gramEnd"/>
      <w:r w:rsidR="00253932" w:rsidRPr="00C9026A">
        <w:t xml:space="preserve"> </w:t>
      </w:r>
    </w:p>
    <w:p w:rsidR="002F6ABF" w:rsidRPr="00C9026A" w:rsidRDefault="00A005C9" w:rsidP="00A57A35">
      <w:pPr>
        <w:pStyle w:val="Heading2"/>
        <w:rPr>
          <w:lang w:val="en-GB"/>
        </w:rPr>
      </w:pPr>
      <w:bookmarkStart w:id="4" w:name="_Toc447613458"/>
      <w:bookmarkStart w:id="5" w:name="_Toc450203981"/>
      <w:r w:rsidRPr="00C9026A">
        <w:rPr>
          <w:lang w:val="en-GB"/>
        </w:rPr>
        <w:t>Objective</w:t>
      </w:r>
      <w:bookmarkEnd w:id="4"/>
      <w:bookmarkEnd w:id="5"/>
    </w:p>
    <w:p w:rsidR="00C50ED4" w:rsidRPr="00C9026A" w:rsidRDefault="002F6ABF" w:rsidP="00A57A35">
      <w:pPr>
        <w:pStyle w:val="Heading4"/>
        <w:ind w:left="0"/>
      </w:pPr>
      <w:r w:rsidRPr="00C9026A">
        <w:t>Th</w:t>
      </w:r>
      <w:r w:rsidR="00A56EBD" w:rsidRPr="00C9026A">
        <w:t>is</w:t>
      </w:r>
      <w:r w:rsidRPr="00C9026A">
        <w:t xml:space="preserve"> </w:t>
      </w:r>
      <w:r w:rsidR="00A56EBD" w:rsidRPr="00C9026A">
        <w:t>Safety Guide</w:t>
      </w:r>
      <w:r w:rsidRPr="00C9026A">
        <w:t xml:space="preserve"> provide</w:t>
      </w:r>
      <w:r w:rsidR="00A56EBD" w:rsidRPr="00C9026A">
        <w:t>s</w:t>
      </w:r>
      <w:r w:rsidRPr="00C9026A">
        <w:t xml:space="preserve"> </w:t>
      </w:r>
      <w:r w:rsidR="00A56EBD" w:rsidRPr="00C9026A">
        <w:t xml:space="preserve">recommendations and </w:t>
      </w:r>
      <w:r w:rsidRPr="00C9026A">
        <w:t>guidance</w:t>
      </w:r>
      <w:r w:rsidR="001A4BF1" w:rsidRPr="00C9026A">
        <w:t xml:space="preserve"> on a general framework</w:t>
      </w:r>
      <w:r w:rsidRPr="00C9026A">
        <w:t xml:space="preserve"> for performing </w:t>
      </w:r>
      <w:r w:rsidR="00C50ED4" w:rsidRPr="00C9026A">
        <w:t xml:space="preserve">prospective </w:t>
      </w:r>
      <w:r w:rsidR="001F15AC" w:rsidRPr="00C9026A">
        <w:t xml:space="preserve">radiological impact </w:t>
      </w:r>
      <w:r w:rsidR="009E784C" w:rsidRPr="00C9026A">
        <w:t>assessment</w:t>
      </w:r>
      <w:r w:rsidR="008E51F7" w:rsidRPr="00C9026A">
        <w:t>s</w:t>
      </w:r>
      <w:r w:rsidR="009E784C" w:rsidRPr="00C9026A">
        <w:t xml:space="preserve"> </w:t>
      </w:r>
      <w:r w:rsidR="004A4BAD" w:rsidRPr="00C9026A">
        <w:t>for</w:t>
      </w:r>
      <w:r w:rsidR="009E784C" w:rsidRPr="00C9026A">
        <w:t xml:space="preserve"> </w:t>
      </w:r>
      <w:r w:rsidR="00A654C0" w:rsidRPr="00C9026A">
        <w:t xml:space="preserve">facilities </w:t>
      </w:r>
      <w:r w:rsidR="002A468C" w:rsidRPr="00C9026A">
        <w:t>and activities</w:t>
      </w:r>
      <w:r w:rsidR="00E1552C" w:rsidRPr="00C9026A">
        <w:t>,</w:t>
      </w:r>
      <w:r w:rsidR="002A468C" w:rsidRPr="00C9026A">
        <w:t xml:space="preserve"> </w:t>
      </w:r>
      <w:r w:rsidR="00A654C0" w:rsidRPr="00C9026A">
        <w:t xml:space="preserve">to </w:t>
      </w:r>
      <w:r w:rsidR="009B5D8D" w:rsidRPr="00C9026A">
        <w:t xml:space="preserve">estimate </w:t>
      </w:r>
      <w:r w:rsidR="000373CB" w:rsidRPr="00C9026A">
        <w:t>and control</w:t>
      </w:r>
      <w:r w:rsidR="0096028D" w:rsidRPr="00C9026A">
        <w:t xml:space="preserve"> the</w:t>
      </w:r>
      <w:r w:rsidR="000373CB" w:rsidRPr="00C9026A">
        <w:t xml:space="preserve"> radiological effects</w:t>
      </w:r>
      <w:r w:rsidR="009B5D8D" w:rsidRPr="00C9026A">
        <w:t xml:space="preserve"> </w:t>
      </w:r>
      <w:r w:rsidR="000373CB" w:rsidRPr="00C9026A">
        <w:t>on</w:t>
      </w:r>
      <w:r w:rsidR="009B5D8D" w:rsidRPr="00C9026A">
        <w:t xml:space="preserve"> </w:t>
      </w:r>
      <w:r w:rsidR="00A034AA" w:rsidRPr="00C9026A">
        <w:t xml:space="preserve">the </w:t>
      </w:r>
      <w:r w:rsidR="009B5D8D" w:rsidRPr="00C9026A">
        <w:t xml:space="preserve">public </w:t>
      </w:r>
      <w:r w:rsidR="000373CB" w:rsidRPr="00C9026A">
        <w:t>and on</w:t>
      </w:r>
      <w:r w:rsidR="009C3E16" w:rsidRPr="00C9026A">
        <w:t xml:space="preserve"> </w:t>
      </w:r>
      <w:r w:rsidR="00A654C0" w:rsidRPr="00C9026A">
        <w:t xml:space="preserve">the </w:t>
      </w:r>
      <w:r w:rsidR="009E784C" w:rsidRPr="00C9026A">
        <w:t>environment</w:t>
      </w:r>
      <w:r w:rsidR="008E51F7" w:rsidRPr="00C9026A">
        <w:t xml:space="preserve">. </w:t>
      </w:r>
      <w:r w:rsidR="00736B19" w:rsidRPr="00C9026A">
        <w:t>Th</w:t>
      </w:r>
      <w:r w:rsidR="00641A28" w:rsidRPr="00C9026A">
        <w:t>is</w:t>
      </w:r>
      <w:r w:rsidR="00736B19" w:rsidRPr="00C9026A">
        <w:t xml:space="preserve"> </w:t>
      </w:r>
      <w:r w:rsidR="004A4BAD" w:rsidRPr="00C9026A">
        <w:t xml:space="preserve">radiological </w:t>
      </w:r>
      <w:r w:rsidR="00AE4990">
        <w:t xml:space="preserve">impact </w:t>
      </w:r>
      <w:r w:rsidR="00736B19" w:rsidRPr="00C9026A">
        <w:t xml:space="preserve">assessment </w:t>
      </w:r>
      <w:r w:rsidR="008E51F7" w:rsidRPr="00C9026A">
        <w:t xml:space="preserve">is </w:t>
      </w:r>
      <w:r w:rsidR="00B8239C" w:rsidRPr="00C9026A">
        <w:t>intended</w:t>
      </w:r>
      <w:r w:rsidR="008E51F7" w:rsidRPr="00C9026A">
        <w:t xml:space="preserve"> for </w:t>
      </w:r>
      <w:r w:rsidR="00F404E4" w:rsidRPr="00C9026A">
        <w:t>planned exposure situation</w:t>
      </w:r>
      <w:r w:rsidR="000E37F9" w:rsidRPr="00C9026A">
        <w:t>s</w:t>
      </w:r>
      <w:r w:rsidR="00F404E4" w:rsidRPr="00C9026A">
        <w:t xml:space="preserve"> </w:t>
      </w:r>
      <w:r w:rsidRPr="00C9026A">
        <w:t xml:space="preserve">as part of </w:t>
      </w:r>
      <w:r w:rsidR="00B13383" w:rsidRPr="00C9026A">
        <w:t xml:space="preserve">the authorization process and, when applicable, </w:t>
      </w:r>
      <w:r w:rsidR="00AE4990">
        <w:t xml:space="preserve">as part of </w:t>
      </w:r>
      <w:r w:rsidR="00B86454">
        <w:t>a</w:t>
      </w:r>
      <w:r w:rsidR="00B86454" w:rsidRPr="00C9026A">
        <w:t xml:space="preserve"> </w:t>
      </w:r>
      <w:r w:rsidR="0049373E" w:rsidRPr="00C9026A">
        <w:t xml:space="preserve">governmental </w:t>
      </w:r>
      <w:r w:rsidRPr="00C9026A">
        <w:t>decision</w:t>
      </w:r>
      <w:r w:rsidR="00AE4990">
        <w:t xml:space="preserve"> </w:t>
      </w:r>
      <w:r w:rsidRPr="00C9026A">
        <w:t xml:space="preserve">making </w:t>
      </w:r>
      <w:r w:rsidR="0023123A" w:rsidRPr="00C9026A">
        <w:t xml:space="preserve">process </w:t>
      </w:r>
      <w:r w:rsidRPr="00C9026A">
        <w:t>for facilities and activities</w:t>
      </w:r>
      <w:r w:rsidR="00316314" w:rsidRPr="00C9026A">
        <w:t>.</w:t>
      </w:r>
      <w:r w:rsidRPr="00C9026A">
        <w:t xml:space="preserve"> </w:t>
      </w:r>
      <w:r w:rsidR="0059029A" w:rsidRPr="00C9026A">
        <w:t>The</w:t>
      </w:r>
      <w:r w:rsidR="00DB1F8D" w:rsidRPr="00C9026A">
        <w:t xml:space="preserve"> situations </w:t>
      </w:r>
      <w:r w:rsidR="0059029A" w:rsidRPr="00C9026A">
        <w:t xml:space="preserve">covered </w:t>
      </w:r>
      <w:r w:rsidR="00DB1F8D" w:rsidRPr="00C9026A">
        <w:t xml:space="preserve">include </w:t>
      </w:r>
      <w:r w:rsidR="0022329B">
        <w:t xml:space="preserve">both </w:t>
      </w:r>
      <w:r w:rsidR="00DB1F8D" w:rsidRPr="00C9026A">
        <w:t xml:space="preserve">exposures </w:t>
      </w:r>
      <w:r w:rsidR="00FF30D1" w:rsidRPr="00C9026A">
        <w:t>expected</w:t>
      </w:r>
      <w:r w:rsidR="00F45A1B">
        <w:t xml:space="preserve"> to occur</w:t>
      </w:r>
      <w:r w:rsidR="00FF30D1" w:rsidRPr="00C9026A">
        <w:t xml:space="preserve"> </w:t>
      </w:r>
      <w:r w:rsidR="00247E51">
        <w:t xml:space="preserve">in </w:t>
      </w:r>
      <w:r w:rsidR="009F3DA8">
        <w:t xml:space="preserve">normal operation </w:t>
      </w:r>
      <w:r w:rsidR="00DB1F8D" w:rsidRPr="00C9026A">
        <w:t>and potential exposures</w:t>
      </w:r>
      <w:r w:rsidR="0022329B">
        <w:t xml:space="preserve"> </w:t>
      </w:r>
      <w:r w:rsidR="00590AFA">
        <w:t>(see para 2.2)</w:t>
      </w:r>
      <w:r w:rsidR="00DB1F8D" w:rsidRPr="00C9026A">
        <w:t xml:space="preserve">. </w:t>
      </w:r>
    </w:p>
    <w:p w:rsidR="002F6ABF" w:rsidRDefault="002F6ABF" w:rsidP="00A57A35">
      <w:pPr>
        <w:pStyle w:val="Heading4"/>
        <w:ind w:left="0"/>
      </w:pPr>
      <w:r w:rsidRPr="00C9026A">
        <w:t xml:space="preserve">This Safety Guide </w:t>
      </w:r>
      <w:r w:rsidR="00854945" w:rsidRPr="00C9026A">
        <w:t xml:space="preserve">provides </w:t>
      </w:r>
      <w:r w:rsidR="00B13383" w:rsidRPr="00C9026A">
        <w:t xml:space="preserve">general </w:t>
      </w:r>
      <w:r w:rsidR="00854945" w:rsidRPr="00C9026A">
        <w:t xml:space="preserve">guidance and recommendations </w:t>
      </w:r>
      <w:r w:rsidR="00C50ED4" w:rsidRPr="00C9026A">
        <w:t>about the</w:t>
      </w:r>
      <w:r w:rsidRPr="00C9026A">
        <w:t xml:space="preserve"> content of </w:t>
      </w:r>
      <w:r w:rsidR="00B86454">
        <w:t>a</w:t>
      </w:r>
      <w:r w:rsidR="00B86454" w:rsidRPr="00C9026A">
        <w:t xml:space="preserve"> </w:t>
      </w:r>
      <w:r w:rsidR="001F0334">
        <w:t xml:space="preserve">prospective </w:t>
      </w:r>
      <w:r w:rsidR="001F15AC" w:rsidRPr="00C9026A">
        <w:t xml:space="preserve">radiological </w:t>
      </w:r>
      <w:r w:rsidR="005D0FD8" w:rsidRPr="00C9026A">
        <w:t xml:space="preserve">environmental </w:t>
      </w:r>
      <w:r w:rsidR="001F15AC" w:rsidRPr="00C9026A">
        <w:t xml:space="preserve">impact </w:t>
      </w:r>
      <w:r w:rsidRPr="00C9026A">
        <w:t xml:space="preserve">assessment, </w:t>
      </w:r>
      <w:r w:rsidR="00B86454">
        <w:t>its</w:t>
      </w:r>
      <w:r w:rsidR="00B86454" w:rsidRPr="00C9026A">
        <w:t xml:space="preserve"> </w:t>
      </w:r>
      <w:r w:rsidRPr="00C9026A">
        <w:t xml:space="preserve">use and the procedures for </w:t>
      </w:r>
      <w:r w:rsidR="00B86454">
        <w:t>its</w:t>
      </w:r>
      <w:r w:rsidR="00B86454" w:rsidRPr="00C9026A">
        <w:t xml:space="preserve"> </w:t>
      </w:r>
      <w:r w:rsidRPr="00C9026A">
        <w:t>implementation</w:t>
      </w:r>
      <w:r w:rsidR="00F7797A" w:rsidRPr="00C9026A">
        <w:t>,</w:t>
      </w:r>
      <w:r w:rsidRPr="00C9026A">
        <w:t xml:space="preserve"> as an aid to national regulatory bodies, </w:t>
      </w:r>
      <w:r w:rsidR="006A4438">
        <w:t xml:space="preserve">to </w:t>
      </w:r>
      <w:r w:rsidRPr="00C9026A">
        <w:t xml:space="preserve">persons or organizations </w:t>
      </w:r>
      <w:r w:rsidR="006A4438">
        <w:t xml:space="preserve">responsible for facilities and activities </w:t>
      </w:r>
      <w:r w:rsidR="002D0AFC" w:rsidRPr="00C9026A">
        <w:t>and to other interested parties</w:t>
      </w:r>
      <w:r w:rsidR="002D0AFC" w:rsidRPr="00C9026A">
        <w:rPr>
          <w:rStyle w:val="FootnoteReference"/>
        </w:rPr>
        <w:footnoteReference w:id="4"/>
      </w:r>
      <w:r w:rsidR="00C403DD">
        <w:t>,</w:t>
      </w:r>
      <w:r w:rsidR="002D0AFC" w:rsidRPr="00C9026A">
        <w:t xml:space="preserve"> </w:t>
      </w:r>
      <w:r w:rsidR="00C625D1">
        <w:t>including but not restricted to those</w:t>
      </w:r>
      <w:r w:rsidR="00C403DD">
        <w:t xml:space="preserve"> persons or organizations</w:t>
      </w:r>
      <w:r w:rsidR="00C625D1">
        <w:t xml:space="preserve"> </w:t>
      </w:r>
      <w:r w:rsidRPr="00C9026A">
        <w:t xml:space="preserve">applying for an authorization </w:t>
      </w:r>
      <w:r w:rsidR="00C403DD">
        <w:t xml:space="preserve">for </w:t>
      </w:r>
      <w:r w:rsidRPr="00C9026A">
        <w:t xml:space="preserve">or responsible for </w:t>
      </w:r>
      <w:r w:rsidRPr="00C9026A">
        <w:lastRenderedPageBreak/>
        <w:t xml:space="preserve">the operation of facilities and </w:t>
      </w:r>
      <w:r w:rsidR="00C761D4">
        <w:t xml:space="preserve">conduct of </w:t>
      </w:r>
      <w:r w:rsidRPr="00C9026A">
        <w:t>activities.</w:t>
      </w:r>
      <w:r w:rsidR="001A4BF1" w:rsidRPr="00C9026A">
        <w:t xml:space="preserve"> It is recognized in this </w:t>
      </w:r>
      <w:r w:rsidR="00C403DD">
        <w:t>Safety Guide</w:t>
      </w:r>
      <w:r w:rsidR="00C403DD" w:rsidRPr="00C9026A">
        <w:t xml:space="preserve"> </w:t>
      </w:r>
      <w:r w:rsidR="001A4BF1" w:rsidRPr="00C9026A">
        <w:t xml:space="preserve">that different </w:t>
      </w:r>
      <w:r w:rsidR="00D02B17" w:rsidRPr="00C9026A">
        <w:t>S</w:t>
      </w:r>
      <w:r w:rsidR="001A4BF1" w:rsidRPr="00C9026A">
        <w:t xml:space="preserve">tates </w:t>
      </w:r>
      <w:r w:rsidR="00D8111D">
        <w:t>use</w:t>
      </w:r>
      <w:r w:rsidR="00D8111D" w:rsidRPr="00C9026A">
        <w:t xml:space="preserve"> </w:t>
      </w:r>
      <w:r w:rsidR="001A4BF1" w:rsidRPr="00C9026A">
        <w:t>different approaches</w:t>
      </w:r>
      <w:r w:rsidR="00D8111D" w:rsidRPr="00D8111D">
        <w:t xml:space="preserve"> </w:t>
      </w:r>
      <w:r w:rsidR="00D8111D">
        <w:t xml:space="preserve">to perform </w:t>
      </w:r>
      <w:r w:rsidR="00D8111D" w:rsidRPr="00C9026A">
        <w:t xml:space="preserve">some aspects of </w:t>
      </w:r>
      <w:r w:rsidR="00C625D1" w:rsidRPr="00C9026A">
        <w:t>th</w:t>
      </w:r>
      <w:r w:rsidR="00C625D1">
        <w:t>e</w:t>
      </w:r>
      <w:r w:rsidR="00B86454">
        <w:t xml:space="preserve"> radiological environmental impact</w:t>
      </w:r>
      <w:r w:rsidR="00C625D1" w:rsidRPr="00C9026A">
        <w:t xml:space="preserve"> </w:t>
      </w:r>
      <w:r w:rsidR="00D8111D" w:rsidRPr="00C9026A">
        <w:t>assessment</w:t>
      </w:r>
      <w:r w:rsidR="001A4BF1" w:rsidRPr="00C9026A">
        <w:t xml:space="preserve">. This is </w:t>
      </w:r>
      <w:r w:rsidR="00F7797A" w:rsidRPr="00C9026A">
        <w:t>due to</w:t>
      </w:r>
      <w:r w:rsidR="001A4BF1" w:rsidRPr="00C9026A">
        <w:t xml:space="preserve"> the complexity and diversity of the options for management of environmental issues, which depend</w:t>
      </w:r>
      <w:r w:rsidR="00D8111D">
        <w:t>s</w:t>
      </w:r>
      <w:r w:rsidR="001A4BF1" w:rsidRPr="00C9026A">
        <w:t xml:space="preserve"> on </w:t>
      </w:r>
      <w:r w:rsidR="00B13383" w:rsidRPr="00C9026A">
        <w:t>the characteristics of the facilities and activities</w:t>
      </w:r>
      <w:r w:rsidR="002F5F3B">
        <w:t xml:space="preserve"> themselves</w:t>
      </w:r>
      <w:r w:rsidR="00B13383" w:rsidRPr="00C9026A">
        <w:t xml:space="preserve">, the environmental </w:t>
      </w:r>
      <w:r w:rsidR="00C403DD">
        <w:t xml:space="preserve">conditions </w:t>
      </w:r>
      <w:r w:rsidR="00B13383" w:rsidRPr="00C9026A">
        <w:t xml:space="preserve">and the </w:t>
      </w:r>
      <w:r w:rsidR="001A4BF1" w:rsidRPr="00C9026A">
        <w:t>national circumstances.</w:t>
      </w:r>
    </w:p>
    <w:p w:rsidR="004E6213" w:rsidRPr="004E6213" w:rsidRDefault="00C403DD" w:rsidP="007E60CF">
      <w:pPr>
        <w:pStyle w:val="Heading4"/>
        <w:tabs>
          <w:tab w:val="clear" w:pos="644"/>
          <w:tab w:val="num" w:pos="2062"/>
        </w:tabs>
        <w:ind w:left="0"/>
      </w:pPr>
      <w:r>
        <w:t>Figures 1 to 3 and I-1 and I-2</w:t>
      </w:r>
      <w:r w:rsidR="004E6213" w:rsidRPr="004E6213">
        <w:t xml:space="preserve"> illustrate elements of such assessments</w:t>
      </w:r>
      <w:r>
        <w:t xml:space="preserve"> and</w:t>
      </w:r>
      <w:r w:rsidR="004E6213" w:rsidRPr="004E6213">
        <w:t xml:space="preserve"> facilitate their </w:t>
      </w:r>
      <w:r w:rsidR="00F469C7">
        <w:t>description</w:t>
      </w:r>
      <w:r>
        <w:t>, but</w:t>
      </w:r>
      <w:r w:rsidR="004E6213" w:rsidRPr="004E6213">
        <w:t xml:space="preserve"> </w:t>
      </w:r>
      <w:r w:rsidR="00B86454">
        <w:t>do</w:t>
      </w:r>
      <w:r w:rsidR="00B86454" w:rsidRPr="004E6213">
        <w:t xml:space="preserve"> </w:t>
      </w:r>
      <w:r w:rsidR="004E6213" w:rsidRPr="004E6213">
        <w:t xml:space="preserve">not </w:t>
      </w:r>
      <w:r>
        <w:t>represent</w:t>
      </w:r>
      <w:r w:rsidR="004E6213" w:rsidRPr="004E6213">
        <w:t xml:space="preserve"> detailed procedure</w:t>
      </w:r>
      <w:r>
        <w:t>s</w:t>
      </w:r>
      <w:r w:rsidR="004E6213" w:rsidRPr="004E6213">
        <w:t xml:space="preserve">. Other important </w:t>
      </w:r>
      <w:r>
        <w:t>aspects</w:t>
      </w:r>
      <w:r w:rsidRPr="004E6213">
        <w:t xml:space="preserve"> </w:t>
      </w:r>
      <w:r>
        <w:t xml:space="preserve">that </w:t>
      </w:r>
      <w:r w:rsidR="004E6213" w:rsidRPr="004E6213">
        <w:t xml:space="preserve">should be considered when performing </w:t>
      </w:r>
      <w:r>
        <w:t>a radiological environmental impact</w:t>
      </w:r>
      <w:r w:rsidRPr="004E6213">
        <w:t xml:space="preserve"> </w:t>
      </w:r>
      <w:r w:rsidR="004E6213" w:rsidRPr="004E6213">
        <w:t>assessment, such as selection of computer codes, uncertainty analysis, verification, quality assurance and quality control</w:t>
      </w:r>
      <w:r>
        <w:t>,</w:t>
      </w:r>
      <w:r w:rsidR="004E6213" w:rsidRPr="004E6213">
        <w:t xml:space="preserve"> are not </w:t>
      </w:r>
      <w:r w:rsidR="00F469C7">
        <w:t>described</w:t>
      </w:r>
      <w:r w:rsidR="00F469C7" w:rsidRPr="004E6213">
        <w:t xml:space="preserve"> </w:t>
      </w:r>
      <w:r w:rsidR="004E6213" w:rsidRPr="004E6213">
        <w:t>in this Safety Guide</w:t>
      </w:r>
      <w:r>
        <w:t>.</w:t>
      </w:r>
    </w:p>
    <w:p w:rsidR="002F6ABF" w:rsidRPr="00C9026A" w:rsidRDefault="00A005C9" w:rsidP="00A57A35">
      <w:pPr>
        <w:pStyle w:val="Heading2"/>
        <w:rPr>
          <w:lang w:val="en-GB"/>
        </w:rPr>
      </w:pPr>
      <w:bookmarkStart w:id="6" w:name="_Toc400012015"/>
      <w:bookmarkStart w:id="7" w:name="_Toc447613459"/>
      <w:bookmarkStart w:id="8" w:name="_Toc450203982"/>
      <w:r w:rsidRPr="00C9026A">
        <w:rPr>
          <w:lang w:val="en-GB"/>
        </w:rPr>
        <w:t>Scope</w:t>
      </w:r>
      <w:bookmarkEnd w:id="6"/>
      <w:bookmarkEnd w:id="7"/>
      <w:bookmarkEnd w:id="8"/>
    </w:p>
    <w:p w:rsidR="007D2BAF" w:rsidRPr="00C9026A" w:rsidRDefault="00195325" w:rsidP="00A57A35">
      <w:pPr>
        <w:pStyle w:val="Heading4"/>
        <w:ind w:left="0"/>
      </w:pPr>
      <w:r w:rsidRPr="00C9026A">
        <w:t xml:space="preserve">The </w:t>
      </w:r>
      <w:r w:rsidR="007D2BAF" w:rsidRPr="00C9026A">
        <w:t xml:space="preserve">Safety </w:t>
      </w:r>
      <w:r w:rsidRPr="00C9026A">
        <w:t xml:space="preserve">Guide </w:t>
      </w:r>
      <w:r w:rsidR="00C403DD">
        <w:t>applies to</w:t>
      </w:r>
      <w:r w:rsidR="00C403DD" w:rsidRPr="00C9026A">
        <w:t xml:space="preserve"> </w:t>
      </w:r>
      <w:r w:rsidRPr="00C9026A">
        <w:t>those facilities</w:t>
      </w:r>
      <w:r w:rsidR="006033DD" w:rsidRPr="00C9026A">
        <w:t xml:space="preserve"> and activities</w:t>
      </w:r>
      <w:r w:rsidRPr="00C9026A">
        <w:t xml:space="preserve"> for which, according </w:t>
      </w:r>
      <w:r w:rsidR="007D2BAF" w:rsidRPr="00C9026A">
        <w:t>to their characteristic</w:t>
      </w:r>
      <w:r w:rsidR="00C403DD">
        <w:t>s</w:t>
      </w:r>
      <w:r w:rsidR="007D2BAF" w:rsidRPr="00C9026A">
        <w:t xml:space="preserve"> and </w:t>
      </w:r>
      <w:r w:rsidR="00B86454">
        <w:t xml:space="preserve">according </w:t>
      </w:r>
      <w:r w:rsidRPr="00C9026A">
        <w:t>to national or international</w:t>
      </w:r>
      <w:r w:rsidR="00C403DD">
        <w:t>ly</w:t>
      </w:r>
      <w:r w:rsidRPr="00C9026A">
        <w:t xml:space="preserve"> applicable regulations, a radiological environmental </w:t>
      </w:r>
      <w:r w:rsidR="006033DD" w:rsidRPr="00C9026A">
        <w:t xml:space="preserve">impact </w:t>
      </w:r>
      <w:r w:rsidRPr="00C9026A">
        <w:t>assessment is mandatory</w:t>
      </w:r>
      <w:r w:rsidR="00B44192">
        <w:t>. G</w:t>
      </w:r>
      <w:r w:rsidR="006033DD" w:rsidRPr="00C9026A">
        <w:t xml:space="preserve">uidance on how to determine the </w:t>
      </w:r>
      <w:r w:rsidR="009E1641" w:rsidRPr="00C9026A">
        <w:t xml:space="preserve">need </w:t>
      </w:r>
      <w:r w:rsidR="00C403DD">
        <w:t xml:space="preserve">for </w:t>
      </w:r>
      <w:r w:rsidR="009E1641" w:rsidRPr="00C9026A">
        <w:t xml:space="preserve">and complexity of a radiological environmental impact assessment </w:t>
      </w:r>
      <w:r w:rsidR="00B44192">
        <w:t xml:space="preserve">is </w:t>
      </w:r>
      <w:r w:rsidR="00C403DD">
        <w:t xml:space="preserve">provided </w:t>
      </w:r>
      <w:r w:rsidR="00F0207E">
        <w:t xml:space="preserve">in </w:t>
      </w:r>
      <w:r w:rsidR="00F0207E" w:rsidRPr="00C9026A">
        <w:t>Section</w:t>
      </w:r>
      <w:r w:rsidRPr="00C9026A">
        <w:t xml:space="preserve"> 4. </w:t>
      </w:r>
    </w:p>
    <w:p w:rsidR="006033DD" w:rsidRPr="00C9026A" w:rsidRDefault="006033DD" w:rsidP="00A57A35">
      <w:pPr>
        <w:pStyle w:val="Heading4"/>
        <w:ind w:left="0"/>
      </w:pPr>
      <w:r w:rsidRPr="00C9026A">
        <w:t xml:space="preserve">This Safety Guide </w:t>
      </w:r>
      <w:r w:rsidR="00C403DD">
        <w:t xml:space="preserve">provides guidance on how </w:t>
      </w:r>
      <w:r w:rsidRPr="00C9026A">
        <w:t>to evaluate prospectively radiation</w:t>
      </w:r>
      <w:r w:rsidR="00F729ED">
        <w:t xml:space="preserve"> exposures</w:t>
      </w:r>
      <w:r w:rsidRPr="00C9026A">
        <w:t xml:space="preserve"> and </w:t>
      </w:r>
      <w:r w:rsidR="00F729ED">
        <w:t xml:space="preserve">radiation </w:t>
      </w:r>
      <w:r w:rsidRPr="00C9026A">
        <w:t>risk</w:t>
      </w:r>
      <w:r w:rsidR="00520B50">
        <w:t>s</w:t>
      </w:r>
      <w:r w:rsidRPr="00C9026A">
        <w:t xml:space="preserve"> due to radioactive releases to the environment</w:t>
      </w:r>
      <w:r w:rsidR="00B86454">
        <w:t xml:space="preserve">, </w:t>
      </w:r>
      <w:r w:rsidRPr="00C9026A">
        <w:t xml:space="preserve">and, when relevant, </w:t>
      </w:r>
      <w:r w:rsidR="00C403DD">
        <w:t xml:space="preserve">due to </w:t>
      </w:r>
      <w:r w:rsidRPr="00C9026A">
        <w:t xml:space="preserve">direct external </w:t>
      </w:r>
      <w:r w:rsidR="005B765C">
        <w:t>ir</w:t>
      </w:r>
      <w:r w:rsidRPr="00C9026A">
        <w:t>radiation</w:t>
      </w:r>
      <w:r w:rsidR="00B86454">
        <w:t xml:space="preserve">, </w:t>
      </w:r>
      <w:r w:rsidR="00B86454" w:rsidRPr="00C9026A">
        <w:t xml:space="preserve"> </w:t>
      </w:r>
      <w:r w:rsidRPr="00C9026A">
        <w:t xml:space="preserve">from </w:t>
      </w:r>
      <w:r w:rsidR="0092494B">
        <w:t>new</w:t>
      </w:r>
      <w:r w:rsidR="00C403DD">
        <w:t xml:space="preserve"> or existing </w:t>
      </w:r>
      <w:r w:rsidRPr="00C9026A">
        <w:t xml:space="preserve">facilities and activities, from which </w:t>
      </w:r>
      <w:r w:rsidR="00C403DD">
        <w:t xml:space="preserve">the </w:t>
      </w:r>
      <w:r w:rsidRPr="00C9026A">
        <w:t>public and the environment may be exposed</w:t>
      </w:r>
      <w:r w:rsidR="0041616D">
        <w:t xml:space="preserve"> to radiation</w:t>
      </w:r>
      <w:r w:rsidRPr="00C9026A">
        <w:rPr>
          <w:rStyle w:val="FootnoteReference"/>
        </w:rPr>
        <w:footnoteReference w:id="5"/>
      </w:r>
      <w:r w:rsidRPr="00C9026A">
        <w:t xml:space="preserve">. </w:t>
      </w:r>
      <w:r w:rsidR="00CA2938">
        <w:t xml:space="preserve">It </w:t>
      </w:r>
      <w:r w:rsidR="007E0BF0">
        <w:t>describes</w:t>
      </w:r>
      <w:r w:rsidR="00022A95">
        <w:t xml:space="preserve"> a radiological environmental impact assessment using </w:t>
      </w:r>
      <w:r w:rsidR="00A71C70">
        <w:t xml:space="preserve">generic </w:t>
      </w:r>
      <w:r w:rsidR="002571E7">
        <w:t xml:space="preserve">data and models </w:t>
      </w:r>
      <w:r w:rsidR="00A71C70">
        <w:t xml:space="preserve">and site specific </w:t>
      </w:r>
      <w:r w:rsidR="00022A95">
        <w:t>data and models</w:t>
      </w:r>
      <w:r w:rsidR="00A71C70">
        <w:t>,</w:t>
      </w:r>
      <w:r w:rsidR="00022A95">
        <w:t xml:space="preserve"> </w:t>
      </w:r>
      <w:r w:rsidR="00A71C70">
        <w:t>and a combination of both, as relevant.</w:t>
      </w:r>
    </w:p>
    <w:p w:rsidR="005F765D" w:rsidRPr="00C9026A" w:rsidRDefault="009B4DEF" w:rsidP="00A57A35">
      <w:pPr>
        <w:pStyle w:val="Heading4"/>
        <w:ind w:left="0"/>
      </w:pPr>
      <w:r w:rsidRPr="00C9026A">
        <w:t xml:space="preserve">The </w:t>
      </w:r>
      <w:r w:rsidR="002A2094" w:rsidRPr="00C9026A">
        <w:t xml:space="preserve">radiation </w:t>
      </w:r>
      <w:r w:rsidRPr="00C9026A">
        <w:t>exposures</w:t>
      </w:r>
      <w:r w:rsidR="001E5B4D" w:rsidRPr="00C9026A">
        <w:t xml:space="preserve"> considered </w:t>
      </w:r>
      <w:r w:rsidR="002F6ABF" w:rsidRPr="00C9026A">
        <w:t xml:space="preserve">include </w:t>
      </w:r>
      <w:r w:rsidR="001E5B4D" w:rsidRPr="00C9026A">
        <w:t>those</w:t>
      </w:r>
      <w:r w:rsidR="002F6ABF" w:rsidRPr="00C9026A">
        <w:t xml:space="preserve"> </w:t>
      </w:r>
      <w:r w:rsidR="00B308E0">
        <w:t>that</w:t>
      </w:r>
      <w:r w:rsidR="00B308E0" w:rsidRPr="00C9026A">
        <w:t xml:space="preserve"> </w:t>
      </w:r>
      <w:r w:rsidR="00FC20E3" w:rsidRPr="00C9026A">
        <w:t xml:space="preserve">are expected to occur </w:t>
      </w:r>
      <w:r w:rsidR="002F6ABF" w:rsidRPr="00C9026A">
        <w:t>a</w:t>
      </w:r>
      <w:r w:rsidR="00427DBE" w:rsidRPr="00C9026A">
        <w:t xml:space="preserve">s a result of normal </w:t>
      </w:r>
      <w:r w:rsidR="00FC20E3" w:rsidRPr="00C9026A">
        <w:t>operation</w:t>
      </w:r>
      <w:r w:rsidR="005F765D" w:rsidRPr="00C9026A">
        <w:t xml:space="preserve"> (</w:t>
      </w:r>
      <w:r w:rsidRPr="00C9026A">
        <w:t>i.e</w:t>
      </w:r>
      <w:r w:rsidR="005F765D" w:rsidRPr="00C9026A">
        <w:t xml:space="preserve">. </w:t>
      </w:r>
      <w:r w:rsidR="00236171" w:rsidRPr="00C9026A">
        <w:t xml:space="preserve">due to </w:t>
      </w:r>
      <w:r w:rsidR="00D24CBF" w:rsidRPr="00C9026A">
        <w:t xml:space="preserve">authorized </w:t>
      </w:r>
      <w:r w:rsidR="002F6ABF" w:rsidRPr="00C9026A">
        <w:t>discharges</w:t>
      </w:r>
      <w:r w:rsidR="00C034DD">
        <w:t xml:space="preserve"> </w:t>
      </w:r>
      <w:r w:rsidR="00E54EE7">
        <w:t xml:space="preserve">or </w:t>
      </w:r>
      <w:r w:rsidR="00C034DD">
        <w:t>direct external irradiation</w:t>
      </w:r>
      <w:r w:rsidR="00FC20E3" w:rsidRPr="00C9026A">
        <w:t>)</w:t>
      </w:r>
      <w:r w:rsidR="002F6ABF" w:rsidRPr="00C9026A">
        <w:t xml:space="preserve"> and </w:t>
      </w:r>
      <w:r w:rsidR="00641E1D" w:rsidRPr="00C9026A">
        <w:t xml:space="preserve">also </w:t>
      </w:r>
      <w:r w:rsidR="007E0BF0">
        <w:t xml:space="preserve">exposures </w:t>
      </w:r>
      <w:r w:rsidR="00E54EE7">
        <w:t>that may occur but are not certain to occur</w:t>
      </w:r>
      <w:r w:rsidR="00365C8E" w:rsidRPr="00C9026A">
        <w:t>,</w:t>
      </w:r>
      <w:r w:rsidR="003C19B7" w:rsidRPr="00C9026A">
        <w:t xml:space="preserve"> </w:t>
      </w:r>
      <w:r w:rsidR="007E0BF0">
        <w:t xml:space="preserve">as determined </w:t>
      </w:r>
      <w:r w:rsidR="00365C8E" w:rsidRPr="00C9026A">
        <w:t>by mean</w:t>
      </w:r>
      <w:r w:rsidR="0041616D">
        <w:t>s</w:t>
      </w:r>
      <w:r w:rsidR="00365C8E" w:rsidRPr="00C9026A">
        <w:t xml:space="preserve"> of a safety analysis</w:t>
      </w:r>
      <w:r w:rsidR="00990051" w:rsidRPr="00C9026A">
        <w:rPr>
          <w:rStyle w:val="FootnoteReference"/>
        </w:rPr>
        <w:footnoteReference w:id="6"/>
      </w:r>
      <w:r w:rsidR="00C034DD">
        <w:t xml:space="preserve"> </w:t>
      </w:r>
      <w:r w:rsidR="00CF63C5" w:rsidRPr="00C9026A">
        <w:t>of</w:t>
      </w:r>
      <w:r w:rsidR="00A4244F">
        <w:t xml:space="preserve"> </w:t>
      </w:r>
      <w:r w:rsidR="00D22869" w:rsidRPr="00C9026A">
        <w:t>event</w:t>
      </w:r>
      <w:r w:rsidR="00C034DD">
        <w:t xml:space="preserve">s and </w:t>
      </w:r>
      <w:r w:rsidR="003E5EA1" w:rsidRPr="00C9026A">
        <w:t>accident</w:t>
      </w:r>
      <w:r w:rsidR="00C034DD">
        <w:t>s</w:t>
      </w:r>
      <w:r w:rsidR="00CB7312" w:rsidRPr="00C9026A">
        <w:rPr>
          <w:rStyle w:val="FootnoteReference"/>
        </w:rPr>
        <w:footnoteReference w:id="7"/>
      </w:r>
      <w:r w:rsidR="007E0BF0">
        <w:t>,</w:t>
      </w:r>
      <w:r w:rsidR="003E5EA1" w:rsidRPr="00C9026A">
        <w:t xml:space="preserve"> </w:t>
      </w:r>
      <w:r w:rsidR="00C034DD">
        <w:t>as defined in GSR Part 3 [1]</w:t>
      </w:r>
      <w:r w:rsidR="00A4244F">
        <w:t xml:space="preserve"> </w:t>
      </w:r>
      <w:r w:rsidR="00FC20E3" w:rsidRPr="00C9026A">
        <w:t>(i.e. potential exposures)</w:t>
      </w:r>
      <w:r w:rsidR="002F6ABF" w:rsidRPr="00C9026A">
        <w:t xml:space="preserve">. </w:t>
      </w:r>
    </w:p>
    <w:p w:rsidR="007B0A2F" w:rsidRPr="00C9026A" w:rsidRDefault="00E54EE7" w:rsidP="00A57A35">
      <w:pPr>
        <w:pStyle w:val="Heading4"/>
        <w:ind w:left="0"/>
      </w:pPr>
      <w:r>
        <w:t>This</w:t>
      </w:r>
      <w:r w:rsidR="006D301F" w:rsidRPr="00C9026A">
        <w:t xml:space="preserve"> </w:t>
      </w:r>
      <w:r w:rsidR="00A56EBD" w:rsidRPr="00C9026A">
        <w:t>Safety Guide</w:t>
      </w:r>
      <w:r w:rsidR="002D0AFC" w:rsidRPr="00C9026A">
        <w:t xml:space="preserve"> </w:t>
      </w:r>
      <w:r>
        <w:t>does not</w:t>
      </w:r>
      <w:r w:rsidRPr="00C9026A">
        <w:t xml:space="preserve"> </w:t>
      </w:r>
      <w:r w:rsidR="002D0AFC" w:rsidRPr="00C9026A">
        <w:t xml:space="preserve">provide guidance on </w:t>
      </w:r>
      <w:r w:rsidR="0065713C" w:rsidRPr="00C9026A">
        <w:t xml:space="preserve">equivalent </w:t>
      </w:r>
      <w:r w:rsidR="003C19B7" w:rsidRPr="00C9026A">
        <w:t xml:space="preserve">prospective </w:t>
      </w:r>
      <w:r w:rsidR="0065713C" w:rsidRPr="00C9026A">
        <w:t xml:space="preserve">assessments </w:t>
      </w:r>
      <w:r w:rsidR="006D301F" w:rsidRPr="00C9026A">
        <w:t xml:space="preserve">of </w:t>
      </w:r>
      <w:r w:rsidR="002571E7">
        <w:t>‘d</w:t>
      </w:r>
      <w:r w:rsidR="00A44A7E">
        <w:t>elayed</w:t>
      </w:r>
      <w:r w:rsidR="002571E7">
        <w:t>’</w:t>
      </w:r>
      <w:r w:rsidR="00A44A7E">
        <w:t xml:space="preserve"> </w:t>
      </w:r>
      <w:r w:rsidR="006D301F" w:rsidRPr="00C9026A">
        <w:t xml:space="preserve">exposures </w:t>
      </w:r>
      <w:r w:rsidR="0015024B">
        <w:t>that</w:t>
      </w:r>
      <w:r w:rsidR="001D6969">
        <w:t xml:space="preserve"> may </w:t>
      </w:r>
      <w:r w:rsidR="002571E7">
        <w:t>occur</w:t>
      </w:r>
      <w:r w:rsidR="00294B89">
        <w:t xml:space="preserve"> in the post-closure </w:t>
      </w:r>
      <w:r w:rsidR="002571E7">
        <w:t>period</w:t>
      </w:r>
      <w:r w:rsidR="00294B89">
        <w:t xml:space="preserve"> of a</w:t>
      </w:r>
      <w:r w:rsidR="00A82E03" w:rsidRPr="00C9026A">
        <w:t xml:space="preserve"> </w:t>
      </w:r>
      <w:r w:rsidR="002571E7">
        <w:t xml:space="preserve">waste </w:t>
      </w:r>
      <w:r w:rsidR="0065713C" w:rsidRPr="00C9026A">
        <w:t>d</w:t>
      </w:r>
      <w:r w:rsidR="00C2551A" w:rsidRPr="00C9026A">
        <w:t>isposal</w:t>
      </w:r>
      <w:r w:rsidR="00294B89">
        <w:t xml:space="preserve"> facility</w:t>
      </w:r>
      <w:r w:rsidR="0015024B">
        <w:t xml:space="preserve"> [15]</w:t>
      </w:r>
      <w:r w:rsidR="00C2551A" w:rsidRPr="00C9026A">
        <w:t xml:space="preserve">, </w:t>
      </w:r>
      <w:r w:rsidR="0015024B">
        <w:t xml:space="preserve">of exposures </w:t>
      </w:r>
      <w:r w:rsidR="007E0BF0">
        <w:t xml:space="preserve">from </w:t>
      </w:r>
      <w:r w:rsidR="00C2551A" w:rsidRPr="00C9026A">
        <w:t xml:space="preserve">the transport of radioactive </w:t>
      </w:r>
      <w:r w:rsidR="00D80B73" w:rsidRPr="00C9026A">
        <w:t>material</w:t>
      </w:r>
      <w:r w:rsidR="00C2551A" w:rsidRPr="00C9026A">
        <w:t xml:space="preserve"> </w:t>
      </w:r>
      <w:r w:rsidR="00D80B73" w:rsidRPr="00C9026A">
        <w:t xml:space="preserve">and </w:t>
      </w:r>
      <w:r w:rsidR="0015024B">
        <w:t xml:space="preserve">of exposures </w:t>
      </w:r>
      <w:r w:rsidR="007E0BF0">
        <w:t xml:space="preserve">from </w:t>
      </w:r>
      <w:r w:rsidR="00A82E03" w:rsidRPr="00C9026A">
        <w:t xml:space="preserve">the use of </w:t>
      </w:r>
      <w:r w:rsidR="00C2551A" w:rsidRPr="00C9026A">
        <w:t xml:space="preserve">mobile </w:t>
      </w:r>
      <w:r w:rsidR="00D80B73" w:rsidRPr="00C9026A">
        <w:t xml:space="preserve">radioactive </w:t>
      </w:r>
      <w:r w:rsidR="006D301F" w:rsidRPr="00C9026A">
        <w:t xml:space="preserve">sources. </w:t>
      </w:r>
      <w:r w:rsidR="007B0A2F" w:rsidRPr="00C9026A">
        <w:t xml:space="preserve">Specific guidance on </w:t>
      </w:r>
      <w:r w:rsidR="00603DA2" w:rsidRPr="00C9026A">
        <w:t xml:space="preserve">assessment </w:t>
      </w:r>
      <w:r w:rsidR="00F729ED">
        <w:t xml:space="preserve">of exposures </w:t>
      </w:r>
      <w:r w:rsidR="00603DA2" w:rsidRPr="00C9026A">
        <w:t xml:space="preserve">for </w:t>
      </w:r>
      <w:r w:rsidR="00D80B73" w:rsidRPr="00C9026A">
        <w:t>disposal and</w:t>
      </w:r>
      <w:r w:rsidR="00F729ED">
        <w:t xml:space="preserve"> for</w:t>
      </w:r>
      <w:r w:rsidR="00D80B73" w:rsidRPr="00C9026A">
        <w:t xml:space="preserve"> </w:t>
      </w:r>
      <w:r w:rsidR="00D80B73" w:rsidRPr="00C9026A">
        <w:lastRenderedPageBreak/>
        <w:t>transport</w:t>
      </w:r>
      <w:r w:rsidR="007B0A2F" w:rsidRPr="00C9026A">
        <w:t xml:space="preserve"> is </w:t>
      </w:r>
      <w:r>
        <w:t>provided</w:t>
      </w:r>
      <w:r w:rsidRPr="00C9026A">
        <w:t xml:space="preserve"> </w:t>
      </w:r>
      <w:r w:rsidR="007203F1" w:rsidRPr="00C9026A">
        <w:t xml:space="preserve">in </w:t>
      </w:r>
      <w:r w:rsidR="007E0BF0">
        <w:t xml:space="preserve">The Safety Case and Safety Assessment for the Disposal of Radioactive Waste, IAEA Safety Standards Series No. </w:t>
      </w:r>
      <w:r w:rsidR="00F2567A">
        <w:t xml:space="preserve">SSG-23 </w:t>
      </w:r>
      <w:r w:rsidR="007203F1" w:rsidRPr="00C9026A">
        <w:t>[</w:t>
      </w:r>
      <w:r w:rsidR="00981A9A" w:rsidRPr="00C9026A">
        <w:t>1</w:t>
      </w:r>
      <w:r w:rsidR="0015024B">
        <w:t>6</w:t>
      </w:r>
      <w:r w:rsidR="007203F1" w:rsidRPr="00C9026A">
        <w:t xml:space="preserve">] and </w:t>
      </w:r>
      <w:r w:rsidR="001950F6">
        <w:t xml:space="preserve">in </w:t>
      </w:r>
      <w:r w:rsidR="007E0BF0">
        <w:t xml:space="preserve">Radiation Protection Programmes for the Transport of Radioactive Material, IAEA Safety Standards Series No. </w:t>
      </w:r>
      <w:proofErr w:type="gramStart"/>
      <w:r w:rsidR="00F2567A">
        <w:t>TS-</w:t>
      </w:r>
      <w:r w:rsidR="00497AD7">
        <w:t xml:space="preserve">G-1.3 </w:t>
      </w:r>
      <w:r w:rsidR="007203F1" w:rsidRPr="00C9026A">
        <w:t>[</w:t>
      </w:r>
      <w:r w:rsidR="00981A9A" w:rsidRPr="00C9026A">
        <w:t>1</w:t>
      </w:r>
      <w:r w:rsidR="0015024B">
        <w:t>7</w:t>
      </w:r>
      <w:r w:rsidR="00742636" w:rsidRPr="00C9026A">
        <w:t>]</w:t>
      </w:r>
      <w:r>
        <w:t xml:space="preserve"> respectively</w:t>
      </w:r>
      <w:r w:rsidR="00742636" w:rsidRPr="00C9026A">
        <w:t>.</w:t>
      </w:r>
      <w:proofErr w:type="gramEnd"/>
    </w:p>
    <w:p w:rsidR="00DA302F" w:rsidRDefault="00F729ED" w:rsidP="00A57A35">
      <w:pPr>
        <w:pStyle w:val="Heading4"/>
        <w:ind w:left="0"/>
      </w:pPr>
      <w:r>
        <w:t>A</w:t>
      </w:r>
      <w:r w:rsidRPr="00C9026A">
        <w:t xml:space="preserve"> </w:t>
      </w:r>
      <w:r w:rsidR="002A2094" w:rsidRPr="00C9026A">
        <w:t xml:space="preserve">radiological </w:t>
      </w:r>
      <w:r w:rsidR="003518D8" w:rsidRPr="00C9026A">
        <w:t xml:space="preserve">environmental </w:t>
      </w:r>
      <w:r w:rsidR="002A2094" w:rsidRPr="00C9026A">
        <w:t xml:space="preserve">impact </w:t>
      </w:r>
      <w:r w:rsidR="009C3E16" w:rsidRPr="00C9026A">
        <w:t xml:space="preserve">assessment, </w:t>
      </w:r>
      <w:r w:rsidR="002B19E6" w:rsidRPr="00C9026A">
        <w:t xml:space="preserve">as </w:t>
      </w:r>
      <w:r w:rsidR="002F6ABF" w:rsidRPr="00C9026A">
        <w:t xml:space="preserve">described within this Safety </w:t>
      </w:r>
      <w:r w:rsidR="001B3BDC" w:rsidRPr="00C9026A">
        <w:t>Guide</w:t>
      </w:r>
      <w:r w:rsidR="00E54EE7">
        <w:t>,</w:t>
      </w:r>
      <w:r w:rsidR="002F6ABF" w:rsidRPr="00C9026A">
        <w:t xml:space="preserve"> is intended to be prospective in nature</w:t>
      </w:r>
      <w:r w:rsidR="002D0AFC" w:rsidRPr="00C9026A">
        <w:t>. F</w:t>
      </w:r>
      <w:r w:rsidR="002F6ABF" w:rsidRPr="00C9026A">
        <w:t xml:space="preserve">or </w:t>
      </w:r>
      <w:r w:rsidR="00C37E91" w:rsidRPr="00C9026A">
        <w:t>example, it</w:t>
      </w:r>
      <w:r w:rsidR="00254FB0" w:rsidRPr="00C9026A">
        <w:t xml:space="preserve"> can be </w:t>
      </w:r>
      <w:r w:rsidR="00E54EE7">
        <w:t>conducted</w:t>
      </w:r>
      <w:r w:rsidR="00E54EE7" w:rsidRPr="00C9026A">
        <w:t xml:space="preserve"> </w:t>
      </w:r>
      <w:r w:rsidR="00254FB0" w:rsidRPr="00C9026A">
        <w:t xml:space="preserve">prior to siting, </w:t>
      </w:r>
      <w:r>
        <w:t xml:space="preserve">as part of the application for </w:t>
      </w:r>
      <w:r w:rsidR="00254FB0" w:rsidRPr="00C9026A">
        <w:t xml:space="preserve">an </w:t>
      </w:r>
      <w:r w:rsidR="00154513" w:rsidRPr="00C9026A">
        <w:t>authorization</w:t>
      </w:r>
      <w:r w:rsidR="00254FB0" w:rsidRPr="00C9026A">
        <w:t xml:space="preserve"> during construction and prior to operation</w:t>
      </w:r>
      <w:r w:rsidR="00563DB8" w:rsidRPr="00C9026A">
        <w:t>,</w:t>
      </w:r>
      <w:r w:rsidR="002F6ABF" w:rsidRPr="00C9026A">
        <w:t xml:space="preserve"> </w:t>
      </w:r>
      <w:r w:rsidR="00563DB8" w:rsidRPr="00C9026A">
        <w:t>or prior to decommissioning</w:t>
      </w:r>
      <w:r w:rsidR="002F6ABF" w:rsidRPr="00C9026A">
        <w:t xml:space="preserve">. </w:t>
      </w:r>
      <w:r w:rsidR="007E0BF0">
        <w:t xml:space="preserve">A </w:t>
      </w:r>
      <w:r w:rsidRPr="00C9026A">
        <w:t xml:space="preserve">radiological environmental impact </w:t>
      </w:r>
      <w:r w:rsidR="009B2388" w:rsidRPr="00C9026A">
        <w:t>assessment can serve multiple purposes</w:t>
      </w:r>
      <w:r w:rsidR="00E54EE7">
        <w:t>,</w:t>
      </w:r>
      <w:r w:rsidR="009B2388" w:rsidRPr="00C9026A">
        <w:t xml:space="preserve"> including establishing the initial </w:t>
      </w:r>
      <w:r w:rsidR="00E54EE7" w:rsidRPr="00C9026A">
        <w:t xml:space="preserve">basis </w:t>
      </w:r>
      <w:r w:rsidR="00E54EE7">
        <w:t xml:space="preserve">for </w:t>
      </w:r>
      <w:r w:rsidR="009B2388" w:rsidRPr="00C9026A">
        <w:t xml:space="preserve">authorization with respect to </w:t>
      </w:r>
      <w:r w:rsidR="00E54EE7">
        <w:t xml:space="preserve">protection of the </w:t>
      </w:r>
      <w:r w:rsidR="009B2388" w:rsidRPr="00C9026A">
        <w:t>public and environmental protection</w:t>
      </w:r>
      <w:r w:rsidR="00E12B9F" w:rsidRPr="00C9026A">
        <w:t>,</w:t>
      </w:r>
      <w:r w:rsidR="00534746" w:rsidRPr="00C9026A">
        <w:t xml:space="preserve"> and as an important input into the process of </w:t>
      </w:r>
      <w:r w:rsidR="00E12B9F" w:rsidRPr="00C9026A">
        <w:t xml:space="preserve">authorizing </w:t>
      </w:r>
      <w:r w:rsidR="00534746" w:rsidRPr="00C9026A">
        <w:t>controll</w:t>
      </w:r>
      <w:r w:rsidR="00E12B9F" w:rsidRPr="00C9026A">
        <w:t>ed</w:t>
      </w:r>
      <w:r w:rsidR="00534746" w:rsidRPr="00C9026A">
        <w:t xml:space="preserve"> discharges. The process </w:t>
      </w:r>
      <w:r w:rsidR="00E54EE7">
        <w:t>for</w:t>
      </w:r>
      <w:r w:rsidR="00E54EE7" w:rsidRPr="00C9026A">
        <w:t xml:space="preserve"> </w:t>
      </w:r>
      <w:r w:rsidR="00034BFF">
        <w:t xml:space="preserve">authorizing </w:t>
      </w:r>
      <w:r w:rsidR="00534746" w:rsidRPr="00C9026A">
        <w:t>discharge limits</w:t>
      </w:r>
      <w:r w:rsidR="00E54EE7">
        <w:t xml:space="preserve"> for</w:t>
      </w:r>
      <w:r w:rsidR="00534746" w:rsidRPr="00C9026A">
        <w:t xml:space="preserve"> optimiz</w:t>
      </w:r>
      <w:r w:rsidR="00034BFF">
        <w:t xml:space="preserve">ing </w:t>
      </w:r>
      <w:r w:rsidR="00E12B9F" w:rsidRPr="00C9026A">
        <w:t>the</w:t>
      </w:r>
      <w:r w:rsidR="00534746" w:rsidRPr="00C9026A">
        <w:t xml:space="preserve"> protection of </w:t>
      </w:r>
      <w:r w:rsidR="00034BFF">
        <w:t xml:space="preserve">workers and the </w:t>
      </w:r>
      <w:r w:rsidR="00534746" w:rsidRPr="00C9026A">
        <w:t xml:space="preserve">public </w:t>
      </w:r>
      <w:r w:rsidR="00BC7F97">
        <w:t xml:space="preserve">and safety </w:t>
      </w:r>
      <w:r w:rsidR="00534746" w:rsidRPr="00C9026A">
        <w:t xml:space="preserve">is covered in </w:t>
      </w:r>
      <w:r w:rsidR="007E0BF0">
        <w:t>DS</w:t>
      </w:r>
      <w:r w:rsidR="00497AD7">
        <w:t>442</w:t>
      </w:r>
      <w:r w:rsidR="00534746" w:rsidRPr="00C9026A">
        <w:t xml:space="preserve"> [</w:t>
      </w:r>
      <w:r w:rsidR="007E0BF0">
        <w:t>9</w:t>
      </w:r>
      <w:r w:rsidR="00534746" w:rsidRPr="00C9026A">
        <w:t>]</w:t>
      </w:r>
      <w:r w:rsidR="009B2388" w:rsidRPr="00C9026A">
        <w:t>.</w:t>
      </w:r>
    </w:p>
    <w:p w:rsidR="009E3B31" w:rsidRPr="00C9026A" w:rsidRDefault="00F729ED" w:rsidP="00A57A35">
      <w:pPr>
        <w:pStyle w:val="Heading4"/>
        <w:ind w:left="0"/>
      </w:pPr>
      <w:r>
        <w:rPr>
          <w:szCs w:val="24"/>
        </w:rPr>
        <w:t>A</w:t>
      </w:r>
      <w:r w:rsidRPr="00C9026A">
        <w:rPr>
          <w:szCs w:val="24"/>
        </w:rPr>
        <w:t xml:space="preserve"> </w:t>
      </w:r>
      <w:r w:rsidR="00DA302F">
        <w:rPr>
          <w:szCs w:val="24"/>
        </w:rPr>
        <w:t xml:space="preserve">radiological environmental impact </w:t>
      </w:r>
      <w:r w:rsidR="00864174" w:rsidRPr="00C9026A">
        <w:rPr>
          <w:szCs w:val="24"/>
        </w:rPr>
        <w:t xml:space="preserve">assessment </w:t>
      </w:r>
      <w:r w:rsidR="00E54EE7">
        <w:rPr>
          <w:szCs w:val="24"/>
        </w:rPr>
        <w:t>can</w:t>
      </w:r>
      <w:r w:rsidR="00E54EE7" w:rsidRPr="00C9026A">
        <w:rPr>
          <w:szCs w:val="24"/>
        </w:rPr>
        <w:t xml:space="preserve"> </w:t>
      </w:r>
      <w:r w:rsidR="00F13865" w:rsidRPr="00C9026A">
        <w:rPr>
          <w:szCs w:val="24"/>
        </w:rPr>
        <w:t xml:space="preserve">also </w:t>
      </w:r>
      <w:r w:rsidR="003A35C7" w:rsidRPr="00C9026A">
        <w:rPr>
          <w:szCs w:val="24"/>
        </w:rPr>
        <w:t xml:space="preserve">be </w:t>
      </w:r>
      <w:r>
        <w:rPr>
          <w:szCs w:val="24"/>
        </w:rPr>
        <w:t>conducted</w:t>
      </w:r>
      <w:r w:rsidRPr="00C9026A">
        <w:rPr>
          <w:szCs w:val="24"/>
        </w:rPr>
        <w:t xml:space="preserve"> </w:t>
      </w:r>
      <w:r w:rsidR="00F13865" w:rsidRPr="00C9026A">
        <w:rPr>
          <w:szCs w:val="24"/>
        </w:rPr>
        <w:t xml:space="preserve">for those </w:t>
      </w:r>
      <w:r w:rsidR="0087257A" w:rsidRPr="00C9026A">
        <w:rPr>
          <w:szCs w:val="24"/>
        </w:rPr>
        <w:t xml:space="preserve">existing </w:t>
      </w:r>
      <w:r w:rsidR="00F13865" w:rsidRPr="00C9026A">
        <w:rPr>
          <w:szCs w:val="24"/>
        </w:rPr>
        <w:t xml:space="preserve">facilities </w:t>
      </w:r>
      <w:r w:rsidR="00E54EE7">
        <w:rPr>
          <w:szCs w:val="24"/>
        </w:rPr>
        <w:t>for which</w:t>
      </w:r>
      <w:r w:rsidR="00E54EE7" w:rsidRPr="00C9026A">
        <w:rPr>
          <w:szCs w:val="24"/>
        </w:rPr>
        <w:t xml:space="preserve"> </w:t>
      </w:r>
      <w:r w:rsidR="00F13865" w:rsidRPr="00C9026A">
        <w:rPr>
          <w:szCs w:val="24"/>
        </w:rPr>
        <w:t xml:space="preserve">changes in their </w:t>
      </w:r>
      <w:r w:rsidR="00573285" w:rsidRPr="00C9026A">
        <w:rPr>
          <w:szCs w:val="24"/>
        </w:rPr>
        <w:t xml:space="preserve">operational </w:t>
      </w:r>
      <w:r w:rsidR="00F13865" w:rsidRPr="00C9026A">
        <w:rPr>
          <w:szCs w:val="24"/>
        </w:rPr>
        <w:t>processes</w:t>
      </w:r>
      <w:r w:rsidR="0087257A" w:rsidRPr="00C9026A">
        <w:rPr>
          <w:szCs w:val="24"/>
        </w:rPr>
        <w:t xml:space="preserve"> </w:t>
      </w:r>
      <w:r w:rsidR="00E54EE7">
        <w:rPr>
          <w:szCs w:val="24"/>
        </w:rPr>
        <w:t xml:space="preserve">are </w:t>
      </w:r>
      <w:r>
        <w:rPr>
          <w:szCs w:val="24"/>
        </w:rPr>
        <w:t xml:space="preserve">planned </w:t>
      </w:r>
      <w:r w:rsidR="0087257A" w:rsidRPr="00C9026A">
        <w:rPr>
          <w:szCs w:val="24"/>
        </w:rPr>
        <w:t xml:space="preserve">before the implementation of any significant change affecting the level of </w:t>
      </w:r>
      <w:r w:rsidR="003A35C7" w:rsidRPr="00C9026A">
        <w:rPr>
          <w:szCs w:val="24"/>
        </w:rPr>
        <w:t>discharges</w:t>
      </w:r>
      <w:r w:rsidR="0087257A" w:rsidRPr="00C9026A">
        <w:rPr>
          <w:szCs w:val="24"/>
        </w:rPr>
        <w:t xml:space="preserve"> or potential releases to the environment</w:t>
      </w:r>
      <w:r>
        <w:rPr>
          <w:szCs w:val="24"/>
        </w:rPr>
        <w:t>;</w:t>
      </w:r>
      <w:r w:rsidR="00F13865" w:rsidRPr="00C9026A">
        <w:rPr>
          <w:szCs w:val="24"/>
        </w:rPr>
        <w:t xml:space="preserve"> </w:t>
      </w:r>
      <w:r w:rsidR="0087257A" w:rsidRPr="00C9026A">
        <w:rPr>
          <w:szCs w:val="24"/>
        </w:rPr>
        <w:t>if deemed necessary,</w:t>
      </w:r>
      <w:r w:rsidR="0087257A" w:rsidRPr="00C9026A">
        <w:t xml:space="preserve"> </w:t>
      </w:r>
      <w:r>
        <w:t xml:space="preserve">a </w:t>
      </w:r>
      <w:r>
        <w:rPr>
          <w:szCs w:val="24"/>
        </w:rPr>
        <w:t xml:space="preserve">radiological environmental impact </w:t>
      </w:r>
      <w:r w:rsidRPr="00C9026A">
        <w:rPr>
          <w:szCs w:val="24"/>
        </w:rPr>
        <w:t xml:space="preserve">assessment </w:t>
      </w:r>
      <w:r>
        <w:rPr>
          <w:szCs w:val="24"/>
        </w:rPr>
        <w:t xml:space="preserve">can </w:t>
      </w:r>
      <w:r w:rsidR="00A57A35">
        <w:rPr>
          <w:szCs w:val="24"/>
        </w:rPr>
        <w:t xml:space="preserve">also </w:t>
      </w:r>
      <w:r>
        <w:rPr>
          <w:szCs w:val="24"/>
        </w:rPr>
        <w:t xml:space="preserve">be conducted </w:t>
      </w:r>
      <w:r w:rsidR="0087257A" w:rsidRPr="00C9026A">
        <w:t xml:space="preserve">in the framework of </w:t>
      </w:r>
      <w:r w:rsidR="00A57A35">
        <w:t xml:space="preserve">a </w:t>
      </w:r>
      <w:r w:rsidR="0087257A" w:rsidRPr="00C9026A">
        <w:t>periodic safety review.</w:t>
      </w:r>
    </w:p>
    <w:p w:rsidR="002F6ABF" w:rsidRPr="00C9026A" w:rsidRDefault="00B05A15" w:rsidP="00A57A35">
      <w:pPr>
        <w:pStyle w:val="Heading4"/>
        <w:ind w:left="0"/>
      </w:pPr>
      <w:r w:rsidRPr="00C9026A">
        <w:rPr>
          <w:szCs w:val="24"/>
        </w:rPr>
        <w:t>T</w:t>
      </w:r>
      <w:r w:rsidR="00864174" w:rsidRPr="00C9026A">
        <w:rPr>
          <w:szCs w:val="24"/>
        </w:rPr>
        <w:t xml:space="preserve">he </w:t>
      </w:r>
      <w:r w:rsidR="002A2094" w:rsidRPr="00C9026A">
        <w:rPr>
          <w:szCs w:val="24"/>
        </w:rPr>
        <w:t xml:space="preserve">radiological </w:t>
      </w:r>
      <w:r w:rsidR="007844D6" w:rsidRPr="00C9026A">
        <w:rPr>
          <w:szCs w:val="24"/>
        </w:rPr>
        <w:t xml:space="preserve">environmental </w:t>
      </w:r>
      <w:r w:rsidR="002A2094" w:rsidRPr="00C9026A">
        <w:rPr>
          <w:szCs w:val="24"/>
        </w:rPr>
        <w:t xml:space="preserve">impact </w:t>
      </w:r>
      <w:r w:rsidR="00864174" w:rsidRPr="00C9026A">
        <w:rPr>
          <w:szCs w:val="24"/>
        </w:rPr>
        <w:t xml:space="preserve">assessment </w:t>
      </w:r>
      <w:r w:rsidR="0058676F" w:rsidRPr="00C9026A">
        <w:rPr>
          <w:szCs w:val="24"/>
        </w:rPr>
        <w:t xml:space="preserve">described in this </w:t>
      </w:r>
      <w:r w:rsidR="003A35C7" w:rsidRPr="00C9026A">
        <w:rPr>
          <w:szCs w:val="24"/>
        </w:rPr>
        <w:t xml:space="preserve">Safety Guide </w:t>
      </w:r>
      <w:r w:rsidR="009E3B31" w:rsidRPr="00C9026A">
        <w:rPr>
          <w:szCs w:val="24"/>
        </w:rPr>
        <w:t>i</w:t>
      </w:r>
      <w:r w:rsidR="002F6ABF" w:rsidRPr="00C9026A">
        <w:t xml:space="preserve">s not intended to assess retrospectively the radiological impact </w:t>
      </w:r>
      <w:r w:rsidRPr="00C9026A">
        <w:t xml:space="preserve">from discharges </w:t>
      </w:r>
      <w:r w:rsidR="002F6ABF" w:rsidRPr="00C9026A">
        <w:t>during operation or</w:t>
      </w:r>
      <w:r w:rsidR="0027610B" w:rsidRPr="00C9026A">
        <w:t xml:space="preserve"> </w:t>
      </w:r>
      <w:r w:rsidR="001B3BDC" w:rsidRPr="00C9026A">
        <w:t xml:space="preserve">the consequences </w:t>
      </w:r>
      <w:r w:rsidR="007B2508">
        <w:t>of</w:t>
      </w:r>
      <w:r w:rsidR="002F6ABF" w:rsidRPr="00C9026A">
        <w:t xml:space="preserve"> an </w:t>
      </w:r>
      <w:r w:rsidR="0027610B" w:rsidRPr="00C9026A">
        <w:t xml:space="preserve">actual </w:t>
      </w:r>
      <w:r w:rsidR="00303DF6" w:rsidRPr="00C9026A">
        <w:t>accident</w:t>
      </w:r>
      <w:r w:rsidR="002F6ABF" w:rsidRPr="00C9026A">
        <w:t xml:space="preserve">. </w:t>
      </w:r>
      <w:r w:rsidR="001B3BDC" w:rsidRPr="00C9026A">
        <w:t>Nevertheless, t</w:t>
      </w:r>
      <w:r w:rsidR="00303DF6" w:rsidRPr="00C9026A">
        <w:t xml:space="preserve">he prospective assessment of potential exposures could provide </w:t>
      </w:r>
      <w:r w:rsidR="001B3BDC" w:rsidRPr="00C9026A">
        <w:t xml:space="preserve">preliminary </w:t>
      </w:r>
      <w:r w:rsidR="00303DF6" w:rsidRPr="00C9026A">
        <w:t xml:space="preserve">information to be used </w:t>
      </w:r>
      <w:r w:rsidR="00E12B9F" w:rsidRPr="00C9026A">
        <w:t>in assessing</w:t>
      </w:r>
      <w:r w:rsidR="00D80B73" w:rsidRPr="00C9026A">
        <w:t xml:space="preserve"> the hazards and</w:t>
      </w:r>
      <w:r w:rsidR="001B3BDC" w:rsidRPr="00C9026A">
        <w:t xml:space="preserve"> </w:t>
      </w:r>
      <w:r w:rsidR="0087257A" w:rsidRPr="00C9026A">
        <w:t xml:space="preserve">the related </w:t>
      </w:r>
      <w:r w:rsidR="001B3BDC" w:rsidRPr="00C9026A">
        <w:t xml:space="preserve">consequences for </w:t>
      </w:r>
      <w:r w:rsidR="00D80B73" w:rsidRPr="00C9026A">
        <w:t xml:space="preserve">the purpose of establishing </w:t>
      </w:r>
      <w:r w:rsidR="00A57A35">
        <w:t xml:space="preserve">an </w:t>
      </w:r>
      <w:r w:rsidR="00D80B73" w:rsidRPr="00C9026A">
        <w:t xml:space="preserve">adequate level of </w:t>
      </w:r>
      <w:r w:rsidR="00303DF6" w:rsidRPr="00C9026A">
        <w:t xml:space="preserve">emergency </w:t>
      </w:r>
      <w:r w:rsidR="00D80B73" w:rsidRPr="00C9026A">
        <w:t xml:space="preserve">preparedness and </w:t>
      </w:r>
      <w:r w:rsidR="00303DF6" w:rsidRPr="00C9026A">
        <w:t>response</w:t>
      </w:r>
      <w:r w:rsidR="00D80B73" w:rsidRPr="00C9026A">
        <w:t xml:space="preserve"> [</w:t>
      </w:r>
      <w:r w:rsidR="007B2508">
        <w:t>6</w:t>
      </w:r>
      <w:r w:rsidR="00D80B73" w:rsidRPr="00C9026A">
        <w:t>]</w:t>
      </w:r>
      <w:r w:rsidR="001B3BDC" w:rsidRPr="00C9026A">
        <w:t>.</w:t>
      </w:r>
    </w:p>
    <w:p w:rsidR="00B64584" w:rsidRPr="00C9026A" w:rsidRDefault="00FD7179" w:rsidP="00A57A35">
      <w:pPr>
        <w:pStyle w:val="Heading4"/>
        <w:ind w:left="0"/>
      </w:pPr>
      <w:r w:rsidRPr="00C9026A">
        <w:t xml:space="preserve">The prospective assessment of potential exposures </w:t>
      </w:r>
      <w:r w:rsidR="00CF3A22" w:rsidRPr="00C9026A">
        <w:t>for facilities and activities</w:t>
      </w:r>
      <w:r w:rsidR="001D7B19" w:rsidRPr="00C9026A">
        <w:t>, as described in this Safety Guide,</w:t>
      </w:r>
      <w:r w:rsidR="00CF3A22" w:rsidRPr="00C9026A">
        <w:t xml:space="preserve"> may </w:t>
      </w:r>
      <w:r w:rsidR="00A57A35">
        <w:t>necessitate</w:t>
      </w:r>
      <w:r w:rsidR="00A57A35" w:rsidRPr="00C9026A">
        <w:t xml:space="preserve"> </w:t>
      </w:r>
      <w:r w:rsidRPr="00C9026A">
        <w:t xml:space="preserve">that accidents with very low probabilities of occurrence leading to </w:t>
      </w:r>
      <w:r w:rsidR="005841BF" w:rsidRPr="00C9026A">
        <w:t xml:space="preserve">radiological </w:t>
      </w:r>
      <w:r w:rsidRPr="00C9026A">
        <w:t xml:space="preserve">consequences </w:t>
      </w:r>
      <w:r w:rsidR="00B05A15" w:rsidRPr="00C9026A">
        <w:t>for</w:t>
      </w:r>
      <w:r w:rsidR="00D26EBF" w:rsidRPr="00C9026A">
        <w:t xml:space="preserve"> the public and</w:t>
      </w:r>
      <w:r w:rsidR="009C3E16" w:rsidRPr="00C9026A">
        <w:t xml:space="preserve"> </w:t>
      </w:r>
      <w:r w:rsidRPr="00C9026A">
        <w:t>the environment are considered</w:t>
      </w:r>
      <w:r w:rsidR="001D7B19" w:rsidRPr="00C9026A">
        <w:t xml:space="preserve"> and </w:t>
      </w:r>
      <w:r w:rsidR="00153A87">
        <w:t xml:space="preserve">the </w:t>
      </w:r>
      <w:r w:rsidR="001D7B19" w:rsidRPr="00C9026A">
        <w:t xml:space="preserve">criteria for potential exposures </w:t>
      </w:r>
      <w:r w:rsidR="003853FE" w:rsidRPr="00C9026A">
        <w:t xml:space="preserve">are </w:t>
      </w:r>
      <w:r w:rsidR="00FC2C80">
        <w:t>met</w:t>
      </w:r>
      <w:r w:rsidR="00DB7256" w:rsidRPr="00C9026A">
        <w:t>.</w:t>
      </w:r>
      <w:r w:rsidR="0059029A" w:rsidRPr="00C9026A">
        <w:t xml:space="preserve"> </w:t>
      </w:r>
      <w:r w:rsidR="00DB7256" w:rsidRPr="00C9026A">
        <w:t>However</w:t>
      </w:r>
      <w:r w:rsidR="009868B0" w:rsidRPr="00C9026A">
        <w:t>,</w:t>
      </w:r>
      <w:r w:rsidR="00DB7256" w:rsidRPr="00C9026A">
        <w:t xml:space="preserve"> </w:t>
      </w:r>
      <w:r w:rsidR="00985B76" w:rsidRPr="00C9026A">
        <w:t xml:space="preserve">even </w:t>
      </w:r>
      <w:r w:rsidR="00DB7256" w:rsidRPr="00C9026A">
        <w:t xml:space="preserve">if a </w:t>
      </w:r>
      <w:r w:rsidR="009868B0" w:rsidRPr="00C9026A">
        <w:t xml:space="preserve">facility or </w:t>
      </w:r>
      <w:r w:rsidR="00FC2C80">
        <w:t xml:space="preserve">an </w:t>
      </w:r>
      <w:r w:rsidR="009868B0" w:rsidRPr="00C9026A">
        <w:t>activity</w:t>
      </w:r>
      <w:r w:rsidR="00DB7256" w:rsidRPr="00C9026A">
        <w:t xml:space="preserve"> meets these </w:t>
      </w:r>
      <w:r w:rsidR="00CF3A22" w:rsidRPr="00C9026A">
        <w:t>criteria</w:t>
      </w:r>
      <w:r w:rsidR="009868B0" w:rsidRPr="00C9026A">
        <w:t>,</w:t>
      </w:r>
      <w:r w:rsidR="00DB7256" w:rsidRPr="00C9026A">
        <w:t xml:space="preserve"> it does not </w:t>
      </w:r>
      <w:r w:rsidR="009868B0" w:rsidRPr="00C9026A">
        <w:t xml:space="preserve">preclude the need for an </w:t>
      </w:r>
      <w:r w:rsidR="00DB7256" w:rsidRPr="00C9026A">
        <w:t>assessment of hazards</w:t>
      </w:r>
      <w:r w:rsidR="00D36B35" w:rsidRPr="00C9026A">
        <w:t xml:space="preserve"> </w:t>
      </w:r>
      <w:r w:rsidR="009868B0" w:rsidRPr="00C9026A">
        <w:t>in relation to preparedness and response for a nuclear or radiological emergency, in line with requirements in</w:t>
      </w:r>
      <w:r w:rsidR="00F07BC9">
        <w:t xml:space="preserve"> GSR Part 7</w:t>
      </w:r>
      <w:r w:rsidR="003A35C7" w:rsidRPr="00C9026A">
        <w:t xml:space="preserve"> </w:t>
      </w:r>
      <w:r w:rsidR="00DF14F3" w:rsidRPr="00C9026A">
        <w:t>[</w:t>
      </w:r>
      <w:r w:rsidR="007B2508">
        <w:t>6</w:t>
      </w:r>
      <w:r w:rsidR="009868B0" w:rsidRPr="00C9026A">
        <w:t>].</w:t>
      </w:r>
      <w:r w:rsidR="000744D3" w:rsidRPr="00C9026A">
        <w:t xml:space="preserve"> </w:t>
      </w:r>
      <w:r w:rsidR="003D5A87" w:rsidRPr="00C9026A">
        <w:t>Other aspects of the consequences of large accidental releases to the environment</w:t>
      </w:r>
      <w:r w:rsidR="00153A87">
        <w:t>,</w:t>
      </w:r>
      <w:r w:rsidR="003D5A87" w:rsidRPr="00C9026A">
        <w:t xml:space="preserve"> </w:t>
      </w:r>
      <w:r w:rsidR="003A35C7" w:rsidRPr="00C9026A">
        <w:t>such as</w:t>
      </w:r>
      <w:r w:rsidR="003D5A87" w:rsidRPr="00C9026A">
        <w:t xml:space="preserve"> soci</w:t>
      </w:r>
      <w:r w:rsidR="007B2508">
        <w:t>et</w:t>
      </w:r>
      <w:r w:rsidR="003D5A87" w:rsidRPr="00C9026A">
        <w:t xml:space="preserve">al </w:t>
      </w:r>
      <w:r w:rsidR="003A35C7" w:rsidRPr="00C9026A">
        <w:t xml:space="preserve">and </w:t>
      </w:r>
      <w:r w:rsidR="003D5A87" w:rsidRPr="00C9026A">
        <w:t xml:space="preserve">economic effects </w:t>
      </w:r>
      <w:r w:rsidR="003A35C7" w:rsidRPr="00C9026A">
        <w:t xml:space="preserve">and </w:t>
      </w:r>
      <w:r w:rsidR="00FC2C80">
        <w:t xml:space="preserve">non-radiological </w:t>
      </w:r>
      <w:r w:rsidR="003A35C7" w:rsidRPr="00C9026A">
        <w:t xml:space="preserve">effects on the environment and </w:t>
      </w:r>
      <w:r w:rsidR="003D5A87" w:rsidRPr="00C9026A">
        <w:t>on ecosystems</w:t>
      </w:r>
      <w:r w:rsidR="00153A87">
        <w:t>,</w:t>
      </w:r>
      <w:r w:rsidR="003D5A87" w:rsidRPr="00C9026A">
        <w:t xml:space="preserve"> are </w:t>
      </w:r>
      <w:r w:rsidR="00153A87">
        <w:t>outside</w:t>
      </w:r>
      <w:r w:rsidR="003D5A87" w:rsidRPr="00C9026A">
        <w:t xml:space="preserve"> the scope of this Safety Guide.</w:t>
      </w:r>
    </w:p>
    <w:p w:rsidR="00B64584" w:rsidRPr="00C9026A" w:rsidRDefault="00B64584" w:rsidP="00A57A35">
      <w:pPr>
        <w:pStyle w:val="Heading4"/>
        <w:ind w:left="0"/>
      </w:pPr>
      <w:r w:rsidRPr="00C9026A">
        <w:t xml:space="preserve">This Safety Guide does not </w:t>
      </w:r>
      <w:r w:rsidR="00F469C7">
        <w:t>describe</w:t>
      </w:r>
      <w:r w:rsidR="00F469C7" w:rsidRPr="00C9026A">
        <w:t xml:space="preserve"> </w:t>
      </w:r>
      <w:r w:rsidRPr="00C9026A">
        <w:t xml:space="preserve">in detail the specifications and characteristics of the events </w:t>
      </w:r>
      <w:r w:rsidR="003A35C7" w:rsidRPr="00C9026A">
        <w:t xml:space="preserve">and </w:t>
      </w:r>
      <w:r w:rsidR="003E5EA1" w:rsidRPr="00C9026A">
        <w:t>accident</w:t>
      </w:r>
      <w:r w:rsidRPr="00C9026A">
        <w:t xml:space="preserve">s to be considered </w:t>
      </w:r>
      <w:r w:rsidR="00153A87">
        <w:t>in</w:t>
      </w:r>
      <w:r w:rsidR="00153A87" w:rsidRPr="00C9026A">
        <w:t xml:space="preserve"> </w:t>
      </w:r>
      <w:r w:rsidRPr="00C9026A">
        <w:t>the assessment of potential exposure</w:t>
      </w:r>
      <w:r w:rsidR="001F15AC" w:rsidRPr="00C9026A">
        <w:t xml:space="preserve"> </w:t>
      </w:r>
      <w:r w:rsidR="00153A87">
        <w:t>of</w:t>
      </w:r>
      <w:r w:rsidR="00153A87" w:rsidRPr="00C9026A">
        <w:t xml:space="preserve"> </w:t>
      </w:r>
      <w:r w:rsidR="00574C7F">
        <w:t xml:space="preserve">the </w:t>
      </w:r>
      <w:r w:rsidR="001F15AC" w:rsidRPr="00C9026A">
        <w:t>public</w:t>
      </w:r>
      <w:r w:rsidRPr="00C9026A">
        <w:t xml:space="preserve">, </w:t>
      </w:r>
      <w:r w:rsidR="001F15AC" w:rsidRPr="00C9026A">
        <w:t>n</w:t>
      </w:r>
      <w:r w:rsidRPr="00C9026A">
        <w:t>or the methodology for their selection and analysis</w:t>
      </w:r>
      <w:r w:rsidR="001F15AC" w:rsidRPr="00C9026A">
        <w:t>;</w:t>
      </w:r>
      <w:r w:rsidRPr="00C9026A">
        <w:t xml:space="preserve"> </w:t>
      </w:r>
      <w:r w:rsidR="002A2094" w:rsidRPr="00C9026A">
        <w:t>such specification</w:t>
      </w:r>
      <w:r w:rsidR="00DA302F">
        <w:t xml:space="preserve"> and</w:t>
      </w:r>
      <w:r w:rsidR="002A2094" w:rsidRPr="00C9026A">
        <w:t xml:space="preserve"> characteri</w:t>
      </w:r>
      <w:r w:rsidR="00ED4B52" w:rsidRPr="00C9026A">
        <w:t>zation</w:t>
      </w:r>
      <w:r w:rsidR="00DA302F">
        <w:t>,</w:t>
      </w:r>
      <w:r w:rsidR="00ED4B52" w:rsidRPr="00C9026A">
        <w:t xml:space="preserve"> </w:t>
      </w:r>
      <w:r w:rsidR="00153A87">
        <w:t>which should be determined</w:t>
      </w:r>
      <w:r w:rsidR="00ED4B52" w:rsidRPr="00C9026A">
        <w:t xml:space="preserve"> </w:t>
      </w:r>
      <w:r w:rsidR="008143E3">
        <w:t>by</w:t>
      </w:r>
      <w:r w:rsidR="008143E3" w:rsidRPr="00C9026A">
        <w:t xml:space="preserve"> </w:t>
      </w:r>
      <w:r w:rsidR="00ED4B52" w:rsidRPr="00C9026A">
        <w:t xml:space="preserve">a systematic </w:t>
      </w:r>
      <w:r w:rsidR="002A2094" w:rsidRPr="00C9026A">
        <w:t>analysis</w:t>
      </w:r>
      <w:r w:rsidR="00DA302F">
        <w:t>,</w:t>
      </w:r>
      <w:r w:rsidR="002A2094" w:rsidRPr="00C9026A">
        <w:t xml:space="preserve"> </w:t>
      </w:r>
      <w:r w:rsidR="005A0BB4" w:rsidRPr="00C9026A">
        <w:t>should be</w:t>
      </w:r>
      <w:r w:rsidR="002A2094" w:rsidRPr="00C9026A">
        <w:t xml:space="preserve"> done in the framework of</w:t>
      </w:r>
      <w:r w:rsidR="00FC2C80">
        <w:t xml:space="preserve"> a</w:t>
      </w:r>
      <w:r w:rsidR="001F15AC" w:rsidRPr="00C9026A">
        <w:t xml:space="preserve"> safety assessment </w:t>
      </w:r>
      <w:r w:rsidR="005841BF" w:rsidRPr="00C9026A">
        <w:t>for facilit</w:t>
      </w:r>
      <w:r w:rsidR="00153A87">
        <w:t>y</w:t>
      </w:r>
      <w:r w:rsidR="005841BF" w:rsidRPr="00C9026A">
        <w:t xml:space="preserve"> </w:t>
      </w:r>
      <w:r w:rsidR="00153A87">
        <w:t>or</w:t>
      </w:r>
      <w:r w:rsidR="005841BF" w:rsidRPr="00C9026A">
        <w:t xml:space="preserve"> activit</w:t>
      </w:r>
      <w:r w:rsidR="00153A87">
        <w:t>y</w:t>
      </w:r>
      <w:r w:rsidR="00E878C4">
        <w:t xml:space="preserve">, as </w:t>
      </w:r>
      <w:r w:rsidR="00CA300B">
        <w:t xml:space="preserve">described </w:t>
      </w:r>
      <w:r w:rsidR="00E878C4">
        <w:t xml:space="preserve">in </w:t>
      </w:r>
      <w:r w:rsidR="00E878C4" w:rsidRPr="00E878C4">
        <w:t>GSR Part 4</w:t>
      </w:r>
      <w:r w:rsidR="00DC6D9C">
        <w:t xml:space="preserve"> (Rev. 1)</w:t>
      </w:r>
      <w:r w:rsidR="005841BF" w:rsidRPr="00C9026A">
        <w:t xml:space="preserve"> </w:t>
      </w:r>
      <w:r w:rsidR="002A2094" w:rsidRPr="00C9026A">
        <w:t>[</w:t>
      </w:r>
      <w:r w:rsidR="003A1B84" w:rsidRPr="00C9026A">
        <w:t>5</w:t>
      </w:r>
      <w:r w:rsidR="002A2094" w:rsidRPr="00C9026A">
        <w:t>].</w:t>
      </w:r>
    </w:p>
    <w:p w:rsidR="002F6ABF" w:rsidRPr="00C9026A" w:rsidRDefault="002F6ABF" w:rsidP="00A57A35">
      <w:pPr>
        <w:pStyle w:val="Heading4"/>
        <w:ind w:left="0"/>
      </w:pPr>
      <w:r w:rsidRPr="00C9026A">
        <w:t>This Safety Guide</w:t>
      </w:r>
      <w:r w:rsidR="003363AC" w:rsidRPr="00C9026A">
        <w:t xml:space="preserve"> </w:t>
      </w:r>
      <w:r w:rsidR="00365C8E" w:rsidRPr="00C9026A">
        <w:t>defin</w:t>
      </w:r>
      <w:r w:rsidR="00A57A35">
        <w:t>es</w:t>
      </w:r>
      <w:r w:rsidR="00365C8E" w:rsidRPr="00C9026A">
        <w:t xml:space="preserve"> a</w:t>
      </w:r>
      <w:r w:rsidR="003363AC" w:rsidRPr="00C9026A">
        <w:t xml:space="preserve"> </w:t>
      </w:r>
      <w:r w:rsidR="007E179F" w:rsidRPr="00C9026A">
        <w:t xml:space="preserve">general </w:t>
      </w:r>
      <w:r w:rsidR="003363AC" w:rsidRPr="00C9026A">
        <w:t>framework and</w:t>
      </w:r>
      <w:r w:rsidR="00365C8E" w:rsidRPr="00C9026A">
        <w:t xml:space="preserve"> </w:t>
      </w:r>
      <w:r w:rsidR="00A57A35">
        <w:t>describes</w:t>
      </w:r>
      <w:r w:rsidR="00A57A35" w:rsidRPr="00C9026A">
        <w:t xml:space="preserve"> </w:t>
      </w:r>
      <w:r w:rsidR="00365C8E" w:rsidRPr="00C9026A">
        <w:t>the</w:t>
      </w:r>
      <w:r w:rsidR="003363AC" w:rsidRPr="00C9026A">
        <w:t xml:space="preserve"> general aspects of the methodolog</w:t>
      </w:r>
      <w:r w:rsidR="008143E3">
        <w:t>y</w:t>
      </w:r>
      <w:r w:rsidR="003363AC" w:rsidRPr="00C9026A">
        <w:t xml:space="preserve"> for </w:t>
      </w:r>
      <w:r w:rsidR="008143E3">
        <w:t xml:space="preserve">performing a </w:t>
      </w:r>
      <w:r w:rsidR="007F37B1" w:rsidRPr="00C9026A">
        <w:t xml:space="preserve">prospective </w:t>
      </w:r>
      <w:r w:rsidR="005A0BB4" w:rsidRPr="00C9026A">
        <w:t>radiological environmental impact</w:t>
      </w:r>
      <w:r w:rsidR="003363AC" w:rsidRPr="00C9026A">
        <w:t xml:space="preserve"> assessment, and</w:t>
      </w:r>
      <w:r w:rsidRPr="00C9026A">
        <w:t xml:space="preserve"> does not</w:t>
      </w:r>
      <w:r w:rsidR="00E3420F" w:rsidRPr="00C9026A">
        <w:t xml:space="preserve"> </w:t>
      </w:r>
      <w:r w:rsidR="00A57A35">
        <w:t>describe</w:t>
      </w:r>
      <w:r w:rsidR="00A57A35" w:rsidRPr="00C9026A">
        <w:t xml:space="preserve"> </w:t>
      </w:r>
      <w:r w:rsidR="006801B4" w:rsidRPr="00C9026A">
        <w:t>in detail</w:t>
      </w:r>
      <w:r w:rsidRPr="00C9026A">
        <w:t xml:space="preserve"> </w:t>
      </w:r>
      <w:r w:rsidR="00563DB8" w:rsidRPr="00C9026A">
        <w:t>the</w:t>
      </w:r>
      <w:r w:rsidR="00365C8E" w:rsidRPr="00C9026A">
        <w:t xml:space="preserve"> models</w:t>
      </w:r>
      <w:r w:rsidR="00ED4B52" w:rsidRPr="00C9026A">
        <w:t xml:space="preserve"> to be used</w:t>
      </w:r>
      <w:r w:rsidR="00365C8E" w:rsidRPr="00C9026A">
        <w:t xml:space="preserve"> or the</w:t>
      </w:r>
      <w:r w:rsidR="00563DB8" w:rsidRPr="00C9026A">
        <w:t xml:space="preserve"> </w:t>
      </w:r>
      <w:r w:rsidR="002451D0" w:rsidRPr="00C9026A">
        <w:t xml:space="preserve">collection and </w:t>
      </w:r>
      <w:r w:rsidR="00563DB8" w:rsidRPr="00C9026A">
        <w:t xml:space="preserve">use of </w:t>
      </w:r>
      <w:r w:rsidR="00365C8E" w:rsidRPr="00C9026A">
        <w:t xml:space="preserve">data </w:t>
      </w:r>
      <w:r w:rsidR="003A33E0" w:rsidRPr="00C9026A">
        <w:t xml:space="preserve">from </w:t>
      </w:r>
      <w:r w:rsidR="00DB0CEB" w:rsidRPr="00C9026A">
        <w:t xml:space="preserve">radiological </w:t>
      </w:r>
      <w:r w:rsidRPr="00C9026A">
        <w:t>environmental monitoring</w:t>
      </w:r>
      <w:r w:rsidR="00563DB8" w:rsidRPr="00C9026A">
        <w:t xml:space="preserve"> </w:t>
      </w:r>
      <w:r w:rsidR="003A33E0" w:rsidRPr="00C9026A">
        <w:t>program</w:t>
      </w:r>
      <w:r w:rsidR="007C603F" w:rsidRPr="00C9026A">
        <w:t>me</w:t>
      </w:r>
      <w:r w:rsidR="003A33E0" w:rsidRPr="00C9026A">
        <w:t>s,</w:t>
      </w:r>
      <w:r w:rsidRPr="00C9026A">
        <w:t xml:space="preserve"> which </w:t>
      </w:r>
      <w:r w:rsidR="003A33E0" w:rsidRPr="00C9026A">
        <w:t>are</w:t>
      </w:r>
      <w:r w:rsidRPr="00C9026A">
        <w:t xml:space="preserve"> normally undertaken </w:t>
      </w:r>
      <w:r w:rsidR="00DB0CEB" w:rsidRPr="00C9026A">
        <w:t xml:space="preserve">at </w:t>
      </w:r>
      <w:r w:rsidR="00A57A35">
        <w:t xml:space="preserve">the </w:t>
      </w:r>
      <w:r w:rsidR="00DB0CEB" w:rsidRPr="00C9026A">
        <w:lastRenderedPageBreak/>
        <w:t>pre</w:t>
      </w:r>
      <w:r w:rsidR="00DF2B83" w:rsidRPr="00C9026A">
        <w:t>-</w:t>
      </w:r>
      <w:r w:rsidR="00DB0CEB" w:rsidRPr="00C9026A">
        <w:t>operational</w:t>
      </w:r>
      <w:r w:rsidR="00A57A35">
        <w:t xml:space="preserve"> stage</w:t>
      </w:r>
      <w:r w:rsidR="00DB0CEB" w:rsidRPr="00C9026A">
        <w:t xml:space="preserve"> </w:t>
      </w:r>
      <w:r w:rsidR="005841BF" w:rsidRPr="00C9026A">
        <w:t xml:space="preserve">and </w:t>
      </w:r>
      <w:r w:rsidR="00A57A35">
        <w:t xml:space="preserve">the </w:t>
      </w:r>
      <w:r w:rsidR="005841BF" w:rsidRPr="00C9026A">
        <w:t xml:space="preserve">operational </w:t>
      </w:r>
      <w:r w:rsidR="00DB0CEB" w:rsidRPr="00C9026A">
        <w:t>stage</w:t>
      </w:r>
      <w:r w:rsidR="00ED4B52" w:rsidRPr="00C9026A">
        <w:rPr>
          <w:rStyle w:val="FootnoteReference"/>
        </w:rPr>
        <w:footnoteReference w:id="8"/>
      </w:r>
      <w:r w:rsidR="008143E3">
        <w:t xml:space="preserve"> of a facility or activity</w:t>
      </w:r>
      <w:r w:rsidR="00ED4B52" w:rsidRPr="00C9026A">
        <w:t xml:space="preserve">. </w:t>
      </w:r>
      <w:r w:rsidR="00C461CF" w:rsidRPr="00C9026A">
        <w:t>For the purpose</w:t>
      </w:r>
      <w:r w:rsidR="008143E3">
        <w:t>s</w:t>
      </w:r>
      <w:r w:rsidR="00C461CF" w:rsidRPr="00C9026A">
        <w:t xml:space="preserve"> of this Safety Guide, it is assumed that </w:t>
      </w:r>
      <w:r w:rsidR="00CA300B">
        <w:t xml:space="preserve">environmental and source </w:t>
      </w:r>
      <w:r w:rsidR="00C461CF" w:rsidRPr="00C9026A">
        <w:t xml:space="preserve">monitoring </w:t>
      </w:r>
      <w:r w:rsidR="00153A87">
        <w:t>is carried out</w:t>
      </w:r>
      <w:r w:rsidR="00CA300B">
        <w:t xml:space="preserve"> as relevant</w:t>
      </w:r>
      <w:r w:rsidR="00153A87" w:rsidRPr="00C9026A">
        <w:t xml:space="preserve"> </w:t>
      </w:r>
      <w:r w:rsidR="00C461CF" w:rsidRPr="00C9026A">
        <w:t xml:space="preserve">at the pre-operational </w:t>
      </w:r>
      <w:r w:rsidR="00A57A35">
        <w:t xml:space="preserve">stage </w:t>
      </w:r>
      <w:r w:rsidR="00C461CF" w:rsidRPr="00C9026A">
        <w:t xml:space="preserve">and </w:t>
      </w:r>
      <w:r w:rsidR="00A57A35">
        <w:t xml:space="preserve">the </w:t>
      </w:r>
      <w:r w:rsidR="00C461CF" w:rsidRPr="00C9026A">
        <w:t xml:space="preserve">operational stage </w:t>
      </w:r>
      <w:r w:rsidR="00E878C4" w:rsidRPr="00C9026A">
        <w:t>and</w:t>
      </w:r>
      <w:r w:rsidR="00C461CF" w:rsidRPr="00C9026A">
        <w:t xml:space="preserve"> </w:t>
      </w:r>
      <w:r w:rsidR="00A57A35">
        <w:t xml:space="preserve">that it </w:t>
      </w:r>
      <w:r w:rsidR="00C461CF" w:rsidRPr="00C9026A">
        <w:t>provide</w:t>
      </w:r>
      <w:r w:rsidR="00153A87">
        <w:t>s</w:t>
      </w:r>
      <w:r w:rsidR="00C461CF" w:rsidRPr="00C9026A">
        <w:t xml:space="preserve"> the necessary information for </w:t>
      </w:r>
      <w:r w:rsidR="0099369A" w:rsidRPr="00C9026A">
        <w:t xml:space="preserve">adequate </w:t>
      </w:r>
      <w:r w:rsidR="00C461CF" w:rsidRPr="00C9026A">
        <w:t>dose estimations</w:t>
      </w:r>
      <w:r w:rsidR="009356D8" w:rsidRPr="00C9026A">
        <w:t xml:space="preserve"> and </w:t>
      </w:r>
      <w:r w:rsidR="00153A87">
        <w:t>for</w:t>
      </w:r>
      <w:r w:rsidR="00153A87" w:rsidRPr="00C9026A">
        <w:t xml:space="preserve"> </w:t>
      </w:r>
      <w:r w:rsidR="009356D8" w:rsidRPr="00C9026A">
        <w:t>verify</w:t>
      </w:r>
      <w:r w:rsidR="00153A87">
        <w:t>ing</w:t>
      </w:r>
      <w:r w:rsidR="009356D8" w:rsidRPr="00C9026A">
        <w:t xml:space="preserve"> that the models and assumptions used in </w:t>
      </w:r>
      <w:r w:rsidR="007F37B1" w:rsidRPr="00C9026A">
        <w:t xml:space="preserve">the </w:t>
      </w:r>
      <w:r w:rsidR="009356D8" w:rsidRPr="00C9026A">
        <w:t xml:space="preserve">prospective assessment are </w:t>
      </w:r>
      <w:r w:rsidR="00365BEC">
        <w:t>appropriate</w:t>
      </w:r>
      <w:r w:rsidR="00C461CF" w:rsidRPr="00C9026A">
        <w:t xml:space="preserve">. </w:t>
      </w:r>
      <w:r w:rsidR="009B2388" w:rsidRPr="00C9026A">
        <w:t xml:space="preserve">The prospective assessment as described in this Safety Guide </w:t>
      </w:r>
      <w:r w:rsidR="00153A87">
        <w:t>can</w:t>
      </w:r>
      <w:r w:rsidR="00153A87" w:rsidRPr="00C9026A">
        <w:t xml:space="preserve"> </w:t>
      </w:r>
      <w:r w:rsidR="009B2388" w:rsidRPr="00C9026A">
        <w:t xml:space="preserve">also be used to </w:t>
      </w:r>
      <w:r w:rsidR="00365BEC">
        <w:t>underpin</w:t>
      </w:r>
      <w:r w:rsidR="00365BEC" w:rsidRPr="00C9026A">
        <w:t xml:space="preserve"> </w:t>
      </w:r>
      <w:r w:rsidR="009B2388" w:rsidRPr="00C9026A">
        <w:t xml:space="preserve">the </w:t>
      </w:r>
      <w:r w:rsidR="008143E3">
        <w:t>establishment</w:t>
      </w:r>
      <w:r w:rsidR="008143E3" w:rsidRPr="00C9026A">
        <w:t xml:space="preserve"> </w:t>
      </w:r>
      <w:r w:rsidR="007F37B1" w:rsidRPr="00C9026A">
        <w:t xml:space="preserve">or upgrade </w:t>
      </w:r>
      <w:r w:rsidR="009B2388" w:rsidRPr="00C9026A">
        <w:t xml:space="preserve">of </w:t>
      </w:r>
      <w:r w:rsidR="008143E3">
        <w:t>a</w:t>
      </w:r>
      <w:r w:rsidR="008143E3" w:rsidRPr="00C9026A">
        <w:t xml:space="preserve"> </w:t>
      </w:r>
      <w:r w:rsidR="009B2388" w:rsidRPr="00C9026A">
        <w:t>site</w:t>
      </w:r>
      <w:r w:rsidR="008143E3">
        <w:t xml:space="preserve"> </w:t>
      </w:r>
      <w:r w:rsidR="009B2388" w:rsidRPr="00C9026A">
        <w:t xml:space="preserve">specific environmental monitoring programme. </w:t>
      </w:r>
      <w:r w:rsidR="00153A87">
        <w:t>G</w:t>
      </w:r>
      <w:r w:rsidR="00491D9E" w:rsidRPr="00C9026A">
        <w:t xml:space="preserve">uidance for environmental </w:t>
      </w:r>
      <w:r w:rsidR="008143E3">
        <w:t xml:space="preserve">and source </w:t>
      </w:r>
      <w:r w:rsidR="00491D9E" w:rsidRPr="00C9026A">
        <w:t>monitoring</w:t>
      </w:r>
      <w:r w:rsidR="00C461CF" w:rsidRPr="00C9026A">
        <w:t xml:space="preserve"> programmes </w:t>
      </w:r>
      <w:r w:rsidR="00153A87">
        <w:t xml:space="preserve">is provided </w:t>
      </w:r>
      <w:r w:rsidR="00491D9E" w:rsidRPr="00C9026A">
        <w:t xml:space="preserve">in </w:t>
      </w:r>
      <w:r w:rsidR="008143E3">
        <w:t xml:space="preserve">Environmental and Source Monitoring for Purposes of Radiation Protection, IAEA Safety Standards Series No. </w:t>
      </w:r>
      <w:r w:rsidR="00FC2C80">
        <w:t>RS-G-1.8</w:t>
      </w:r>
      <w:r w:rsidR="003A35C7" w:rsidRPr="00C9026A">
        <w:t xml:space="preserve"> </w:t>
      </w:r>
      <w:r w:rsidR="00491D9E" w:rsidRPr="00C9026A">
        <w:t>[</w:t>
      </w:r>
      <w:r w:rsidR="003A1B84" w:rsidRPr="00C9026A">
        <w:t>1</w:t>
      </w:r>
      <w:r w:rsidR="0015024B">
        <w:t>8</w:t>
      </w:r>
      <w:r w:rsidR="00491D9E" w:rsidRPr="00C9026A">
        <w:t>]</w:t>
      </w:r>
      <w:r w:rsidR="00791A7A" w:rsidRPr="00C9026A">
        <w:t xml:space="preserve"> and </w:t>
      </w:r>
      <w:r w:rsidR="00153A87">
        <w:t>further information is provided in Ref.</w:t>
      </w:r>
      <w:r w:rsidR="00FC2C80">
        <w:t xml:space="preserve"> </w:t>
      </w:r>
      <w:r w:rsidR="001D7B19" w:rsidRPr="00C9026A">
        <w:t>[</w:t>
      </w:r>
      <w:r w:rsidR="004557F6">
        <w:t>1</w:t>
      </w:r>
      <w:r w:rsidR="0015024B">
        <w:t>9</w:t>
      </w:r>
      <w:r w:rsidR="001D7B19" w:rsidRPr="00C9026A">
        <w:t>]</w:t>
      </w:r>
      <w:r w:rsidR="00491D9E" w:rsidRPr="00C9026A">
        <w:t>.</w:t>
      </w:r>
      <w:r w:rsidR="0049334F" w:rsidRPr="0049334F">
        <w:t xml:space="preserve"> The need </w:t>
      </w:r>
      <w:r w:rsidR="00153A87">
        <w:t xml:space="preserve">for </w:t>
      </w:r>
      <w:r w:rsidR="0049334F">
        <w:t xml:space="preserve">and general characteristics </w:t>
      </w:r>
      <w:r w:rsidR="0049334F" w:rsidRPr="0049334F">
        <w:t>of environmental monitoring program</w:t>
      </w:r>
      <w:r w:rsidR="00FC2C80">
        <w:t>me</w:t>
      </w:r>
      <w:r w:rsidR="0049334F" w:rsidRPr="0049334F">
        <w:t xml:space="preserve">s for demonstration of compliance </w:t>
      </w:r>
      <w:r w:rsidR="00FC2C80">
        <w:t xml:space="preserve">with </w:t>
      </w:r>
      <w:r w:rsidR="0049334F">
        <w:t xml:space="preserve">authorized </w:t>
      </w:r>
      <w:r w:rsidR="0049334F" w:rsidRPr="0049334F">
        <w:t xml:space="preserve">discharge limits </w:t>
      </w:r>
      <w:r w:rsidR="00153A87">
        <w:t>are addressed</w:t>
      </w:r>
      <w:r w:rsidR="0049334F">
        <w:t xml:space="preserve"> in </w:t>
      </w:r>
      <w:r w:rsidR="008143E3">
        <w:t>DS</w:t>
      </w:r>
      <w:r w:rsidR="00FC2C80">
        <w:t>442</w:t>
      </w:r>
      <w:r w:rsidR="0049334F">
        <w:t xml:space="preserve"> [</w:t>
      </w:r>
      <w:r w:rsidR="008143E3">
        <w:t>9</w:t>
      </w:r>
      <w:r w:rsidR="0049334F">
        <w:t>].</w:t>
      </w:r>
    </w:p>
    <w:p w:rsidR="002F6ABF" w:rsidRPr="00563971" w:rsidRDefault="002F6ABF" w:rsidP="00A57A35">
      <w:pPr>
        <w:pStyle w:val="Heading4"/>
        <w:ind w:left="0"/>
      </w:pPr>
      <w:r w:rsidRPr="00C9026A">
        <w:t>Th</w:t>
      </w:r>
      <w:r w:rsidR="00FC2C80">
        <w:t>is</w:t>
      </w:r>
      <w:r w:rsidRPr="00C9026A">
        <w:t xml:space="preserve"> Safety Guide does not cover </w:t>
      </w:r>
      <w:r w:rsidR="000A1268" w:rsidRPr="00C9026A">
        <w:t xml:space="preserve">occupational </w:t>
      </w:r>
      <w:r w:rsidR="003A35C7" w:rsidRPr="00C9026A">
        <w:t xml:space="preserve">exposures </w:t>
      </w:r>
      <w:r w:rsidR="000A1268" w:rsidRPr="00C9026A">
        <w:t>or medical exposures</w:t>
      </w:r>
      <w:r w:rsidR="00505CBD" w:rsidRPr="00C9026A">
        <w:t xml:space="preserve">. </w:t>
      </w:r>
      <w:r w:rsidR="0022273C">
        <w:t>Recommendations on t</w:t>
      </w:r>
      <w:r w:rsidR="00505CBD" w:rsidRPr="00C9026A">
        <w:t xml:space="preserve">hese categories of exposure and their inclusion in the authorization process are </w:t>
      </w:r>
      <w:r w:rsidR="0022273C">
        <w:t>provided</w:t>
      </w:r>
      <w:r w:rsidR="00153A87" w:rsidRPr="00C9026A">
        <w:t xml:space="preserve"> </w:t>
      </w:r>
      <w:r w:rsidR="00505CBD" w:rsidRPr="00C9026A">
        <w:t xml:space="preserve">in </w:t>
      </w:r>
      <w:r w:rsidR="0022273C">
        <w:t>Occupational Radiation Protection, IAEA Safety Standards Series No. DS453</w:t>
      </w:r>
      <w:r w:rsidR="00F72311" w:rsidRPr="00C9026A">
        <w:t xml:space="preserve"> </w:t>
      </w:r>
      <w:r w:rsidR="009311E8" w:rsidRPr="00C9026A">
        <w:t>[</w:t>
      </w:r>
      <w:r w:rsidR="0015024B">
        <w:t>20</w:t>
      </w:r>
      <w:r w:rsidR="0022273C">
        <w:t xml:space="preserve">] and Radiation Protection and Safety in Medical Uses of Ionizing Radiation, </w:t>
      </w:r>
      <w:r w:rsidR="0022273C" w:rsidRPr="00563971">
        <w:t xml:space="preserve">IAEA Safety Standards Series No. </w:t>
      </w:r>
      <w:proofErr w:type="gramStart"/>
      <w:r w:rsidR="0022273C" w:rsidRPr="00563971">
        <w:t>DS399</w:t>
      </w:r>
      <w:r w:rsidR="005A3393" w:rsidRPr="00563971">
        <w:t xml:space="preserve"> </w:t>
      </w:r>
      <w:r w:rsidR="0022273C" w:rsidRPr="00563971">
        <w:t>[</w:t>
      </w:r>
      <w:r w:rsidR="004557F6" w:rsidRPr="00563971">
        <w:t>2</w:t>
      </w:r>
      <w:r w:rsidR="0015024B" w:rsidRPr="00563971">
        <w:t>1</w:t>
      </w:r>
      <w:r w:rsidR="009311E8" w:rsidRPr="00563971">
        <w:rPr>
          <w:szCs w:val="24"/>
          <w:lang w:eastAsia="en-GB"/>
        </w:rPr>
        <w:t>]</w:t>
      </w:r>
      <w:r w:rsidRPr="00563971">
        <w:t>.</w:t>
      </w:r>
      <w:proofErr w:type="gramEnd"/>
    </w:p>
    <w:p w:rsidR="00C6773A" w:rsidRPr="003B354D" w:rsidRDefault="00C6773A" w:rsidP="00A57A35">
      <w:pPr>
        <w:pStyle w:val="Heading4"/>
        <w:ind w:left="0"/>
      </w:pPr>
      <w:r w:rsidRPr="003B354D">
        <w:t xml:space="preserve">This Safety Guide covers </w:t>
      </w:r>
      <w:r w:rsidR="0019433C" w:rsidRPr="003B354D">
        <w:t xml:space="preserve">primarily </w:t>
      </w:r>
      <w:r w:rsidRPr="003B354D">
        <w:t xml:space="preserve">the </w:t>
      </w:r>
      <w:r w:rsidR="008152AB" w:rsidRPr="003B354D">
        <w:t xml:space="preserve">assessment of the </w:t>
      </w:r>
      <w:r w:rsidRPr="003B354D">
        <w:t>risk of radiological impacts to the health of individual members of the public due to radiation exposure</w:t>
      </w:r>
      <w:r w:rsidR="00141712" w:rsidRPr="003B354D">
        <w:t xml:space="preserve"> </w:t>
      </w:r>
      <w:r w:rsidRPr="003B354D">
        <w:t xml:space="preserve">during normal operation and </w:t>
      </w:r>
      <w:r w:rsidR="00A2078D" w:rsidRPr="003B354D">
        <w:t xml:space="preserve">due to </w:t>
      </w:r>
      <w:r w:rsidRPr="003B354D">
        <w:t>potential exposure</w:t>
      </w:r>
      <w:r w:rsidR="0019433C" w:rsidRPr="003B354D">
        <w:t>, as required by GSR Part 3 [1]</w:t>
      </w:r>
      <w:r w:rsidRPr="003B354D">
        <w:t xml:space="preserve">. </w:t>
      </w:r>
      <w:r w:rsidR="004C63C3" w:rsidRPr="003B354D">
        <w:t xml:space="preserve">In </w:t>
      </w:r>
      <w:r w:rsidR="0015024B" w:rsidRPr="003B354D">
        <w:t xml:space="preserve">many </w:t>
      </w:r>
      <w:r w:rsidR="004C63C3" w:rsidRPr="003B354D">
        <w:t xml:space="preserve">instances, it can be </w:t>
      </w:r>
      <w:r w:rsidR="00FD6935" w:rsidRPr="003B354D">
        <w:t>concluded, on</w:t>
      </w:r>
      <w:r w:rsidR="006B45F5">
        <w:t xml:space="preserve"> the basis of</w:t>
      </w:r>
      <w:r w:rsidR="00FD6935" w:rsidRPr="003B354D">
        <w:t xml:space="preserve"> </w:t>
      </w:r>
      <w:r w:rsidR="00D03D09">
        <w:t xml:space="preserve">evidence such as </w:t>
      </w:r>
      <w:r w:rsidR="00FD6935" w:rsidRPr="003B354D">
        <w:t xml:space="preserve">experience or simplified analysis, that specific consideration of effects in the environment </w:t>
      </w:r>
      <w:r w:rsidR="003B354D">
        <w:t>is not</w:t>
      </w:r>
      <w:r w:rsidR="00FD6935" w:rsidRPr="003B354D">
        <w:t xml:space="preserve"> </w:t>
      </w:r>
      <w:r w:rsidR="00893FFC" w:rsidRPr="003B354D">
        <w:t>necessary</w:t>
      </w:r>
      <w:r w:rsidR="00FD6935" w:rsidRPr="003B354D">
        <w:t xml:space="preserve">. This may not be the case in all situations and </w:t>
      </w:r>
      <w:r w:rsidR="00CF3F98" w:rsidRPr="003B354D">
        <w:rPr>
          <w:lang w:val="en-AU"/>
        </w:rPr>
        <w:t xml:space="preserve">the explicit consideration of protection of the environment may be </w:t>
      </w:r>
      <w:r w:rsidR="00FD6935" w:rsidRPr="003B354D">
        <w:rPr>
          <w:lang w:val="en-AU"/>
        </w:rPr>
        <w:t xml:space="preserve">required by the regulatory body. </w:t>
      </w:r>
      <w:r w:rsidR="001F0334" w:rsidRPr="003B354D">
        <w:rPr>
          <w:lang w:val="en-AU"/>
        </w:rPr>
        <w:t xml:space="preserve"> </w:t>
      </w:r>
      <w:r w:rsidR="00FD6935" w:rsidRPr="003B354D">
        <w:rPr>
          <w:lang w:val="en-AU"/>
        </w:rPr>
        <w:t xml:space="preserve">In </w:t>
      </w:r>
      <w:r w:rsidR="001F0334" w:rsidRPr="003B354D">
        <w:rPr>
          <w:lang w:val="en-AU"/>
        </w:rPr>
        <w:t xml:space="preserve">other cases, </w:t>
      </w:r>
      <w:r w:rsidR="00A27F0F" w:rsidRPr="00982E71">
        <w:rPr>
          <w:lang w:val="en-AU"/>
        </w:rPr>
        <w:t xml:space="preserve">explicit consideration of protection of the environment </w:t>
      </w:r>
      <w:r w:rsidR="00CF3F98" w:rsidRPr="003B354D">
        <w:rPr>
          <w:lang w:val="en-AU"/>
        </w:rPr>
        <w:t xml:space="preserve">is captured in national legislation. </w:t>
      </w:r>
      <w:r w:rsidR="00066DD7" w:rsidRPr="003B354D">
        <w:t>A methodology for the explicit assessment of the radiation impacts on flora and fauna</w:t>
      </w:r>
      <w:r w:rsidR="00153A87" w:rsidRPr="003B354D">
        <w:t>,</w:t>
      </w:r>
      <w:r w:rsidR="00066DD7" w:rsidRPr="003B354D">
        <w:t xml:space="preserve"> which can be used </w:t>
      </w:r>
      <w:r w:rsidR="00A57A35" w:rsidRPr="003B354D">
        <w:t>in accordance with</w:t>
      </w:r>
      <w:r w:rsidR="00066DD7" w:rsidRPr="003B354D">
        <w:t xml:space="preserve"> national or international regulatory frameworks</w:t>
      </w:r>
      <w:r w:rsidR="00A57A35" w:rsidRPr="003B354D">
        <w:t xml:space="preserve"> for protection of the environment</w:t>
      </w:r>
      <w:r w:rsidR="00153A87" w:rsidRPr="003B354D">
        <w:t>,</w:t>
      </w:r>
      <w:r w:rsidR="00066DD7" w:rsidRPr="003B354D">
        <w:t xml:space="preserve"> is presented </w:t>
      </w:r>
      <w:r w:rsidR="00915641" w:rsidRPr="003B354D">
        <w:t xml:space="preserve">as an example </w:t>
      </w:r>
      <w:r w:rsidR="00066DD7" w:rsidRPr="003B354D">
        <w:t>in Annex I.</w:t>
      </w:r>
    </w:p>
    <w:p w:rsidR="00F902AA" w:rsidRPr="00563971" w:rsidRDefault="001E1D6E" w:rsidP="00A57A35">
      <w:pPr>
        <w:pStyle w:val="Heading4"/>
        <w:ind w:left="0"/>
      </w:pPr>
      <w:r w:rsidRPr="00563971">
        <w:t xml:space="preserve">This Safety Guide does not </w:t>
      </w:r>
      <w:r w:rsidR="00F469C7" w:rsidRPr="00563971">
        <w:t xml:space="preserve">address </w:t>
      </w:r>
      <w:r w:rsidR="00AF5E72" w:rsidRPr="00563971">
        <w:t xml:space="preserve">the process of </w:t>
      </w:r>
      <w:r w:rsidR="00F902AA" w:rsidRPr="00563971">
        <w:t>‘</w:t>
      </w:r>
      <w:r w:rsidR="00AF5E72" w:rsidRPr="00563971">
        <w:t xml:space="preserve">iteration and </w:t>
      </w:r>
      <w:r w:rsidR="00400C23" w:rsidRPr="00563971">
        <w:t>design</w:t>
      </w:r>
      <w:r w:rsidR="00BC6242" w:rsidRPr="00563971">
        <w:t xml:space="preserve"> </w:t>
      </w:r>
      <w:r w:rsidR="00AF5E72" w:rsidRPr="00563971">
        <w:t>optimization</w:t>
      </w:r>
      <w:r w:rsidR="00F902AA" w:rsidRPr="00563971">
        <w:t>’</w:t>
      </w:r>
      <w:r w:rsidR="00400C23" w:rsidRPr="00563971">
        <w:t xml:space="preserve">, which </w:t>
      </w:r>
      <w:r w:rsidRPr="00563971">
        <w:t>is</w:t>
      </w:r>
      <w:r w:rsidR="00AF5E72" w:rsidRPr="00563971">
        <w:t xml:space="preserve"> normally conducted within the </w:t>
      </w:r>
      <w:r w:rsidR="00822E50" w:rsidRPr="00563971">
        <w:t xml:space="preserve">framework </w:t>
      </w:r>
      <w:r w:rsidR="00980068" w:rsidRPr="00563971">
        <w:t>of</w:t>
      </w:r>
      <w:r w:rsidR="00822E50" w:rsidRPr="00563971">
        <w:t xml:space="preserve"> </w:t>
      </w:r>
      <w:r w:rsidR="00BC6242" w:rsidRPr="00563971">
        <w:t xml:space="preserve">a </w:t>
      </w:r>
      <w:r w:rsidR="00AF5E72" w:rsidRPr="00563971">
        <w:t xml:space="preserve">safety assessment </w:t>
      </w:r>
      <w:r w:rsidR="00980068" w:rsidRPr="00563971">
        <w:t xml:space="preserve">for </w:t>
      </w:r>
      <w:r w:rsidR="00BC6242" w:rsidRPr="00563971">
        <w:t xml:space="preserve">the </w:t>
      </w:r>
      <w:r w:rsidR="00980068" w:rsidRPr="00563971">
        <w:t xml:space="preserve">predisposal management of radioactive waste </w:t>
      </w:r>
      <w:r w:rsidR="00400C23" w:rsidRPr="00563971">
        <w:t>[</w:t>
      </w:r>
      <w:r w:rsidR="00980068" w:rsidRPr="00563971">
        <w:t>1</w:t>
      </w:r>
      <w:r w:rsidR="004557F6" w:rsidRPr="00563971">
        <w:t>3</w:t>
      </w:r>
      <w:r w:rsidR="00400C23" w:rsidRPr="00563971">
        <w:t>]</w:t>
      </w:r>
      <w:r w:rsidR="00F902AA" w:rsidRPr="00563971">
        <w:t>; however</w:t>
      </w:r>
      <w:r w:rsidR="00400C23" w:rsidRPr="00563971">
        <w:t xml:space="preserve"> </w:t>
      </w:r>
      <w:r w:rsidR="00822E50" w:rsidRPr="00563971">
        <w:t xml:space="preserve">a </w:t>
      </w:r>
      <w:r w:rsidR="00F902AA" w:rsidRPr="00563971">
        <w:t xml:space="preserve">radiological environmental impact assessment as described in this Safety Guide </w:t>
      </w:r>
      <w:r w:rsidR="00CA5AB9" w:rsidRPr="00563971">
        <w:t xml:space="preserve">may </w:t>
      </w:r>
      <w:r w:rsidR="00F902AA" w:rsidRPr="00563971">
        <w:t xml:space="preserve">serve </w:t>
      </w:r>
      <w:r w:rsidR="00921829" w:rsidRPr="00563971">
        <w:t xml:space="preserve">as an input for </w:t>
      </w:r>
      <w:r w:rsidR="00F902AA" w:rsidRPr="00563971">
        <w:t xml:space="preserve">that </w:t>
      </w:r>
      <w:r w:rsidR="00CD527D" w:rsidRPr="00563971">
        <w:t xml:space="preserve">process. </w:t>
      </w:r>
    </w:p>
    <w:p w:rsidR="009E1641" w:rsidRPr="00C9026A" w:rsidRDefault="001E1D6E" w:rsidP="00A57A35">
      <w:pPr>
        <w:pStyle w:val="Heading4"/>
        <w:ind w:left="0"/>
      </w:pPr>
      <w:r w:rsidRPr="00563971">
        <w:t>Optimi</w:t>
      </w:r>
      <w:r w:rsidR="00153A87" w:rsidRPr="00563971">
        <w:t>z</w:t>
      </w:r>
      <w:r w:rsidRPr="00563971">
        <w:t>ation</w:t>
      </w:r>
      <w:r w:rsidR="00400C23" w:rsidRPr="00563971">
        <w:t xml:space="preserve"> </w:t>
      </w:r>
      <w:r w:rsidR="00F902AA" w:rsidRPr="00563971">
        <w:t xml:space="preserve">of </w:t>
      </w:r>
      <w:r w:rsidR="003C5CC1" w:rsidRPr="00563971">
        <w:t xml:space="preserve">protection and </w:t>
      </w:r>
      <w:r w:rsidR="00F902AA" w:rsidRPr="00563971">
        <w:t xml:space="preserve">safety </w:t>
      </w:r>
      <w:r w:rsidR="00A0397D" w:rsidRPr="00563971">
        <w:t xml:space="preserve">is required </w:t>
      </w:r>
      <w:r w:rsidR="00400C23" w:rsidRPr="00563971">
        <w:t>in G</w:t>
      </w:r>
      <w:r w:rsidR="00D34DBD" w:rsidRPr="00563971">
        <w:t>S</w:t>
      </w:r>
      <w:r w:rsidR="00400C23" w:rsidRPr="00563971">
        <w:t>R Part 3</w:t>
      </w:r>
      <w:r w:rsidR="00231A36" w:rsidRPr="00563971">
        <w:t xml:space="preserve"> [1]</w:t>
      </w:r>
      <w:r w:rsidR="00C95E06" w:rsidRPr="00563971">
        <w:t>; th</w:t>
      </w:r>
      <w:r w:rsidR="00066DD7" w:rsidRPr="00563971">
        <w:t>e optimization</w:t>
      </w:r>
      <w:r w:rsidR="00066DD7">
        <w:t xml:space="preserve"> process</w:t>
      </w:r>
      <w:r w:rsidRPr="00C9026A">
        <w:t xml:space="preserve"> </w:t>
      </w:r>
      <w:r w:rsidR="00400C23" w:rsidRPr="00C9026A">
        <w:t xml:space="preserve">includes </w:t>
      </w:r>
      <w:r w:rsidR="009E1641" w:rsidRPr="00C9026A">
        <w:t>not only</w:t>
      </w:r>
      <w:r w:rsidR="00A0397D">
        <w:t xml:space="preserve"> consideration o</w:t>
      </w:r>
      <w:r w:rsidR="00153A87">
        <w:t>f</w:t>
      </w:r>
      <w:r w:rsidR="00A0397D">
        <w:t xml:space="preserve"> the</w:t>
      </w:r>
      <w:r w:rsidR="009E1641" w:rsidRPr="00C9026A">
        <w:t xml:space="preserve"> protection of the public</w:t>
      </w:r>
      <w:r w:rsidR="00C95E06">
        <w:t>,</w:t>
      </w:r>
      <w:r w:rsidR="009E1641" w:rsidRPr="00C9026A">
        <w:t xml:space="preserve"> but</w:t>
      </w:r>
      <w:r w:rsidR="00C95E06">
        <w:t xml:space="preserve"> also</w:t>
      </w:r>
      <w:r w:rsidR="00A0397D">
        <w:t xml:space="preserve"> </w:t>
      </w:r>
      <w:r w:rsidR="00822E50">
        <w:t xml:space="preserve">consideration </w:t>
      </w:r>
      <w:r w:rsidR="00A0397D">
        <w:t>o</w:t>
      </w:r>
      <w:r w:rsidR="00153A87">
        <w:t>f</w:t>
      </w:r>
      <w:r w:rsidR="00A0397D">
        <w:t xml:space="preserve"> </w:t>
      </w:r>
      <w:r w:rsidR="00A0397D" w:rsidRPr="00C9026A">
        <w:t>the protection of workers</w:t>
      </w:r>
      <w:r w:rsidR="00A0397D">
        <w:t xml:space="preserve"> and </w:t>
      </w:r>
      <w:r w:rsidR="00C95E06">
        <w:t xml:space="preserve">all </w:t>
      </w:r>
      <w:r w:rsidR="009E1641" w:rsidRPr="00C9026A">
        <w:t xml:space="preserve">the </w:t>
      </w:r>
      <w:r w:rsidR="00400C23" w:rsidRPr="00C9026A">
        <w:t>safety</w:t>
      </w:r>
      <w:r w:rsidR="009E1641" w:rsidRPr="00C9026A">
        <w:t xml:space="preserve"> features of the facility or activity</w:t>
      </w:r>
      <w:r w:rsidR="003C5CC1">
        <w:t xml:space="preserve">, </w:t>
      </w:r>
      <w:r w:rsidR="00822E50">
        <w:t>such as</w:t>
      </w:r>
      <w:r w:rsidR="003C5CC1">
        <w:t xml:space="preserve"> those related to the </w:t>
      </w:r>
      <w:r w:rsidR="00AC2ADF">
        <w:t xml:space="preserve">on-site </w:t>
      </w:r>
      <w:r w:rsidR="003C5CC1">
        <w:t>management of radioactive waste.</w:t>
      </w:r>
      <w:r w:rsidR="00FB0A84">
        <w:t xml:space="preserve"> </w:t>
      </w:r>
      <w:r w:rsidR="00A0397D">
        <w:t xml:space="preserve">This </w:t>
      </w:r>
      <w:r w:rsidR="00400C23" w:rsidRPr="00C9026A">
        <w:t>Safety Guide covers</w:t>
      </w:r>
      <w:r w:rsidR="00A0397D">
        <w:t xml:space="preserve"> the assessment of the </w:t>
      </w:r>
      <w:r w:rsidR="00822E50">
        <w:t>exposure</w:t>
      </w:r>
      <w:r w:rsidR="00A0397D">
        <w:t xml:space="preserve"> of the</w:t>
      </w:r>
      <w:r w:rsidR="00400C23" w:rsidRPr="00C9026A">
        <w:t xml:space="preserve"> public</w:t>
      </w:r>
      <w:r w:rsidR="00822E50">
        <w:t xml:space="preserve"> only</w:t>
      </w:r>
      <w:r w:rsidR="00306C6E">
        <w:t>. The</w:t>
      </w:r>
      <w:r w:rsidR="003C5CC1">
        <w:t xml:space="preserve"> wider aspects of </w:t>
      </w:r>
      <w:r w:rsidR="00A0397D">
        <w:t>optimization</w:t>
      </w:r>
      <w:r w:rsidR="000B557B">
        <w:t xml:space="preserve"> of protection and safety</w:t>
      </w:r>
      <w:r w:rsidR="00A0397D">
        <w:t xml:space="preserve"> </w:t>
      </w:r>
      <w:r w:rsidR="003C5CC1">
        <w:t>are</w:t>
      </w:r>
      <w:r w:rsidR="00A0397D">
        <w:t xml:space="preserve"> covered in other</w:t>
      </w:r>
      <w:r w:rsidR="000B557B">
        <w:t xml:space="preserve"> IAEA Safety Standards</w:t>
      </w:r>
      <w:r w:rsidR="00306C6E">
        <w:t xml:space="preserve">, for example in </w:t>
      </w:r>
      <w:r w:rsidR="00066DD7">
        <w:t>GSG-3</w:t>
      </w:r>
      <w:r w:rsidR="000B557B">
        <w:t xml:space="preserve"> [</w:t>
      </w:r>
      <w:r w:rsidR="00BC6242">
        <w:t>1</w:t>
      </w:r>
      <w:r w:rsidR="004557F6">
        <w:t>3</w:t>
      </w:r>
      <w:r w:rsidR="000B557B">
        <w:t>]</w:t>
      </w:r>
      <w:r w:rsidR="00306C6E">
        <w:t xml:space="preserve"> on predisposal management of radioactive waste</w:t>
      </w:r>
      <w:r w:rsidR="004E31DB">
        <w:t xml:space="preserve">. </w:t>
      </w:r>
      <w:r w:rsidR="00380FCF">
        <w:t>O</w:t>
      </w:r>
      <w:r w:rsidR="00400C23" w:rsidRPr="00C9026A">
        <w:t xml:space="preserve">ptimization of the protection of </w:t>
      </w:r>
      <w:r w:rsidR="00E919B1">
        <w:t xml:space="preserve">the </w:t>
      </w:r>
      <w:r w:rsidR="00400C23" w:rsidRPr="00C9026A">
        <w:t xml:space="preserve">public in </w:t>
      </w:r>
      <w:r w:rsidR="00F902AA" w:rsidRPr="00C9026A">
        <w:t>connection</w:t>
      </w:r>
      <w:r w:rsidR="00400C23" w:rsidRPr="00C9026A">
        <w:t xml:space="preserve"> with the establishment of </w:t>
      </w:r>
      <w:r w:rsidR="003C5CC1">
        <w:t xml:space="preserve">radioactive </w:t>
      </w:r>
      <w:r w:rsidR="00400C23" w:rsidRPr="00C9026A">
        <w:t>discharge limits</w:t>
      </w:r>
      <w:r w:rsidR="005D0FD8" w:rsidRPr="00C9026A">
        <w:t xml:space="preserve"> for facilities and activities</w:t>
      </w:r>
      <w:r w:rsidR="00400C23" w:rsidRPr="00C9026A">
        <w:t xml:space="preserve"> is </w:t>
      </w:r>
      <w:r w:rsidR="00822E50">
        <w:lastRenderedPageBreak/>
        <w:t>described</w:t>
      </w:r>
      <w:r w:rsidR="00822E50" w:rsidRPr="00C9026A">
        <w:t xml:space="preserve"> </w:t>
      </w:r>
      <w:r w:rsidR="00400C23" w:rsidRPr="00C9026A">
        <w:t xml:space="preserve">in </w:t>
      </w:r>
      <w:r w:rsidR="00066DD7">
        <w:t>D</w:t>
      </w:r>
      <w:r w:rsidR="00126111">
        <w:t>S442</w:t>
      </w:r>
      <w:r w:rsidR="00066DD7">
        <w:t xml:space="preserve"> </w:t>
      </w:r>
      <w:r w:rsidR="00400C23" w:rsidRPr="00C9026A">
        <w:t>[</w:t>
      </w:r>
      <w:r w:rsidR="00160469">
        <w:t>9</w:t>
      </w:r>
      <w:r w:rsidR="00F902AA" w:rsidRPr="00C9026A">
        <w:t>]</w:t>
      </w:r>
      <w:r w:rsidR="000B557B">
        <w:t>. T</w:t>
      </w:r>
      <w:r w:rsidR="009E1641" w:rsidRPr="00C9026A">
        <w:t>he result of</w:t>
      </w:r>
      <w:r w:rsidR="005D0FD8" w:rsidRPr="00C9026A">
        <w:t xml:space="preserve"> a radiological environmental impact assessment</w:t>
      </w:r>
      <w:r w:rsidR="009E1641" w:rsidRPr="00C9026A">
        <w:t>,</w:t>
      </w:r>
      <w:r w:rsidR="005D0FD8" w:rsidRPr="00C9026A">
        <w:t xml:space="preserve"> as described in </w:t>
      </w:r>
      <w:r w:rsidR="00514987">
        <w:t>this</w:t>
      </w:r>
      <w:r w:rsidR="005D0FD8" w:rsidRPr="00C9026A">
        <w:t xml:space="preserve"> Safety Guide</w:t>
      </w:r>
      <w:r w:rsidR="009E1641" w:rsidRPr="00C9026A">
        <w:t>,</w:t>
      </w:r>
      <w:r w:rsidR="005D0FD8" w:rsidRPr="00C9026A">
        <w:t xml:space="preserve"> is a</w:t>
      </w:r>
      <w:r w:rsidR="009E1641" w:rsidRPr="00C9026A">
        <w:t xml:space="preserve"> necessary</w:t>
      </w:r>
      <w:r w:rsidR="005D0FD8" w:rsidRPr="00C9026A">
        <w:t xml:space="preserve"> input </w:t>
      </w:r>
      <w:r w:rsidR="003C5CC1">
        <w:t xml:space="preserve">to </w:t>
      </w:r>
      <w:r w:rsidR="005D0FD8" w:rsidRPr="00C9026A">
        <w:t xml:space="preserve">the </w:t>
      </w:r>
      <w:r w:rsidR="003C5CC1">
        <w:t xml:space="preserve">optimization process </w:t>
      </w:r>
      <w:r w:rsidR="00822E50">
        <w:t>to be used</w:t>
      </w:r>
      <w:r w:rsidR="005D0FD8" w:rsidRPr="00C9026A">
        <w:t xml:space="preserve"> </w:t>
      </w:r>
      <w:r w:rsidR="009E1641" w:rsidRPr="00C9026A">
        <w:t>for</w:t>
      </w:r>
      <w:r w:rsidR="005D0FD8" w:rsidRPr="00C9026A">
        <w:t xml:space="preserve"> establish</w:t>
      </w:r>
      <w:r w:rsidR="009E1641" w:rsidRPr="00C9026A">
        <w:t>ing</w:t>
      </w:r>
      <w:r w:rsidR="005D0FD8" w:rsidRPr="00C9026A">
        <w:t xml:space="preserve"> discharge limits.</w:t>
      </w:r>
    </w:p>
    <w:p w:rsidR="00584512" w:rsidRPr="00C9026A" w:rsidRDefault="00D6386B" w:rsidP="00A57A35">
      <w:pPr>
        <w:pStyle w:val="Heading4"/>
        <w:ind w:left="0"/>
      </w:pPr>
      <w:r w:rsidRPr="00C9026A">
        <w:t>The possible</w:t>
      </w:r>
      <w:r w:rsidR="007E3B51">
        <w:t xml:space="preserve"> </w:t>
      </w:r>
      <w:r w:rsidRPr="00C9026A">
        <w:t>n</w:t>
      </w:r>
      <w:r w:rsidR="00584512" w:rsidRPr="00C9026A">
        <w:t>on-radiological impacts of facilities and activities</w:t>
      </w:r>
      <w:r w:rsidR="00C6773A" w:rsidRPr="00C9026A">
        <w:t>,</w:t>
      </w:r>
      <w:r w:rsidR="004D755C" w:rsidRPr="00C9026A">
        <w:t xml:space="preserve"> which are generally included in an </w:t>
      </w:r>
      <w:r w:rsidR="00514987">
        <w:t>environmental impact assessment</w:t>
      </w:r>
      <w:r w:rsidR="004D755C" w:rsidRPr="00C9026A">
        <w:t xml:space="preserve">, </w:t>
      </w:r>
      <w:r w:rsidR="00584512" w:rsidRPr="00C9026A">
        <w:t xml:space="preserve">such as the impacts on </w:t>
      </w:r>
      <w:r w:rsidR="00DB1905" w:rsidRPr="00C9026A">
        <w:t xml:space="preserve"> </w:t>
      </w:r>
      <w:r w:rsidR="00141712">
        <w:t xml:space="preserve">people and the </w:t>
      </w:r>
      <w:r w:rsidR="00584512" w:rsidRPr="00C9026A">
        <w:t xml:space="preserve">environment </w:t>
      </w:r>
      <w:r w:rsidR="00AB7A26" w:rsidRPr="00C9026A">
        <w:t xml:space="preserve">from </w:t>
      </w:r>
      <w:r w:rsidR="00141712">
        <w:t>releases</w:t>
      </w:r>
      <w:r w:rsidR="00141712" w:rsidRPr="00C9026A">
        <w:t xml:space="preserve"> </w:t>
      </w:r>
      <w:r w:rsidR="00AB7A26" w:rsidRPr="00C9026A">
        <w:t>of other hazardous substances (i.e. chemicals and heated water</w:t>
      </w:r>
      <w:r w:rsidR="007E3B51">
        <w:t>)</w:t>
      </w:r>
      <w:r w:rsidR="00AB7A26" w:rsidRPr="00C9026A">
        <w:t xml:space="preserve">, </w:t>
      </w:r>
      <w:r w:rsidR="00141712">
        <w:t xml:space="preserve">the </w:t>
      </w:r>
      <w:r w:rsidR="007E3B51">
        <w:t>impacts</w:t>
      </w:r>
      <w:r w:rsidR="00AB7A26" w:rsidRPr="00C9026A">
        <w:t xml:space="preserve"> </w:t>
      </w:r>
      <w:r w:rsidR="007E3B51">
        <w:t>from</w:t>
      </w:r>
      <w:r w:rsidR="00584512" w:rsidRPr="00C9026A">
        <w:t xml:space="preserve"> the construction of a facility, </w:t>
      </w:r>
      <w:r w:rsidR="00141712">
        <w:t xml:space="preserve">the </w:t>
      </w:r>
      <w:r w:rsidR="00584512" w:rsidRPr="00C9026A">
        <w:t xml:space="preserve">impacts on </w:t>
      </w:r>
      <w:r w:rsidR="00DB1905">
        <w:t>places</w:t>
      </w:r>
      <w:r w:rsidR="00273EA0">
        <w:t xml:space="preserve"> of societal significance</w:t>
      </w:r>
      <w:r w:rsidRPr="00C9026A">
        <w:t xml:space="preserve"> </w:t>
      </w:r>
      <w:r w:rsidR="007E3B51">
        <w:t xml:space="preserve">(i.e. </w:t>
      </w:r>
      <w:r w:rsidR="00584512" w:rsidRPr="00C9026A">
        <w:t>historic</w:t>
      </w:r>
      <w:r w:rsidR="00273EA0">
        <w:t>al</w:t>
      </w:r>
      <w:r w:rsidR="00584512" w:rsidRPr="00C9026A">
        <w:t xml:space="preserve"> monuments and cultural places</w:t>
      </w:r>
      <w:r w:rsidR="007E3B51">
        <w:t xml:space="preserve">), </w:t>
      </w:r>
      <w:r w:rsidR="00141712">
        <w:t xml:space="preserve">the </w:t>
      </w:r>
      <w:r w:rsidRPr="00C9026A">
        <w:t xml:space="preserve">impacts </w:t>
      </w:r>
      <w:r w:rsidR="00584512" w:rsidRPr="00C9026A">
        <w:t xml:space="preserve">on </w:t>
      </w:r>
      <w:r w:rsidR="000F5348" w:rsidRPr="00C9026A">
        <w:t>endangered species</w:t>
      </w:r>
      <w:r w:rsidR="007E3B51">
        <w:t>,</w:t>
      </w:r>
      <w:r w:rsidR="00141712">
        <w:t xml:space="preserve"> the</w:t>
      </w:r>
      <w:r w:rsidR="007E3B51">
        <w:t xml:space="preserve"> impacts on</w:t>
      </w:r>
      <w:r w:rsidR="000F5348" w:rsidRPr="00C9026A">
        <w:t xml:space="preserve"> </w:t>
      </w:r>
      <w:r w:rsidR="00584512" w:rsidRPr="00C9026A">
        <w:t xml:space="preserve">the landscape, </w:t>
      </w:r>
      <w:r w:rsidRPr="00C9026A">
        <w:t xml:space="preserve">as </w:t>
      </w:r>
      <w:r w:rsidR="00584512" w:rsidRPr="00C9026A">
        <w:t xml:space="preserve">well as </w:t>
      </w:r>
      <w:r w:rsidR="000F5348" w:rsidRPr="00C9026A">
        <w:t xml:space="preserve">other </w:t>
      </w:r>
      <w:r w:rsidR="00DB1905" w:rsidRPr="00C9026A">
        <w:t>soci</w:t>
      </w:r>
      <w:r w:rsidR="00DB1905">
        <w:t>et</w:t>
      </w:r>
      <w:r w:rsidR="00DB1905" w:rsidRPr="00C9026A">
        <w:t>al and economic</w:t>
      </w:r>
      <w:r w:rsidR="00DB1905">
        <w:t xml:space="preserve"> </w:t>
      </w:r>
      <w:r w:rsidR="00F44340">
        <w:t>factors</w:t>
      </w:r>
      <w:r w:rsidR="00584512" w:rsidRPr="00C9026A">
        <w:t>, are not considered in th</w:t>
      </w:r>
      <w:r w:rsidR="00126111">
        <w:t>is</w:t>
      </w:r>
      <w:r w:rsidR="00403CA6">
        <w:t xml:space="preserve"> </w:t>
      </w:r>
      <w:r w:rsidR="00584512" w:rsidRPr="00C9026A">
        <w:t>Safety Guide</w:t>
      </w:r>
      <w:r w:rsidR="00F44340">
        <w:t xml:space="preserve"> but should be considered</w:t>
      </w:r>
      <w:r w:rsidR="00201B8B">
        <w:t xml:space="preserve"> by States</w:t>
      </w:r>
      <w:r w:rsidR="00F44340">
        <w:t xml:space="preserve"> at the time of making relevant decisions</w:t>
      </w:r>
      <w:r w:rsidR="00584512" w:rsidRPr="00C9026A">
        <w:t>.</w:t>
      </w:r>
    </w:p>
    <w:p w:rsidR="002F6ABF" w:rsidRPr="00C9026A" w:rsidRDefault="00A005C9" w:rsidP="00A57A35">
      <w:pPr>
        <w:pStyle w:val="Heading2"/>
        <w:rPr>
          <w:lang w:val="en-GB"/>
        </w:rPr>
      </w:pPr>
      <w:bookmarkStart w:id="9" w:name="_Toc447613460"/>
      <w:bookmarkStart w:id="10" w:name="_Toc450203983"/>
      <w:r w:rsidRPr="00C9026A">
        <w:rPr>
          <w:lang w:val="en-GB"/>
        </w:rPr>
        <w:t>Structure</w:t>
      </w:r>
      <w:bookmarkEnd w:id="9"/>
      <w:bookmarkEnd w:id="10"/>
    </w:p>
    <w:p w:rsidR="00BD0D6A" w:rsidRDefault="002F6ABF" w:rsidP="00A57A35">
      <w:pPr>
        <w:pStyle w:val="Heading4"/>
        <w:ind w:left="0"/>
      </w:pPr>
      <w:r w:rsidRPr="00C9026A">
        <w:t xml:space="preserve">Section 2 </w:t>
      </w:r>
      <w:r w:rsidR="00DB1905">
        <w:t>provides</w:t>
      </w:r>
      <w:r w:rsidR="00DB1905" w:rsidRPr="00C9026A">
        <w:t xml:space="preserve"> </w:t>
      </w:r>
      <w:r w:rsidRPr="00C9026A">
        <w:t xml:space="preserve">explanations of the main </w:t>
      </w:r>
      <w:r w:rsidR="00563DB8" w:rsidRPr="00C9026A">
        <w:t xml:space="preserve">concepts and </w:t>
      </w:r>
      <w:r w:rsidRPr="00C9026A">
        <w:t xml:space="preserve">terms used in the Safety Guide. Section 3 </w:t>
      </w:r>
      <w:r w:rsidR="00FF404D">
        <w:t>presents</w:t>
      </w:r>
      <w:r w:rsidRPr="00C9026A">
        <w:t xml:space="preserve"> the </w:t>
      </w:r>
      <w:r w:rsidR="00563DB8" w:rsidRPr="00C9026A">
        <w:t xml:space="preserve">safety </w:t>
      </w:r>
      <w:r w:rsidRPr="00C9026A">
        <w:t xml:space="preserve">requirements </w:t>
      </w:r>
      <w:r w:rsidR="00FF404D">
        <w:t xml:space="preserve">for </w:t>
      </w:r>
      <w:r w:rsidR="00DB1905">
        <w:t xml:space="preserve">the </w:t>
      </w:r>
      <w:r w:rsidR="00FF404D">
        <w:t xml:space="preserve">government, </w:t>
      </w:r>
      <w:r w:rsidR="00273EA0">
        <w:t xml:space="preserve">the </w:t>
      </w:r>
      <w:r w:rsidR="00FF404D">
        <w:t>regulatory bod</w:t>
      </w:r>
      <w:r w:rsidR="00273EA0">
        <w:t>y</w:t>
      </w:r>
      <w:r w:rsidR="00FF404D">
        <w:t xml:space="preserve"> and licensees </w:t>
      </w:r>
      <w:r w:rsidRPr="00C9026A">
        <w:t>relat</w:t>
      </w:r>
      <w:r w:rsidR="00DB1905">
        <w:t>ing</w:t>
      </w:r>
      <w:r w:rsidRPr="00C9026A">
        <w:t xml:space="preserve"> to </w:t>
      </w:r>
      <w:r w:rsidR="00886EF8" w:rsidRPr="00C9026A">
        <w:t>prospective radiological environmental impact</w:t>
      </w:r>
      <w:r w:rsidR="00F20F9D" w:rsidRPr="00C9026A">
        <w:t xml:space="preserve"> assessment</w:t>
      </w:r>
      <w:r w:rsidRPr="00C9026A">
        <w:t xml:space="preserve">. </w:t>
      </w:r>
      <w:r w:rsidR="008D4A72" w:rsidRPr="00C9026A">
        <w:t xml:space="preserve">Section </w:t>
      </w:r>
      <w:r w:rsidR="00D801C9" w:rsidRPr="00C9026A">
        <w:t>4</w:t>
      </w:r>
      <w:r w:rsidR="008D4A72" w:rsidRPr="00C9026A">
        <w:t xml:space="preserve"> </w:t>
      </w:r>
      <w:r w:rsidR="00F469C7">
        <w:t>describes</w:t>
      </w:r>
      <w:r w:rsidR="00F469C7" w:rsidRPr="00C9026A">
        <w:t xml:space="preserve"> </w:t>
      </w:r>
      <w:r w:rsidRPr="00C9026A">
        <w:t xml:space="preserve">the </w:t>
      </w:r>
      <w:r w:rsidR="008D4A72" w:rsidRPr="00C9026A">
        <w:t>framework</w:t>
      </w:r>
      <w:r w:rsidRPr="00C9026A">
        <w:t xml:space="preserve"> in which </w:t>
      </w:r>
      <w:r w:rsidR="00886EF8" w:rsidRPr="00C9026A">
        <w:t>such assessments</w:t>
      </w:r>
      <w:r w:rsidR="00F20F9D" w:rsidRPr="00C9026A">
        <w:t xml:space="preserve"> are</w:t>
      </w:r>
      <w:r w:rsidRPr="00C9026A">
        <w:t xml:space="preserve"> done.</w:t>
      </w:r>
      <w:r w:rsidR="00C4017F" w:rsidRPr="00C9026A">
        <w:t xml:space="preserve"> </w:t>
      </w:r>
      <w:r w:rsidRPr="00C9026A">
        <w:t>Section</w:t>
      </w:r>
      <w:r w:rsidR="007807FF" w:rsidRPr="00C9026A">
        <w:t> </w:t>
      </w:r>
      <w:r w:rsidR="00D801C9" w:rsidRPr="00C9026A">
        <w:t>5</w:t>
      </w:r>
      <w:r w:rsidRPr="00C9026A">
        <w:t xml:space="preserve"> describes the methodology needed to carry out </w:t>
      </w:r>
      <w:r w:rsidR="00273EA0">
        <w:t xml:space="preserve">a </w:t>
      </w:r>
      <w:r w:rsidR="00273EA0" w:rsidRPr="00C9026A">
        <w:t xml:space="preserve">prospective radiological environmental impact </w:t>
      </w:r>
      <w:r w:rsidR="00F20F9D" w:rsidRPr="00C9026A">
        <w:t xml:space="preserve">assessment for protection of the public </w:t>
      </w:r>
      <w:r w:rsidRPr="00C9026A">
        <w:t>for normal oper</w:t>
      </w:r>
      <w:r w:rsidR="006F1000" w:rsidRPr="00C9026A">
        <w:t xml:space="preserve">ation and </w:t>
      </w:r>
      <w:r w:rsidR="003A35C7" w:rsidRPr="00C9026A">
        <w:t>for</w:t>
      </w:r>
      <w:r w:rsidR="00384B53" w:rsidRPr="00C9026A">
        <w:t xml:space="preserve"> </w:t>
      </w:r>
      <w:r w:rsidR="006F1000" w:rsidRPr="00C9026A">
        <w:t>potential exposures</w:t>
      </w:r>
      <w:r w:rsidR="00752B60">
        <w:t>,</w:t>
      </w:r>
      <w:r w:rsidR="00886EF8" w:rsidRPr="00C9026A">
        <w:t xml:space="preserve"> and </w:t>
      </w:r>
      <w:r w:rsidR="00273EA0">
        <w:t>addresses</w:t>
      </w:r>
      <w:r w:rsidR="00273EA0" w:rsidRPr="00C9026A">
        <w:t xml:space="preserve"> </w:t>
      </w:r>
      <w:r w:rsidR="00886EF8" w:rsidRPr="00C9026A">
        <w:t>the protection of the environment</w:t>
      </w:r>
      <w:r w:rsidR="006F1000" w:rsidRPr="00C9026A">
        <w:t>.</w:t>
      </w:r>
      <w:r w:rsidR="0097004A" w:rsidRPr="00C9026A">
        <w:t xml:space="preserve"> </w:t>
      </w:r>
      <w:r w:rsidR="00985967">
        <w:t xml:space="preserve">The </w:t>
      </w:r>
      <w:r w:rsidR="0097004A" w:rsidRPr="00C9026A">
        <w:t xml:space="preserve">Appendix presents </w:t>
      </w:r>
      <w:r w:rsidR="00A704BC" w:rsidRPr="00C9026A">
        <w:t xml:space="preserve">risk </w:t>
      </w:r>
      <w:r w:rsidR="0097004A" w:rsidRPr="00C9026A">
        <w:t>criteria</w:t>
      </w:r>
      <w:r w:rsidR="00273EA0">
        <w:t xml:space="preserve"> established</w:t>
      </w:r>
      <w:r w:rsidR="0097004A" w:rsidRPr="00C9026A">
        <w:t xml:space="preserve"> </w:t>
      </w:r>
      <w:r w:rsidR="00C80E2F" w:rsidRPr="00C9026A">
        <w:t xml:space="preserve">by relevant international organizations, </w:t>
      </w:r>
      <w:r w:rsidR="0097004A" w:rsidRPr="00C9026A">
        <w:t>which could be used</w:t>
      </w:r>
      <w:r w:rsidR="00845F8E" w:rsidRPr="00C9026A">
        <w:t xml:space="preserve"> </w:t>
      </w:r>
      <w:r w:rsidR="00C80E2F" w:rsidRPr="00C9026A">
        <w:t xml:space="preserve">as the basis to define national criteria </w:t>
      </w:r>
      <w:r w:rsidR="0097004A" w:rsidRPr="00C9026A">
        <w:t xml:space="preserve">for </w:t>
      </w:r>
      <w:r w:rsidR="003A35C7" w:rsidRPr="00C9026A">
        <w:t xml:space="preserve">consideration of </w:t>
      </w:r>
      <w:r w:rsidR="0097004A" w:rsidRPr="00C9026A">
        <w:t>potential exposure</w:t>
      </w:r>
      <w:r w:rsidR="005841BF" w:rsidRPr="00C9026A">
        <w:t>s</w:t>
      </w:r>
      <w:r w:rsidR="0097004A" w:rsidRPr="00C9026A">
        <w:t xml:space="preserve">. </w:t>
      </w:r>
      <w:r w:rsidR="00886EF8" w:rsidRPr="00C9026A">
        <w:t xml:space="preserve">Annex I presents </w:t>
      </w:r>
      <w:r w:rsidR="00752B60">
        <w:t xml:space="preserve">an example of </w:t>
      </w:r>
      <w:r w:rsidR="00886EF8" w:rsidRPr="00C9026A">
        <w:t xml:space="preserve">a methodology </w:t>
      </w:r>
      <w:r w:rsidR="009809D9">
        <w:t>for</w:t>
      </w:r>
      <w:r w:rsidR="009809D9" w:rsidRPr="00C9026A">
        <w:t xml:space="preserve"> </w:t>
      </w:r>
      <w:r w:rsidR="00C80E2F" w:rsidRPr="00C9026A">
        <w:t>assess</w:t>
      </w:r>
      <w:r w:rsidR="009809D9">
        <w:t>ing</w:t>
      </w:r>
      <w:r w:rsidR="00254569" w:rsidRPr="00C9026A">
        <w:t xml:space="preserve"> </w:t>
      </w:r>
      <w:r w:rsidR="00141712">
        <w:t>and control</w:t>
      </w:r>
      <w:r w:rsidR="009809D9">
        <w:t>ling</w:t>
      </w:r>
      <w:r w:rsidR="00141712">
        <w:t xml:space="preserve"> the </w:t>
      </w:r>
      <w:r w:rsidR="00BB5A4E">
        <w:t>exposures of</w:t>
      </w:r>
      <w:r w:rsidR="00886192" w:rsidRPr="00C9026A">
        <w:t xml:space="preserve"> flora and fauna</w:t>
      </w:r>
      <w:r w:rsidR="00886EF8" w:rsidRPr="00C9026A">
        <w:t>.</w:t>
      </w:r>
      <w:r w:rsidR="00F05638" w:rsidRPr="00C9026A">
        <w:t xml:space="preserve"> Annex II presents</w:t>
      </w:r>
      <w:r w:rsidR="0097004A" w:rsidRPr="00C9026A">
        <w:t xml:space="preserve"> </w:t>
      </w:r>
      <w:r w:rsidR="00F05638" w:rsidRPr="00C9026A">
        <w:t xml:space="preserve">considerations </w:t>
      </w:r>
      <w:r w:rsidR="006C4729">
        <w:t>on</w:t>
      </w:r>
      <w:r w:rsidR="00FF404D">
        <w:t xml:space="preserve"> </w:t>
      </w:r>
      <w:r w:rsidR="00577EF0">
        <w:t xml:space="preserve">the </w:t>
      </w:r>
      <w:r w:rsidR="00FF404D">
        <w:t xml:space="preserve">risk </w:t>
      </w:r>
      <w:r w:rsidR="00577EF0">
        <w:t xml:space="preserve">of health effects </w:t>
      </w:r>
      <w:r w:rsidR="006C4729">
        <w:t>and</w:t>
      </w:r>
      <w:r w:rsidR="00C80E2F" w:rsidRPr="00C9026A">
        <w:t xml:space="preserve"> the</w:t>
      </w:r>
      <w:r w:rsidR="00F05638" w:rsidRPr="00C9026A">
        <w:t xml:space="preserve"> assessment of potential exposure </w:t>
      </w:r>
      <w:r w:rsidR="00590AFA">
        <w:t>of the</w:t>
      </w:r>
      <w:r w:rsidR="00590AFA" w:rsidRPr="00C9026A">
        <w:t xml:space="preserve"> </w:t>
      </w:r>
      <w:r w:rsidR="00F05638" w:rsidRPr="00C9026A">
        <w:t>public</w:t>
      </w:r>
      <w:r w:rsidR="0097004A" w:rsidRPr="00C9026A">
        <w:t>.</w:t>
      </w:r>
    </w:p>
    <w:p w:rsidR="002F6ABF" w:rsidRPr="00BD0D6A" w:rsidRDefault="00BD0D6A" w:rsidP="00BD0D6A">
      <w:pPr>
        <w:pStyle w:val="BodyText"/>
        <w:rPr>
          <w:szCs w:val="28"/>
        </w:rPr>
      </w:pPr>
      <w:r>
        <w:br w:type="page"/>
      </w:r>
    </w:p>
    <w:p w:rsidR="00AC4B9E" w:rsidRPr="00C9026A" w:rsidRDefault="002F6ABF" w:rsidP="00A57A35">
      <w:pPr>
        <w:pStyle w:val="Heading1"/>
        <w:rPr>
          <w:szCs w:val="24"/>
          <w:lang w:val="en-GB"/>
        </w:rPr>
      </w:pPr>
      <w:bookmarkStart w:id="11" w:name="_Toc447613461"/>
      <w:bookmarkStart w:id="12" w:name="_Toc450203984"/>
      <w:r w:rsidRPr="00C9026A">
        <w:rPr>
          <w:szCs w:val="24"/>
          <w:lang w:val="en-GB"/>
        </w:rPr>
        <w:lastRenderedPageBreak/>
        <w:t xml:space="preserve">explanation of </w:t>
      </w:r>
      <w:r w:rsidR="00133D14" w:rsidRPr="00C9026A">
        <w:rPr>
          <w:szCs w:val="24"/>
          <w:lang w:val="en-GB"/>
        </w:rPr>
        <w:t xml:space="preserve">CONCEPTS AND </w:t>
      </w:r>
      <w:r w:rsidRPr="00C9026A">
        <w:rPr>
          <w:szCs w:val="24"/>
          <w:lang w:val="en-GB"/>
        </w:rPr>
        <w:t>terms</w:t>
      </w:r>
      <w:bookmarkEnd w:id="11"/>
      <w:bookmarkEnd w:id="12"/>
    </w:p>
    <w:p w:rsidR="0034659E" w:rsidRPr="00C9026A" w:rsidRDefault="00C80E2F" w:rsidP="00A57A35">
      <w:pPr>
        <w:pStyle w:val="Heading4"/>
        <w:ind w:left="0"/>
      </w:pPr>
      <w:r w:rsidRPr="00C9026A">
        <w:t xml:space="preserve">This </w:t>
      </w:r>
      <w:r w:rsidR="00273EA0">
        <w:t>s</w:t>
      </w:r>
      <w:r w:rsidRPr="00C9026A">
        <w:t>ection</w:t>
      </w:r>
      <w:r w:rsidR="00562B3B" w:rsidRPr="00C9026A">
        <w:t xml:space="preserve"> </w:t>
      </w:r>
      <w:r w:rsidR="0034659E" w:rsidRPr="00C9026A">
        <w:t xml:space="preserve">provides an explanation of some of the </w:t>
      </w:r>
      <w:r w:rsidR="00133D14" w:rsidRPr="00C9026A">
        <w:t xml:space="preserve">concepts and </w:t>
      </w:r>
      <w:r w:rsidR="0034659E" w:rsidRPr="00C9026A">
        <w:t>terms used in this Safety Guide</w:t>
      </w:r>
      <w:r w:rsidR="001778DD" w:rsidRPr="00C9026A">
        <w:t xml:space="preserve">. </w:t>
      </w:r>
      <w:r w:rsidR="00BA7FEE" w:rsidRPr="00C9026A">
        <w:t>Unless otherwise mentioned,</w:t>
      </w:r>
      <w:r w:rsidR="00224CA7">
        <w:t xml:space="preserve"> concepts or</w:t>
      </w:r>
      <w:r w:rsidR="00BA7FEE" w:rsidRPr="00C9026A">
        <w:t xml:space="preserve"> terms are to be understood as defined in </w:t>
      </w:r>
      <w:r w:rsidR="00224CA7">
        <w:t>GSR Part 3 [1] or</w:t>
      </w:r>
      <w:r w:rsidR="00D21EBD">
        <w:t xml:space="preserve"> </w:t>
      </w:r>
      <w:r w:rsidR="00224CA7">
        <w:t xml:space="preserve">in </w:t>
      </w:r>
      <w:r w:rsidR="00BA7FEE" w:rsidRPr="00C9026A">
        <w:t>the IAEA Safety Glossary [4].</w:t>
      </w:r>
    </w:p>
    <w:p w:rsidR="00FB1E7C" w:rsidRPr="00C9026A" w:rsidRDefault="002A20CD" w:rsidP="00A57A35">
      <w:pPr>
        <w:pStyle w:val="Heading2"/>
        <w:rPr>
          <w:lang w:val="en-GB"/>
        </w:rPr>
      </w:pPr>
      <w:bookmarkStart w:id="13" w:name="_Toc447613462"/>
      <w:bookmarkStart w:id="14" w:name="_Toc450203985"/>
      <w:r w:rsidRPr="00C9026A">
        <w:rPr>
          <w:lang w:val="en-GB"/>
        </w:rPr>
        <w:t xml:space="preserve">Planned exposure </w:t>
      </w:r>
      <w:r w:rsidR="00B25D08" w:rsidRPr="00B25D08">
        <w:rPr>
          <w:lang w:val="en-GB"/>
        </w:rPr>
        <w:t>situations: exposures expected to occur in normal operation and potential exposures</w:t>
      </w:r>
      <w:bookmarkEnd w:id="13"/>
      <w:bookmarkEnd w:id="14"/>
    </w:p>
    <w:p w:rsidR="00BE7773" w:rsidRPr="00C9026A" w:rsidRDefault="00126111" w:rsidP="00A57A35">
      <w:pPr>
        <w:pStyle w:val="Heading4"/>
        <w:ind w:left="0"/>
        <w:rPr>
          <w:iCs/>
        </w:rPr>
      </w:pPr>
      <w:r>
        <w:t>P</w:t>
      </w:r>
      <w:r w:rsidRPr="00C9026A">
        <w:t>ara</w:t>
      </w:r>
      <w:r w:rsidR="00822E50">
        <w:t>graph</w:t>
      </w:r>
      <w:r>
        <w:t xml:space="preserve"> </w:t>
      </w:r>
      <w:r w:rsidRPr="00C9026A">
        <w:t>1.20 (a)</w:t>
      </w:r>
      <w:r>
        <w:t xml:space="preserve"> of </w:t>
      </w:r>
      <w:r w:rsidR="00EA3AE0" w:rsidRPr="00C9026A">
        <w:t xml:space="preserve">GSR </w:t>
      </w:r>
      <w:r w:rsidR="00D34DBD" w:rsidRPr="00C9026A">
        <w:t xml:space="preserve">Part </w:t>
      </w:r>
      <w:r w:rsidR="00EA3AE0" w:rsidRPr="00C9026A">
        <w:t>3</w:t>
      </w:r>
      <w:r w:rsidR="002B62AA" w:rsidRPr="00C9026A">
        <w:t xml:space="preserve"> defines a</w:t>
      </w:r>
      <w:r w:rsidR="00FB1E7C" w:rsidRPr="00C9026A">
        <w:t xml:space="preserve"> </w:t>
      </w:r>
      <w:r w:rsidR="00F01B3B" w:rsidRPr="00C9026A">
        <w:t>‘</w:t>
      </w:r>
      <w:r w:rsidR="00FB1E7C" w:rsidRPr="00C9026A">
        <w:t>planned exposure situation</w:t>
      </w:r>
      <w:r w:rsidR="00F01B3B" w:rsidRPr="00C9026A">
        <w:t>’</w:t>
      </w:r>
      <w:r w:rsidR="00FB1E7C" w:rsidRPr="00C9026A">
        <w:t xml:space="preserve"> </w:t>
      </w:r>
      <w:r w:rsidR="002B62AA" w:rsidRPr="00C9026A">
        <w:t>as “</w:t>
      </w:r>
      <w:r w:rsidR="00FB1E7C" w:rsidRPr="00C9026A">
        <w:t xml:space="preserve">a situation of exposure that arises from the planned operation of a source or from a planned activity that results in an exposure </w:t>
      </w:r>
      <w:r w:rsidR="000F5348" w:rsidRPr="00C9026A">
        <w:t xml:space="preserve">due to </w:t>
      </w:r>
      <w:r w:rsidR="00FB1E7C" w:rsidRPr="00C9026A">
        <w:t>a source</w:t>
      </w:r>
      <w:r w:rsidR="00590AFA">
        <w:t>…</w:t>
      </w:r>
      <w:r w:rsidR="00FB1E7C" w:rsidRPr="00C9026A">
        <w:t xml:space="preserve"> </w:t>
      </w:r>
      <w:r w:rsidR="00BE7773" w:rsidRPr="00C9026A">
        <w:t xml:space="preserve">In planned exposure situations, exposure at some level can be expected to occur. </w:t>
      </w:r>
      <w:proofErr w:type="gramStart"/>
      <w:r w:rsidR="00BE7773" w:rsidRPr="00C9026A">
        <w:t>If exposure is not expected to occur with certainty, but could result from an accident or from an event or a sequence of events that may occur but is not certain to occur, this is referred to as ‘potential exposure</w:t>
      </w:r>
      <w:r w:rsidR="00FE0D35" w:rsidRPr="00C9026A">
        <w:t>’</w:t>
      </w:r>
      <w:r w:rsidR="00590AFA">
        <w:t>”</w:t>
      </w:r>
      <w:r w:rsidR="002534DD" w:rsidRPr="00C9026A">
        <w:t xml:space="preserve"> </w:t>
      </w:r>
      <w:r w:rsidR="00674471" w:rsidRPr="00C9026A">
        <w:t>[1]</w:t>
      </w:r>
      <w:r w:rsidR="00BE7773" w:rsidRPr="00C9026A">
        <w:t>.</w:t>
      </w:r>
      <w:proofErr w:type="gramEnd"/>
      <w:r w:rsidR="00BE7773" w:rsidRPr="00C9026A">
        <w:t xml:space="preserve"> </w:t>
      </w:r>
      <w:r w:rsidR="00BD40C7" w:rsidRPr="00C9026A">
        <w:rPr>
          <w:iCs/>
        </w:rPr>
        <w:t>The magnitude and extent of these exposures can usually be predicted. Both exposures</w:t>
      </w:r>
      <w:r w:rsidR="00224CA7">
        <w:rPr>
          <w:iCs/>
        </w:rPr>
        <w:t xml:space="preserve"> expected to occur </w:t>
      </w:r>
      <w:r w:rsidR="00BD40C7" w:rsidRPr="00C9026A">
        <w:rPr>
          <w:iCs/>
        </w:rPr>
        <w:t>and potential exposures can and should be taken into account at the planning or design stage [</w:t>
      </w:r>
      <w:r w:rsidR="004E5160">
        <w:rPr>
          <w:iCs/>
        </w:rPr>
        <w:t>7</w:t>
      </w:r>
      <w:r w:rsidR="00BD40C7" w:rsidRPr="00C9026A">
        <w:rPr>
          <w:iCs/>
        </w:rPr>
        <w:t>].</w:t>
      </w:r>
    </w:p>
    <w:p w:rsidR="00144248" w:rsidRPr="00C9026A" w:rsidRDefault="000C1865" w:rsidP="00A57A35">
      <w:pPr>
        <w:pStyle w:val="Heading2"/>
        <w:rPr>
          <w:lang w:val="en-GB"/>
        </w:rPr>
      </w:pPr>
      <w:bookmarkStart w:id="15" w:name="_Toc447613463"/>
      <w:bookmarkStart w:id="16" w:name="_Toc450203986"/>
      <w:r w:rsidRPr="00C9026A">
        <w:rPr>
          <w:caps w:val="0"/>
          <w:lang w:val="en-GB"/>
        </w:rPr>
        <w:t>G</w:t>
      </w:r>
      <w:r w:rsidRPr="00C9026A">
        <w:rPr>
          <w:lang w:val="en-GB"/>
        </w:rPr>
        <w:t xml:space="preserve">overnmental </w:t>
      </w:r>
      <w:r w:rsidR="007539BE" w:rsidRPr="00C9026A">
        <w:rPr>
          <w:lang w:val="en-GB"/>
        </w:rPr>
        <w:t>decision</w:t>
      </w:r>
      <w:r w:rsidR="002D0EE5">
        <w:rPr>
          <w:lang w:val="en-GB"/>
        </w:rPr>
        <w:t xml:space="preserve"> </w:t>
      </w:r>
      <w:r w:rsidR="007539BE" w:rsidRPr="00C9026A">
        <w:rPr>
          <w:lang w:val="en-GB"/>
        </w:rPr>
        <w:t>making process</w:t>
      </w:r>
      <w:bookmarkEnd w:id="15"/>
      <w:bookmarkEnd w:id="16"/>
    </w:p>
    <w:p w:rsidR="00913F6F" w:rsidRPr="00C9026A" w:rsidRDefault="00144248" w:rsidP="00A57A35">
      <w:pPr>
        <w:pStyle w:val="Heading4"/>
        <w:ind w:left="0"/>
      </w:pPr>
      <w:r w:rsidRPr="00C9026A">
        <w:t xml:space="preserve">In the context of this Safety Guide the term </w:t>
      </w:r>
      <w:r w:rsidR="00DA509C" w:rsidRPr="00C9026A">
        <w:t xml:space="preserve">‘governmental </w:t>
      </w:r>
      <w:r w:rsidRPr="00C9026A">
        <w:t>decision</w:t>
      </w:r>
      <w:r w:rsidR="002D0EE5">
        <w:t xml:space="preserve"> </w:t>
      </w:r>
      <w:r w:rsidR="00DA509C" w:rsidRPr="00C9026A">
        <w:t>making</w:t>
      </w:r>
      <w:r w:rsidRPr="00C9026A">
        <w:t xml:space="preserve"> process</w:t>
      </w:r>
      <w:r w:rsidR="00DA509C" w:rsidRPr="00C9026A">
        <w:t>’</w:t>
      </w:r>
      <w:r w:rsidRPr="00C9026A">
        <w:t xml:space="preserve"> refers to the procedures carried out </w:t>
      </w:r>
      <w:r w:rsidR="00913F6F" w:rsidRPr="00C9026A">
        <w:t xml:space="preserve">at </w:t>
      </w:r>
      <w:r w:rsidR="00224CA7">
        <w:t>all</w:t>
      </w:r>
      <w:r w:rsidR="00913F6F" w:rsidRPr="00C9026A">
        <w:t xml:space="preserve"> planning</w:t>
      </w:r>
      <w:r w:rsidR="00224CA7">
        <w:t xml:space="preserve">, pre-operational, operational and decommissioning </w:t>
      </w:r>
      <w:r w:rsidR="00913F6F" w:rsidRPr="00C9026A">
        <w:t>stage</w:t>
      </w:r>
      <w:r w:rsidR="00224CA7">
        <w:t>s</w:t>
      </w:r>
      <w:r w:rsidR="00913F6F" w:rsidRPr="00C9026A">
        <w:t xml:space="preserve"> </w:t>
      </w:r>
      <w:r w:rsidRPr="00C9026A">
        <w:t>by the government or governmental agencies</w:t>
      </w:r>
      <w:r w:rsidR="00913F6F" w:rsidRPr="00C9026A">
        <w:t xml:space="preserve">, including the regulatory body, </w:t>
      </w:r>
      <w:r w:rsidR="00590AFA">
        <w:t>in deciding</w:t>
      </w:r>
      <w:r w:rsidRPr="00C9026A">
        <w:t xml:space="preserve"> whether </w:t>
      </w:r>
      <w:r w:rsidR="007F64B9" w:rsidRPr="00C9026A">
        <w:t xml:space="preserve">a project for </w:t>
      </w:r>
      <w:r w:rsidRPr="00C9026A">
        <w:t>a</w:t>
      </w:r>
      <w:r w:rsidR="00EB3F47" w:rsidRPr="00C9026A">
        <w:t xml:space="preserve"> facility or an</w:t>
      </w:r>
      <w:r w:rsidRPr="00C9026A">
        <w:t xml:space="preserve"> activity </w:t>
      </w:r>
      <w:r w:rsidR="00BA7FEE" w:rsidRPr="00C9026A">
        <w:t xml:space="preserve">may </w:t>
      </w:r>
      <w:r w:rsidRPr="00C9026A">
        <w:t xml:space="preserve">be undertaken, </w:t>
      </w:r>
      <w:r w:rsidRPr="00C9026A">
        <w:rPr>
          <w:szCs w:val="24"/>
        </w:rPr>
        <w:t>continued</w:t>
      </w:r>
      <w:r w:rsidR="00D457E0" w:rsidRPr="00C9026A">
        <w:rPr>
          <w:szCs w:val="24"/>
        </w:rPr>
        <w:t>,</w:t>
      </w:r>
      <w:r w:rsidRPr="00C9026A">
        <w:rPr>
          <w:szCs w:val="24"/>
        </w:rPr>
        <w:t xml:space="preserve"> changed</w:t>
      </w:r>
      <w:r w:rsidR="00D457E0" w:rsidRPr="00C9026A">
        <w:rPr>
          <w:szCs w:val="24"/>
        </w:rPr>
        <w:t xml:space="preserve"> or</w:t>
      </w:r>
      <w:r w:rsidR="00D457E0" w:rsidRPr="00C9026A">
        <w:t xml:space="preserve"> stopped.</w:t>
      </w:r>
      <w:r w:rsidRPr="00C9026A">
        <w:t xml:space="preserve"> </w:t>
      </w:r>
      <w:r w:rsidR="00590AFA">
        <w:t>The term</w:t>
      </w:r>
      <w:r w:rsidR="00590AFA" w:rsidRPr="00C9026A">
        <w:t xml:space="preserve"> </w:t>
      </w:r>
      <w:r w:rsidRPr="00C9026A">
        <w:t>could also apply to areas of national policy</w:t>
      </w:r>
      <w:r w:rsidR="00590AFA">
        <w:t>,</w:t>
      </w:r>
      <w:r w:rsidRPr="00C9026A">
        <w:t xml:space="preserve"> such as whether to embark on a nuclear power programme [</w:t>
      </w:r>
      <w:r w:rsidR="00C470A7">
        <w:t>2</w:t>
      </w:r>
      <w:r w:rsidR="0015024B">
        <w:t>2</w:t>
      </w:r>
      <w:r w:rsidRPr="00C9026A">
        <w:t>].</w:t>
      </w:r>
    </w:p>
    <w:p w:rsidR="00144248" w:rsidRPr="00C9026A" w:rsidRDefault="00144248" w:rsidP="00A57A35">
      <w:pPr>
        <w:pStyle w:val="Heading4"/>
        <w:ind w:left="0"/>
      </w:pPr>
      <w:r w:rsidRPr="00C9026A">
        <w:t xml:space="preserve">A </w:t>
      </w:r>
      <w:r w:rsidR="00F01B3B" w:rsidRPr="00C9026A">
        <w:t>governmental decision</w:t>
      </w:r>
      <w:r w:rsidR="00590AFA">
        <w:t xml:space="preserve"> </w:t>
      </w:r>
      <w:r w:rsidR="00F01B3B" w:rsidRPr="00C9026A">
        <w:t>making process</w:t>
      </w:r>
      <w:r w:rsidR="00F01B3B" w:rsidRPr="00C9026A" w:rsidDel="00F01B3B">
        <w:t xml:space="preserve"> </w:t>
      </w:r>
      <w:r w:rsidRPr="00C9026A">
        <w:t xml:space="preserve">is normally conducted at the early stages of a programme of development and, mainly, for activities or facilities </w:t>
      </w:r>
      <w:r w:rsidR="00590AFA">
        <w:t>for which it is</w:t>
      </w:r>
      <w:r w:rsidRPr="00C9026A">
        <w:t xml:space="preserve"> foreseen </w:t>
      </w:r>
      <w:r w:rsidR="00590AFA">
        <w:t xml:space="preserve">that </w:t>
      </w:r>
      <w:r w:rsidRPr="00C9026A">
        <w:t xml:space="preserve">a thorough assessment of their </w:t>
      </w:r>
      <w:r w:rsidR="007539BE" w:rsidRPr="00C9026A">
        <w:t>possible</w:t>
      </w:r>
      <w:r w:rsidRPr="00C9026A">
        <w:t xml:space="preserve"> impact </w:t>
      </w:r>
      <w:r w:rsidR="00590AFA">
        <w:t>on</w:t>
      </w:r>
      <w:r w:rsidR="00590AFA" w:rsidRPr="00C9026A">
        <w:t xml:space="preserve"> </w:t>
      </w:r>
      <w:r w:rsidRPr="00C9026A">
        <w:t>the environment</w:t>
      </w:r>
      <w:r w:rsidR="00590AFA">
        <w:t xml:space="preserve"> is necessary</w:t>
      </w:r>
      <w:r w:rsidRPr="00C9026A">
        <w:t>.</w:t>
      </w:r>
      <w:r w:rsidR="008F0F72" w:rsidRPr="00C9026A">
        <w:t xml:space="preserve"> For some nuclear installations</w:t>
      </w:r>
      <w:r w:rsidR="0037259B" w:rsidRPr="00C9026A">
        <w:t xml:space="preserve"> and facilities</w:t>
      </w:r>
      <w:r w:rsidR="00590AFA">
        <w:t>,</w:t>
      </w:r>
      <w:r w:rsidR="0014110A" w:rsidRPr="00C9026A">
        <w:t xml:space="preserve"> </w:t>
      </w:r>
      <w:r w:rsidR="00B35E5E" w:rsidRPr="00C9026A">
        <w:t xml:space="preserve">this decision </w:t>
      </w:r>
      <w:r w:rsidR="00A85488">
        <w:t xml:space="preserve">making </w:t>
      </w:r>
      <w:r w:rsidR="00B35E5E" w:rsidRPr="00C9026A">
        <w:t xml:space="preserve">process </w:t>
      </w:r>
      <w:r w:rsidR="00590AFA">
        <w:t>is described in national or international regulations by</w:t>
      </w:r>
      <w:r w:rsidR="00B35E5E" w:rsidRPr="00C9026A">
        <w:t xml:space="preserve"> the term ‘environmental impact assessment’</w:t>
      </w:r>
      <w:r w:rsidR="007539BE" w:rsidRPr="007A55FC">
        <w:rPr>
          <w:rStyle w:val="FootnoteReference"/>
        </w:rPr>
        <w:footnoteReference w:id="9"/>
      </w:r>
      <w:r w:rsidR="00590AFA">
        <w:t xml:space="preserve"> (see paras 2.7 to 2.9)</w:t>
      </w:r>
      <w:r w:rsidR="00B35E5E" w:rsidRPr="00C9026A">
        <w:t>.</w:t>
      </w:r>
      <w:r w:rsidR="00DB46DB">
        <w:t xml:space="preserve"> </w:t>
      </w:r>
    </w:p>
    <w:p w:rsidR="00144248" w:rsidRPr="00C9026A" w:rsidRDefault="00144248" w:rsidP="00A57A35">
      <w:pPr>
        <w:pStyle w:val="Heading2"/>
        <w:rPr>
          <w:lang w:val="en-GB"/>
        </w:rPr>
      </w:pPr>
      <w:bookmarkStart w:id="17" w:name="_Toc447613464"/>
      <w:bookmarkStart w:id="18" w:name="_Toc450203987"/>
      <w:r w:rsidRPr="00C9026A">
        <w:rPr>
          <w:lang w:val="en-GB"/>
        </w:rPr>
        <w:t>Authorization process</w:t>
      </w:r>
      <w:bookmarkEnd w:id="17"/>
      <w:bookmarkEnd w:id="18"/>
    </w:p>
    <w:p w:rsidR="007E1B1A" w:rsidRPr="00C9026A" w:rsidRDefault="00F01B3B" w:rsidP="00A57A35">
      <w:pPr>
        <w:pStyle w:val="Heading4"/>
        <w:ind w:left="0"/>
      </w:pPr>
      <w:r w:rsidRPr="00A308DC">
        <w:rPr>
          <w:szCs w:val="24"/>
        </w:rPr>
        <w:t>‘</w:t>
      </w:r>
      <w:r w:rsidR="00144248" w:rsidRPr="00A308DC">
        <w:rPr>
          <w:szCs w:val="24"/>
        </w:rPr>
        <w:t>Authorization</w:t>
      </w:r>
      <w:r w:rsidRPr="00A308DC">
        <w:rPr>
          <w:szCs w:val="24"/>
        </w:rPr>
        <w:t>’</w:t>
      </w:r>
      <w:r w:rsidR="00144248" w:rsidRPr="00A308DC">
        <w:rPr>
          <w:szCs w:val="24"/>
        </w:rPr>
        <w:t xml:space="preserve"> is defined in</w:t>
      </w:r>
      <w:r w:rsidR="008D1F09" w:rsidRPr="00A308DC">
        <w:rPr>
          <w:szCs w:val="24"/>
        </w:rPr>
        <w:t xml:space="preserve"> </w:t>
      </w:r>
      <w:r w:rsidR="00D122E9" w:rsidRPr="00A308DC">
        <w:rPr>
          <w:szCs w:val="24"/>
        </w:rPr>
        <w:t>GSR Part 3</w:t>
      </w:r>
      <w:r w:rsidR="00144248" w:rsidRPr="00A308DC">
        <w:rPr>
          <w:szCs w:val="24"/>
        </w:rPr>
        <w:t xml:space="preserve"> </w:t>
      </w:r>
      <w:r w:rsidR="00FD14F2" w:rsidRPr="00A308DC">
        <w:rPr>
          <w:szCs w:val="24"/>
        </w:rPr>
        <w:t>as</w:t>
      </w:r>
      <w:r w:rsidR="00144248" w:rsidRPr="00C9026A">
        <w:t xml:space="preserve"> </w:t>
      </w:r>
      <w:r w:rsidR="00822E50">
        <w:t>“The granting by</w:t>
      </w:r>
      <w:r w:rsidR="00144248" w:rsidRPr="00C9026A">
        <w:t xml:space="preserve"> a regulatory body or other governmental body </w:t>
      </w:r>
      <w:r w:rsidR="00822E50">
        <w:t>of</w:t>
      </w:r>
      <w:r w:rsidR="00822E50" w:rsidRPr="00C9026A">
        <w:t xml:space="preserve"> </w:t>
      </w:r>
      <w:r w:rsidR="00144248" w:rsidRPr="00C9026A">
        <w:t>written permission</w:t>
      </w:r>
      <w:r w:rsidR="00A308DC">
        <w:t xml:space="preserve"> </w:t>
      </w:r>
      <w:r w:rsidR="00A308DC">
        <w:rPr>
          <w:rFonts w:ascii="TimesNewRomanPSMT" w:hAnsi="TimesNewRomanPSMT" w:cs="TimesNewRomanPSMT"/>
          <w:sz w:val="21"/>
          <w:szCs w:val="21"/>
          <w:lang w:eastAsia="en-GB"/>
        </w:rPr>
        <w:t>f</w:t>
      </w:r>
      <w:r w:rsidR="00A308DC" w:rsidRPr="00A308DC">
        <w:t>or a person or organization (the operator) to conduct specified</w:t>
      </w:r>
      <w:r w:rsidR="00A308DC">
        <w:t xml:space="preserve"> </w:t>
      </w:r>
      <w:r w:rsidR="00A308DC" w:rsidRPr="00A308DC">
        <w:t>activities</w:t>
      </w:r>
      <w:r w:rsidR="00822E50">
        <w:t>”</w:t>
      </w:r>
      <w:r w:rsidR="00A308DC">
        <w:t xml:space="preserve"> </w:t>
      </w:r>
      <w:r w:rsidR="007807FF" w:rsidRPr="00C9026A">
        <w:t>[1]</w:t>
      </w:r>
      <w:r w:rsidR="00144248" w:rsidRPr="00C9026A">
        <w:t>.</w:t>
      </w:r>
    </w:p>
    <w:p w:rsidR="00144248" w:rsidRPr="00C9026A" w:rsidRDefault="00144248" w:rsidP="00A57A35">
      <w:pPr>
        <w:pStyle w:val="Heading4"/>
        <w:ind w:left="0"/>
      </w:pPr>
      <w:r w:rsidRPr="00C9026A">
        <w:t>The authorization</w:t>
      </w:r>
      <w:r w:rsidR="007E1B1A" w:rsidRPr="00C9026A">
        <w:t xml:space="preserve"> </w:t>
      </w:r>
      <w:r w:rsidR="00822E50">
        <w:t>for</w:t>
      </w:r>
      <w:r w:rsidR="00822E50" w:rsidRPr="00C9026A">
        <w:t xml:space="preserve"> </w:t>
      </w:r>
      <w:r w:rsidR="00505CBD" w:rsidRPr="00C9026A">
        <w:t xml:space="preserve">a </w:t>
      </w:r>
      <w:r w:rsidR="007E1B1A" w:rsidRPr="00C9026A">
        <w:t>facility or an activity</w:t>
      </w:r>
      <w:r w:rsidRPr="00C9026A">
        <w:t xml:space="preserve">, in the form of registration or </w:t>
      </w:r>
      <w:r w:rsidR="00A42DC2" w:rsidRPr="00C9026A">
        <w:t xml:space="preserve">licence </w:t>
      </w:r>
      <w:r w:rsidRPr="00C9026A">
        <w:t>[</w:t>
      </w:r>
      <w:r w:rsidR="004C205C" w:rsidRPr="00C9026A">
        <w:t>1</w:t>
      </w:r>
      <w:r w:rsidRPr="00C9026A">
        <w:t xml:space="preserve">], could be granted for </w:t>
      </w:r>
      <w:r w:rsidR="00822E50">
        <w:t xml:space="preserve">the </w:t>
      </w:r>
      <w:r w:rsidRPr="00C9026A">
        <w:t>design, siting, construction</w:t>
      </w:r>
      <w:r w:rsidR="00822E50">
        <w:t xml:space="preserve"> and</w:t>
      </w:r>
      <w:r w:rsidRPr="00C9026A">
        <w:t xml:space="preserve"> operation</w:t>
      </w:r>
      <w:r w:rsidR="00822E50">
        <w:t xml:space="preserve"> of the facility or activity</w:t>
      </w:r>
      <w:r w:rsidR="00FD14F2" w:rsidRPr="00C9026A">
        <w:t>,</w:t>
      </w:r>
      <w:r w:rsidR="00935BC5" w:rsidRPr="00C9026A">
        <w:t xml:space="preserve"> </w:t>
      </w:r>
      <w:r w:rsidR="00822E50">
        <w:lastRenderedPageBreak/>
        <w:t xml:space="preserve">for </w:t>
      </w:r>
      <w:r w:rsidRPr="00C9026A">
        <w:t>decommissioning activities</w:t>
      </w:r>
      <w:r w:rsidR="00FD14F2" w:rsidRPr="00C9026A">
        <w:t xml:space="preserve"> and when modifications in the conditions of operation of </w:t>
      </w:r>
      <w:r w:rsidR="00822E50">
        <w:t xml:space="preserve">the </w:t>
      </w:r>
      <w:r w:rsidR="00BA6D7C">
        <w:t>facilit</w:t>
      </w:r>
      <w:r w:rsidR="00822E50">
        <w:t>y</w:t>
      </w:r>
      <w:r w:rsidR="00BA6D7C">
        <w:t xml:space="preserve"> or the conduct of </w:t>
      </w:r>
      <w:r w:rsidR="00822E50">
        <w:t xml:space="preserve">the </w:t>
      </w:r>
      <w:r w:rsidR="00FD14F2" w:rsidRPr="00C9026A">
        <w:t>activit</w:t>
      </w:r>
      <w:r w:rsidR="00822E50">
        <w:t>y</w:t>
      </w:r>
      <w:r w:rsidR="00FD14F2" w:rsidRPr="00C9026A">
        <w:t xml:space="preserve"> are considered</w:t>
      </w:r>
      <w:r w:rsidRPr="00C9026A">
        <w:t>.</w:t>
      </w:r>
    </w:p>
    <w:p w:rsidR="00A4083D" w:rsidRPr="00C9026A" w:rsidRDefault="00A4083D" w:rsidP="00A57A35">
      <w:pPr>
        <w:pStyle w:val="Heading2"/>
        <w:rPr>
          <w:lang w:val="en-GB"/>
        </w:rPr>
      </w:pPr>
      <w:bookmarkStart w:id="19" w:name="_Toc447613465"/>
      <w:bookmarkStart w:id="20" w:name="_Toc450203988"/>
      <w:r w:rsidRPr="00C9026A">
        <w:rPr>
          <w:lang w:val="en-GB"/>
        </w:rPr>
        <w:t>Environmental Impact Assessment</w:t>
      </w:r>
      <w:bookmarkEnd w:id="19"/>
      <w:bookmarkEnd w:id="20"/>
    </w:p>
    <w:p w:rsidR="001E344B" w:rsidRPr="00C9026A" w:rsidRDefault="00DA509C" w:rsidP="00A57A35">
      <w:pPr>
        <w:pStyle w:val="Heading4"/>
        <w:ind w:left="0"/>
      </w:pPr>
      <w:r w:rsidRPr="00C9026A">
        <w:t>The term ‘e</w:t>
      </w:r>
      <w:r w:rsidR="00A4083D" w:rsidRPr="00C9026A">
        <w:t xml:space="preserve">nvironmental </w:t>
      </w:r>
      <w:r w:rsidR="0057266C" w:rsidRPr="00C9026A">
        <w:t>impact assessment</w:t>
      </w:r>
      <w:r w:rsidRPr="00C9026A">
        <w:t>’</w:t>
      </w:r>
      <w:r w:rsidR="0057266C" w:rsidRPr="00C9026A">
        <w:t xml:space="preserve"> </w:t>
      </w:r>
      <w:r w:rsidR="00A4083D" w:rsidRPr="00C9026A">
        <w:t>is included in many international instruments and national legislation and regulations [</w:t>
      </w:r>
      <w:r w:rsidR="0015024B">
        <w:t>23</w:t>
      </w:r>
      <w:r w:rsidR="00D7216E" w:rsidRPr="00C9026A">
        <w:t>–</w:t>
      </w:r>
      <w:r w:rsidR="0015024B">
        <w:t>30</w:t>
      </w:r>
      <w:r w:rsidR="00A4083D" w:rsidRPr="00C9026A">
        <w:t>]. In the context of this Safety Guide</w:t>
      </w:r>
      <w:r w:rsidR="0086512E" w:rsidRPr="00C9026A">
        <w:t>, an</w:t>
      </w:r>
      <w:r w:rsidR="00A4083D" w:rsidRPr="00C9026A">
        <w:t xml:space="preserve"> </w:t>
      </w:r>
      <w:r w:rsidR="00590AFA" w:rsidRPr="00C9026A">
        <w:t>environmental impact assessment</w:t>
      </w:r>
      <w:r w:rsidR="00590AFA" w:rsidRPr="00C9026A" w:rsidDel="00590AFA">
        <w:t xml:space="preserve"> </w:t>
      </w:r>
      <w:r w:rsidR="00FB35D2" w:rsidRPr="00C9026A">
        <w:t xml:space="preserve">refers to </w:t>
      </w:r>
      <w:r w:rsidR="00A4083D" w:rsidRPr="00C9026A">
        <w:t xml:space="preserve">a </w:t>
      </w:r>
      <w:r w:rsidR="00CB0C0F" w:rsidRPr="00C9026A">
        <w:t xml:space="preserve">procedure within a </w:t>
      </w:r>
      <w:r w:rsidRPr="00C9026A">
        <w:t xml:space="preserve">governmental </w:t>
      </w:r>
      <w:r w:rsidR="00FD7256" w:rsidRPr="00C9026A">
        <w:t>decision</w:t>
      </w:r>
      <w:r w:rsidR="00822E50">
        <w:t xml:space="preserve"> </w:t>
      </w:r>
      <w:r w:rsidRPr="00C9026A">
        <w:t>making</w:t>
      </w:r>
      <w:r w:rsidR="00FD7256" w:rsidRPr="00C9026A">
        <w:t xml:space="preserve"> </w:t>
      </w:r>
      <w:r w:rsidR="0086512E" w:rsidRPr="00C9026A">
        <w:t xml:space="preserve">process </w:t>
      </w:r>
      <w:r w:rsidR="00A4083D" w:rsidRPr="00C9026A">
        <w:t xml:space="preserve">for </w:t>
      </w:r>
      <w:r w:rsidR="007F6474" w:rsidRPr="00C9026A">
        <w:t xml:space="preserve">identifying, describing and assessing </w:t>
      </w:r>
      <w:r w:rsidR="008F0F72" w:rsidRPr="00C9026A">
        <w:t xml:space="preserve">prospectively </w:t>
      </w:r>
      <w:r w:rsidR="0086512E" w:rsidRPr="00C9026A">
        <w:t xml:space="preserve">the effects </w:t>
      </w:r>
      <w:r w:rsidR="00D4659C" w:rsidRPr="00C9026A">
        <w:t xml:space="preserve">and the risk of effects </w:t>
      </w:r>
      <w:r w:rsidR="00A4083D" w:rsidRPr="00C9026A">
        <w:t xml:space="preserve">of </w:t>
      </w:r>
      <w:r w:rsidR="00A308DC">
        <w:t xml:space="preserve">a </w:t>
      </w:r>
      <w:r w:rsidR="00613FC7" w:rsidRPr="00C9026A">
        <w:t xml:space="preserve">particular </w:t>
      </w:r>
      <w:r w:rsidR="00A4083D" w:rsidRPr="00C9026A">
        <w:t xml:space="preserve">proposed </w:t>
      </w:r>
      <w:r w:rsidR="007F6474" w:rsidRPr="00C9026A">
        <w:t>activity</w:t>
      </w:r>
      <w:r w:rsidR="00B47A08" w:rsidRPr="00C9026A">
        <w:t xml:space="preserve"> or facility</w:t>
      </w:r>
      <w:r w:rsidR="007F6474" w:rsidRPr="00C9026A">
        <w:t xml:space="preserve"> on </w:t>
      </w:r>
      <w:r w:rsidR="008B397C" w:rsidRPr="00C9026A">
        <w:t xml:space="preserve">aspects of </w:t>
      </w:r>
      <w:r w:rsidR="007F6474" w:rsidRPr="00C9026A">
        <w:t>environment</w:t>
      </w:r>
      <w:r w:rsidR="008B397C" w:rsidRPr="00C9026A">
        <w:t>al significance</w:t>
      </w:r>
      <w:r w:rsidR="008E5076" w:rsidRPr="00C9026A">
        <w:rPr>
          <w:rStyle w:val="FootnoteReference"/>
        </w:rPr>
        <w:footnoteReference w:id="10"/>
      </w:r>
      <w:r w:rsidR="007F6474" w:rsidRPr="00C9026A">
        <w:t>.</w:t>
      </w:r>
    </w:p>
    <w:p w:rsidR="001E344B" w:rsidRPr="00C9026A" w:rsidRDefault="00864F18" w:rsidP="00A57A35">
      <w:pPr>
        <w:pStyle w:val="Heading4"/>
        <w:ind w:left="0"/>
      </w:pPr>
      <w:r w:rsidRPr="00C9026A">
        <w:t>The effects relat</w:t>
      </w:r>
      <w:r w:rsidR="00822E50">
        <w:t>ing</w:t>
      </w:r>
      <w:r w:rsidRPr="00C9026A">
        <w:t xml:space="preserve"> to radioactive releases </w:t>
      </w:r>
      <w:r w:rsidR="00440758" w:rsidRPr="00C9026A">
        <w:t xml:space="preserve">from </w:t>
      </w:r>
      <w:r w:rsidR="00BA6D7C" w:rsidRPr="00C9026A">
        <w:t xml:space="preserve">facilities and </w:t>
      </w:r>
      <w:r w:rsidR="00440758" w:rsidRPr="00C9026A">
        <w:t xml:space="preserve">activities </w:t>
      </w:r>
      <w:r w:rsidRPr="00C9026A">
        <w:t xml:space="preserve">to the environment likely to be considered in an </w:t>
      </w:r>
      <w:r w:rsidR="00590AFA" w:rsidRPr="00C9026A">
        <w:t>environmental impact assessment</w:t>
      </w:r>
      <w:r w:rsidR="00590AFA" w:rsidRPr="00C9026A" w:rsidDel="00590AFA">
        <w:t xml:space="preserve"> </w:t>
      </w:r>
      <w:r w:rsidRPr="00C9026A">
        <w:t>generally include radiological effects on human health and</w:t>
      </w:r>
      <w:r w:rsidR="00440758" w:rsidRPr="00C9026A">
        <w:t xml:space="preserve">, </w:t>
      </w:r>
      <w:r w:rsidR="00F248F7">
        <w:t>where required by States</w:t>
      </w:r>
      <w:r w:rsidR="00440758" w:rsidRPr="00C9026A">
        <w:t>,</w:t>
      </w:r>
      <w:r w:rsidRPr="00C9026A">
        <w:t xml:space="preserve"> </w:t>
      </w:r>
      <w:r w:rsidR="00CB0C0F" w:rsidRPr="00C9026A">
        <w:t xml:space="preserve">radiological </w:t>
      </w:r>
      <w:r w:rsidRPr="00C9026A">
        <w:t>effects on flora and fauna.</w:t>
      </w:r>
      <w:r w:rsidR="008B397C" w:rsidRPr="00C9026A">
        <w:t xml:space="preserve"> </w:t>
      </w:r>
      <w:r w:rsidR="00584512" w:rsidRPr="00C9026A">
        <w:t>N</w:t>
      </w:r>
      <w:r w:rsidRPr="00C9026A">
        <w:t>on-radiological impacts</w:t>
      </w:r>
      <w:r w:rsidR="008B397C" w:rsidRPr="00C9026A">
        <w:t xml:space="preserve"> </w:t>
      </w:r>
      <w:r w:rsidRPr="00C9026A">
        <w:t xml:space="preserve">included in an </w:t>
      </w:r>
      <w:r w:rsidR="00590AFA" w:rsidRPr="00C9026A">
        <w:t>environmental impact assessment</w:t>
      </w:r>
      <w:r w:rsidR="00590AFA" w:rsidRPr="00C9026A" w:rsidDel="00590AFA">
        <w:t xml:space="preserve"> </w:t>
      </w:r>
      <w:r w:rsidRPr="00C9026A">
        <w:t xml:space="preserve">are not considered in </w:t>
      </w:r>
      <w:r w:rsidR="00822E50">
        <w:t>this Safety Guide</w:t>
      </w:r>
      <w:r w:rsidRPr="00C9026A">
        <w:t xml:space="preserve"> </w:t>
      </w:r>
      <w:r w:rsidR="0057266C" w:rsidRPr="00C9026A">
        <w:t>but</w:t>
      </w:r>
      <w:r w:rsidRPr="00C9026A">
        <w:t xml:space="preserve"> are subject to national </w:t>
      </w:r>
      <w:r w:rsidR="0057266C" w:rsidRPr="00C9026A">
        <w:t>and</w:t>
      </w:r>
      <w:r w:rsidRPr="00C9026A">
        <w:t xml:space="preserve"> international</w:t>
      </w:r>
      <w:r w:rsidR="0057266C" w:rsidRPr="00C9026A">
        <w:t>ly</w:t>
      </w:r>
      <w:r w:rsidRPr="00C9026A">
        <w:t xml:space="preserve"> applicable regulations.</w:t>
      </w:r>
    </w:p>
    <w:p w:rsidR="000F5E54" w:rsidRPr="00C9026A" w:rsidRDefault="00864F18" w:rsidP="00A57A35">
      <w:pPr>
        <w:pStyle w:val="Heading4"/>
        <w:ind w:left="0"/>
      </w:pPr>
      <w:r w:rsidRPr="00C9026A">
        <w:t xml:space="preserve">In general, an </w:t>
      </w:r>
      <w:r w:rsidR="00590AFA" w:rsidRPr="00C9026A">
        <w:t>environmental impact assessment</w:t>
      </w:r>
      <w:r w:rsidR="00590AFA" w:rsidRPr="00C9026A" w:rsidDel="00590AFA">
        <w:t xml:space="preserve"> </w:t>
      </w:r>
      <w:r w:rsidRPr="00C9026A">
        <w:t xml:space="preserve">requires the involvement of the </w:t>
      </w:r>
      <w:r w:rsidR="00A308DC">
        <w:t>applicant</w:t>
      </w:r>
      <w:r w:rsidR="00A308DC" w:rsidRPr="00C9026A">
        <w:t xml:space="preserve"> </w:t>
      </w:r>
      <w:r w:rsidRPr="00C9026A">
        <w:t>of the proposed activity or facility, relevant governmental agencies, the regulatory body and a number of interested parties</w:t>
      </w:r>
      <w:r w:rsidR="003A1D97">
        <w:t>, including, in some States, the public</w:t>
      </w:r>
      <w:r w:rsidR="008E5076" w:rsidRPr="00C9026A">
        <w:t xml:space="preserve"> [</w:t>
      </w:r>
      <w:r w:rsidR="00C470A7">
        <w:t>2</w:t>
      </w:r>
      <w:r w:rsidR="0015024B">
        <w:t>2</w:t>
      </w:r>
      <w:r w:rsidR="005F3010">
        <w:noBreakHyphen/>
      </w:r>
      <w:r w:rsidR="00C470A7">
        <w:t>3</w:t>
      </w:r>
      <w:r w:rsidR="008B2203">
        <w:t>0</w:t>
      </w:r>
      <w:r w:rsidR="008E5076" w:rsidRPr="00C9026A">
        <w:t>]</w:t>
      </w:r>
      <w:r w:rsidRPr="00C9026A">
        <w:t>.</w:t>
      </w:r>
    </w:p>
    <w:p w:rsidR="00AC4B9E" w:rsidRPr="00C9026A" w:rsidRDefault="00A005C9" w:rsidP="00A57A35">
      <w:pPr>
        <w:pStyle w:val="Heading2"/>
        <w:rPr>
          <w:lang w:val="en-GB"/>
        </w:rPr>
      </w:pPr>
      <w:bookmarkStart w:id="21" w:name="_Toc447613466"/>
      <w:bookmarkStart w:id="22" w:name="_Toc450203989"/>
      <w:r w:rsidRPr="00C9026A">
        <w:rPr>
          <w:lang w:val="en-GB"/>
        </w:rPr>
        <w:t>Env</w:t>
      </w:r>
      <w:r w:rsidR="002D7A2E" w:rsidRPr="00C9026A">
        <w:rPr>
          <w:lang w:val="en-GB"/>
        </w:rPr>
        <w:t>ironment and protection of the e</w:t>
      </w:r>
      <w:r w:rsidRPr="00C9026A">
        <w:rPr>
          <w:lang w:val="en-GB"/>
        </w:rPr>
        <w:t>nvironment</w:t>
      </w:r>
      <w:bookmarkEnd w:id="21"/>
      <w:bookmarkEnd w:id="22"/>
    </w:p>
    <w:p w:rsidR="0007638F" w:rsidRPr="00C9026A" w:rsidRDefault="00EA3AE0" w:rsidP="00A57A35">
      <w:pPr>
        <w:pStyle w:val="Heading4"/>
        <w:ind w:left="0"/>
      </w:pPr>
      <w:r w:rsidRPr="00C9026A">
        <w:t xml:space="preserve">GSR </w:t>
      </w:r>
      <w:r w:rsidR="00D34DBD" w:rsidRPr="00C9026A">
        <w:t xml:space="preserve">Part </w:t>
      </w:r>
      <w:r w:rsidRPr="00C9026A">
        <w:t>3</w:t>
      </w:r>
      <w:r w:rsidR="002F6ABF" w:rsidRPr="00C9026A">
        <w:t xml:space="preserve"> </w:t>
      </w:r>
      <w:r w:rsidR="00DA14B1" w:rsidRPr="00C9026A">
        <w:t>[</w:t>
      </w:r>
      <w:r w:rsidR="004C205C" w:rsidRPr="00C9026A">
        <w:t>1</w:t>
      </w:r>
      <w:r w:rsidR="00DA14B1" w:rsidRPr="00C9026A">
        <w:t xml:space="preserve">] </w:t>
      </w:r>
      <w:r w:rsidR="002F6ABF" w:rsidRPr="00C9026A">
        <w:t xml:space="preserve">defines the environment as the </w:t>
      </w:r>
      <w:r w:rsidR="00D05808" w:rsidRPr="00C9026A">
        <w:t>“</w:t>
      </w:r>
      <w:r w:rsidR="00822E50">
        <w:t xml:space="preserve">The </w:t>
      </w:r>
      <w:r w:rsidR="002F6ABF" w:rsidRPr="00C9026A">
        <w:t>conditions under which people, animals and plants live or develop and which sustain all life and development</w:t>
      </w:r>
      <w:r w:rsidR="008D6C9B" w:rsidRPr="00C9026A">
        <w:t>;</w:t>
      </w:r>
      <w:r w:rsidR="002F6ABF" w:rsidRPr="00C9026A">
        <w:t xml:space="preserve"> especially such conditions as affected by human activities</w:t>
      </w:r>
      <w:r w:rsidR="00D05808" w:rsidRPr="00C9026A">
        <w:t>”</w:t>
      </w:r>
      <w:r w:rsidR="002F6ABF" w:rsidRPr="00C9026A">
        <w:t>.</w:t>
      </w:r>
      <w:r w:rsidR="00063ECF" w:rsidRPr="00C9026A">
        <w:t xml:space="preserve"> </w:t>
      </w:r>
      <w:r w:rsidR="00FD7256" w:rsidRPr="00C9026A">
        <w:t xml:space="preserve">Usually, </w:t>
      </w:r>
      <w:r w:rsidR="00822E50">
        <w:t xml:space="preserve">the </w:t>
      </w:r>
      <w:r w:rsidR="00FD7256" w:rsidRPr="00C9026A">
        <w:t>environment includes</w:t>
      </w:r>
      <w:r w:rsidR="00063ECF" w:rsidRPr="00C9026A">
        <w:t xml:space="preserve"> </w:t>
      </w:r>
      <w:r w:rsidR="008E47CA" w:rsidRPr="00C9026A">
        <w:t xml:space="preserve">ecosystems </w:t>
      </w:r>
      <w:r w:rsidR="00822E50">
        <w:t>that</w:t>
      </w:r>
      <w:r w:rsidR="00822E50" w:rsidRPr="00C9026A">
        <w:t xml:space="preserve"> </w:t>
      </w:r>
      <w:r w:rsidR="008E47CA" w:rsidRPr="00C9026A">
        <w:t xml:space="preserve">comprise </w:t>
      </w:r>
      <w:r w:rsidR="00063ECF" w:rsidRPr="00C9026A">
        <w:t>biotic and abiotic components</w:t>
      </w:r>
      <w:r w:rsidR="00D4659C" w:rsidRPr="00C9026A">
        <w:t>.</w:t>
      </w:r>
    </w:p>
    <w:p w:rsidR="00AC064A" w:rsidRPr="00C9026A" w:rsidRDefault="00EA3AE0" w:rsidP="00A57A35">
      <w:pPr>
        <w:pStyle w:val="Heading4"/>
        <w:ind w:left="0"/>
      </w:pPr>
      <w:r w:rsidRPr="00C9026A">
        <w:t xml:space="preserve">GSR </w:t>
      </w:r>
      <w:r w:rsidR="00D34DBD" w:rsidRPr="00C9026A">
        <w:t xml:space="preserve">Part </w:t>
      </w:r>
      <w:r w:rsidRPr="00C9026A">
        <w:t>3</w:t>
      </w:r>
      <w:r w:rsidR="002F6ABF" w:rsidRPr="00C9026A">
        <w:t xml:space="preserve"> </w:t>
      </w:r>
      <w:r w:rsidR="008C6397" w:rsidRPr="00C9026A">
        <w:t xml:space="preserve">[1] </w:t>
      </w:r>
      <w:r w:rsidR="003F4D87">
        <w:t xml:space="preserve">further </w:t>
      </w:r>
      <w:r w:rsidR="00BC7F97">
        <w:t xml:space="preserve">states </w:t>
      </w:r>
      <w:r w:rsidR="003501E8">
        <w:t>in</w:t>
      </w:r>
      <w:r w:rsidR="002F6ABF" w:rsidRPr="00C9026A">
        <w:t xml:space="preserve"> </w:t>
      </w:r>
      <w:r w:rsidR="00BC7F97">
        <w:t xml:space="preserve">the </w:t>
      </w:r>
      <w:r w:rsidR="003501E8">
        <w:t>definition</w:t>
      </w:r>
      <w:r w:rsidR="00BC7F97">
        <w:t xml:space="preserve"> of the environment</w:t>
      </w:r>
      <w:r w:rsidR="003501E8">
        <w:t xml:space="preserve"> </w:t>
      </w:r>
      <w:r w:rsidR="002F6ABF" w:rsidRPr="00C9026A">
        <w:t xml:space="preserve">that </w:t>
      </w:r>
      <w:r w:rsidR="003501E8">
        <w:t>“</w:t>
      </w:r>
      <w:r w:rsidR="003F4D87">
        <w:t>P</w:t>
      </w:r>
      <w:r w:rsidR="002F6ABF" w:rsidRPr="00C9026A">
        <w:t xml:space="preserve">rotection of the environment </w:t>
      </w:r>
      <w:r w:rsidR="003501E8">
        <w:t>includes</w:t>
      </w:r>
      <w:r w:rsidR="003501E8" w:rsidRPr="00C9026A">
        <w:t xml:space="preserve"> </w:t>
      </w:r>
      <w:r w:rsidR="002F6ABF" w:rsidRPr="00C9026A">
        <w:t>protection and conservation of</w:t>
      </w:r>
      <w:r w:rsidR="003F4D87">
        <w:t>:</w:t>
      </w:r>
      <w:r w:rsidR="002F6ABF" w:rsidRPr="00C9026A">
        <w:t xml:space="preserve"> non-human species, both animal and plant, and their biodiversity; environmental goods and services</w:t>
      </w:r>
      <w:r w:rsidR="003F4D87">
        <w:t>,</w:t>
      </w:r>
      <w:r w:rsidR="002F6ABF" w:rsidRPr="00C9026A">
        <w:t xml:space="preserve"> such as the production of food and feed; resources used in agriculture, forestry, fisheries and tourism; amenities used in spiritual, cultural and recreational activities; media such as soil</w:t>
      </w:r>
      <w:r w:rsidR="000B0DE8" w:rsidRPr="00C9026A">
        <w:t>,</w:t>
      </w:r>
      <w:r w:rsidR="00E3000A" w:rsidRPr="00C9026A">
        <w:t xml:space="preserve"> </w:t>
      </w:r>
      <w:r w:rsidR="00641E1D" w:rsidRPr="00C9026A">
        <w:t xml:space="preserve">sediments, </w:t>
      </w:r>
      <w:r w:rsidR="002F6ABF" w:rsidRPr="00C9026A">
        <w:t>water and air; and natural processes</w:t>
      </w:r>
      <w:r w:rsidR="003501E8">
        <w:t>, such as carbon, nitrogen and water cycles”</w:t>
      </w:r>
      <w:r w:rsidR="005F7F04" w:rsidRPr="00C9026A">
        <w:t>.</w:t>
      </w:r>
    </w:p>
    <w:p w:rsidR="0055117A" w:rsidRPr="00C9026A" w:rsidRDefault="003F4D87" w:rsidP="00A57A35">
      <w:pPr>
        <w:pStyle w:val="Heading4"/>
        <w:ind w:left="0"/>
      </w:pPr>
      <w:proofErr w:type="gramStart"/>
      <w:r>
        <w:t>Furthermore</w:t>
      </w:r>
      <w:r w:rsidR="005841BF" w:rsidRPr="00C9026A">
        <w:t xml:space="preserve">, </w:t>
      </w:r>
      <w:r w:rsidR="00BC7F97">
        <w:t xml:space="preserve">the introduction of GSR Part 3 [1] in </w:t>
      </w:r>
      <w:r w:rsidR="00723629">
        <w:t>para</w:t>
      </w:r>
      <w:r w:rsidR="007E0B92">
        <w:t>.</w:t>
      </w:r>
      <w:proofErr w:type="gramEnd"/>
      <w:r w:rsidR="00723629">
        <w:t xml:space="preserve"> 1.35</w:t>
      </w:r>
      <w:r w:rsidR="007E0B92">
        <w:t xml:space="preserve"> </w:t>
      </w:r>
      <w:r w:rsidR="00BC7F97">
        <w:t>notes</w:t>
      </w:r>
      <w:r w:rsidR="00BC7F97" w:rsidRPr="00C9026A">
        <w:t xml:space="preserve"> </w:t>
      </w:r>
      <w:r w:rsidR="00822012" w:rsidRPr="00C9026A">
        <w:t xml:space="preserve">that </w:t>
      </w:r>
      <w:r>
        <w:t>“</w:t>
      </w:r>
      <w:r w:rsidR="00822012" w:rsidRPr="00C9026A">
        <w:t xml:space="preserve">the </w:t>
      </w:r>
      <w:r w:rsidR="003635CE" w:rsidRPr="00C9026A">
        <w:t>protection of the environment</w:t>
      </w:r>
      <w:r w:rsidR="00822012" w:rsidRPr="00C9026A">
        <w:t xml:space="preserve"> </w:t>
      </w:r>
      <w:r w:rsidR="00C3689E">
        <w:t>[</w:t>
      </w:r>
      <w:r w:rsidR="00822012" w:rsidRPr="00C9026A">
        <w:t>is</w:t>
      </w:r>
      <w:r w:rsidR="00C3689E">
        <w:t xml:space="preserve"> identified]</w:t>
      </w:r>
      <w:r w:rsidR="003635CE" w:rsidRPr="00C9026A">
        <w:t xml:space="preserve"> </w:t>
      </w:r>
      <w:r w:rsidR="00C3689E">
        <w:t xml:space="preserve">as </w:t>
      </w:r>
      <w:r w:rsidR="003635CE" w:rsidRPr="00C9026A">
        <w:t xml:space="preserve">an issue necessitating assessment, </w:t>
      </w:r>
      <w:r w:rsidR="00723629">
        <w:t xml:space="preserve">while </w:t>
      </w:r>
      <w:r w:rsidR="003635CE" w:rsidRPr="00C9026A">
        <w:t>allowing for flexibility in incorporating into decision</w:t>
      </w:r>
      <w:r w:rsidR="007E0B92">
        <w:t xml:space="preserve"> </w:t>
      </w:r>
      <w:r w:rsidR="003635CE" w:rsidRPr="00C9026A">
        <w:t>making processes the results of environmental assessments that are commensurate with the radiation risks</w:t>
      </w:r>
      <w:r>
        <w:t>”</w:t>
      </w:r>
      <w:r w:rsidR="0055117A" w:rsidRPr="00C9026A">
        <w:t xml:space="preserve"> </w:t>
      </w:r>
      <w:r w:rsidR="004C0659" w:rsidRPr="00C9026A">
        <w:t>[1]</w:t>
      </w:r>
      <w:r w:rsidR="00B40F28" w:rsidRPr="00C9026A">
        <w:t>.</w:t>
      </w:r>
    </w:p>
    <w:p w:rsidR="00F57F2A" w:rsidRPr="00C9026A" w:rsidRDefault="00F57F2A" w:rsidP="00A57A35">
      <w:pPr>
        <w:pStyle w:val="Heading2"/>
      </w:pPr>
      <w:bookmarkStart w:id="23" w:name="_Toc364417613"/>
      <w:bookmarkStart w:id="24" w:name="_Toc447613467"/>
      <w:bookmarkStart w:id="25" w:name="_Toc450203990"/>
      <w:r w:rsidRPr="00C9026A">
        <w:lastRenderedPageBreak/>
        <w:t>Radiological Environmental Impact Assessment</w:t>
      </w:r>
      <w:bookmarkEnd w:id="23"/>
      <w:bookmarkEnd w:id="24"/>
      <w:bookmarkEnd w:id="25"/>
    </w:p>
    <w:p w:rsidR="00F57F2A" w:rsidRPr="00C9026A" w:rsidRDefault="00F57F2A" w:rsidP="00A57A35">
      <w:pPr>
        <w:pStyle w:val="Heading4"/>
        <w:ind w:left="0"/>
      </w:pPr>
      <w:r w:rsidRPr="00C9026A">
        <w:t xml:space="preserve">For the purpose of this Safety Guide, </w:t>
      </w:r>
      <w:r w:rsidR="003F4D87">
        <w:t xml:space="preserve">a </w:t>
      </w:r>
      <w:r w:rsidRPr="00C9026A">
        <w:t xml:space="preserve">radiological environmental impact assessment is </w:t>
      </w:r>
      <w:r w:rsidR="00380FCF">
        <w:t>a</w:t>
      </w:r>
      <w:r w:rsidRPr="00C9026A">
        <w:t xml:space="preserve"> </w:t>
      </w:r>
      <w:r w:rsidR="00C570C3" w:rsidRPr="00C9026A">
        <w:t xml:space="preserve">prospective </w:t>
      </w:r>
      <w:r w:rsidRPr="00C9026A">
        <w:t>assessment</w:t>
      </w:r>
      <w:r w:rsidR="00380FCF">
        <w:t xml:space="preserve"> of </w:t>
      </w:r>
      <w:r w:rsidRPr="00C9026A">
        <w:t xml:space="preserve">the </w:t>
      </w:r>
      <w:r w:rsidR="00C570C3" w:rsidRPr="00C9026A">
        <w:t xml:space="preserve">expected and </w:t>
      </w:r>
      <w:r w:rsidR="008B397C" w:rsidRPr="00C9026A">
        <w:t>analytical</w:t>
      </w:r>
      <w:r w:rsidR="00380FCF">
        <w:t>ly</w:t>
      </w:r>
      <w:r w:rsidR="008B397C" w:rsidRPr="00C9026A">
        <w:t xml:space="preserve"> </w:t>
      </w:r>
      <w:r w:rsidR="00C570C3" w:rsidRPr="00C9026A">
        <w:t>conceivable</w:t>
      </w:r>
      <w:r w:rsidR="00563ABE" w:rsidRPr="00C9026A">
        <w:t xml:space="preserve"> </w:t>
      </w:r>
      <w:r w:rsidRPr="00C9026A">
        <w:t>radiological impacts</w:t>
      </w:r>
      <w:r w:rsidR="00871A35">
        <w:t>, which is quantified in terms of effective dose to members of the public,</w:t>
      </w:r>
      <w:r w:rsidR="00871A35" w:rsidRPr="00871A35">
        <w:t xml:space="preserve"> </w:t>
      </w:r>
      <w:r w:rsidR="003F4D87">
        <w:t xml:space="preserve">and </w:t>
      </w:r>
      <w:r w:rsidR="00C3689E">
        <w:t xml:space="preserve">which is </w:t>
      </w:r>
      <w:r w:rsidR="00871A35">
        <w:t>conducted as part of the authorization process</w:t>
      </w:r>
      <w:r w:rsidR="00380FCF">
        <w:t xml:space="preserve">. The </w:t>
      </w:r>
      <w:r w:rsidRPr="00C9026A">
        <w:t xml:space="preserve">results </w:t>
      </w:r>
      <w:r w:rsidR="003F4D87">
        <w:t xml:space="preserve">of a </w:t>
      </w:r>
      <w:r w:rsidR="003F4D87" w:rsidRPr="00C9026A">
        <w:t xml:space="preserve">radiological environmental impact assessment </w:t>
      </w:r>
      <w:r w:rsidR="00380FCF">
        <w:t xml:space="preserve">are compared </w:t>
      </w:r>
      <w:r w:rsidRPr="00C9026A">
        <w:t xml:space="preserve">with predefined </w:t>
      </w:r>
      <w:r w:rsidR="00380FCF">
        <w:t xml:space="preserve">radiological </w:t>
      </w:r>
      <w:r w:rsidRPr="00C9026A">
        <w:t>criteria</w:t>
      </w:r>
      <w:r w:rsidR="00871A35">
        <w:t xml:space="preserve"> defined in GSR Part 3</w:t>
      </w:r>
      <w:r w:rsidR="00487C17">
        <w:t xml:space="preserve"> [1]</w:t>
      </w:r>
      <w:r w:rsidRPr="00C9026A">
        <w:t xml:space="preserve">. </w:t>
      </w:r>
      <w:r w:rsidR="00DF2B90" w:rsidRPr="00C9026A">
        <w:t xml:space="preserve">A radiological environmental impact assessment </w:t>
      </w:r>
      <w:r w:rsidRPr="00C9026A">
        <w:t xml:space="preserve">may be seen as one component of </w:t>
      </w:r>
      <w:r w:rsidR="00DF2B90" w:rsidRPr="00C9026A">
        <w:t xml:space="preserve">an </w:t>
      </w:r>
      <w:r w:rsidR="003F4D87">
        <w:t>environmental impact assessment</w:t>
      </w:r>
      <w:r w:rsidR="003F4D87" w:rsidRPr="00C9026A">
        <w:t xml:space="preserve"> </w:t>
      </w:r>
      <w:r w:rsidR="008B397C" w:rsidRPr="00C9026A">
        <w:t xml:space="preserve">(as described </w:t>
      </w:r>
      <w:r w:rsidR="003F4D87">
        <w:t>in paras 2.7 to 2.9</w:t>
      </w:r>
      <w:r w:rsidR="008B397C" w:rsidRPr="00C9026A">
        <w:t xml:space="preserve">) </w:t>
      </w:r>
      <w:r w:rsidRPr="00C9026A">
        <w:t>in the context of planning for</w:t>
      </w:r>
      <w:r w:rsidR="00987D06">
        <w:t xml:space="preserve"> </w:t>
      </w:r>
      <w:r w:rsidR="00C3689E">
        <w:t xml:space="preserve">a </w:t>
      </w:r>
      <w:r w:rsidR="00987D06">
        <w:t xml:space="preserve">particular </w:t>
      </w:r>
      <w:r w:rsidRPr="00C9026A">
        <w:t>facilit</w:t>
      </w:r>
      <w:r w:rsidR="00C3689E">
        <w:t>y or</w:t>
      </w:r>
      <w:r w:rsidR="000B7EA3" w:rsidRPr="00C9026A">
        <w:t xml:space="preserve"> activit</w:t>
      </w:r>
      <w:r w:rsidR="00C3689E">
        <w:t>y</w:t>
      </w:r>
      <w:r w:rsidRPr="00C9026A">
        <w:t xml:space="preserve">. </w:t>
      </w:r>
    </w:p>
    <w:p w:rsidR="00D96FCE" w:rsidRPr="00C9026A" w:rsidRDefault="00E233FA" w:rsidP="00A57A35">
      <w:pPr>
        <w:pStyle w:val="Heading2"/>
        <w:rPr>
          <w:lang w:val="en-GB"/>
        </w:rPr>
      </w:pPr>
      <w:bookmarkStart w:id="26" w:name="_Toc447613468"/>
      <w:bookmarkStart w:id="27" w:name="_Toc450203991"/>
      <w:r w:rsidRPr="00C9026A">
        <w:rPr>
          <w:lang w:val="en-GB"/>
        </w:rPr>
        <w:t xml:space="preserve">Members of the </w:t>
      </w:r>
      <w:r w:rsidR="00D96FCE" w:rsidRPr="00C9026A">
        <w:rPr>
          <w:lang w:val="en-GB"/>
        </w:rPr>
        <w:t>Public</w:t>
      </w:r>
      <w:bookmarkEnd w:id="26"/>
      <w:bookmarkEnd w:id="27"/>
      <w:r w:rsidR="00D96FCE" w:rsidRPr="00C9026A">
        <w:rPr>
          <w:lang w:val="en-GB"/>
        </w:rPr>
        <w:t xml:space="preserve"> </w:t>
      </w:r>
    </w:p>
    <w:p w:rsidR="007D0546" w:rsidRPr="00C9026A" w:rsidRDefault="003C5BC8" w:rsidP="00A57A35">
      <w:pPr>
        <w:pStyle w:val="Heading4"/>
        <w:ind w:left="0"/>
        <w:rPr>
          <w:lang w:eastAsia="en-GB"/>
        </w:rPr>
      </w:pPr>
      <w:r w:rsidRPr="00C9026A">
        <w:t>GSR Part 3</w:t>
      </w:r>
      <w:r w:rsidR="00DB550A" w:rsidRPr="00C9026A">
        <w:t xml:space="preserve"> </w:t>
      </w:r>
      <w:r w:rsidR="00AA287D" w:rsidRPr="00C9026A">
        <w:t xml:space="preserve">[1] </w:t>
      </w:r>
      <w:r w:rsidR="00DB550A" w:rsidRPr="00C9026A">
        <w:t xml:space="preserve">defines a member of the public </w:t>
      </w:r>
      <w:r w:rsidR="00A37688" w:rsidRPr="00C9026A">
        <w:t xml:space="preserve">as </w:t>
      </w:r>
      <w:r w:rsidR="00A37688" w:rsidRPr="00C9026A">
        <w:rPr>
          <w:rFonts w:eastAsia="TimesNewRoman"/>
        </w:rPr>
        <w:t>“in</w:t>
      </w:r>
      <w:r w:rsidR="00DB550A" w:rsidRPr="00C9026A">
        <w:rPr>
          <w:rFonts w:eastAsia="TimesNewRoman"/>
        </w:rPr>
        <w:t xml:space="preserve"> a general sense, any individual in the population except</w:t>
      </w:r>
      <w:r w:rsidR="005929F4" w:rsidRPr="00C9026A">
        <w:rPr>
          <w:rFonts w:eastAsia="TimesNewRoman"/>
        </w:rPr>
        <w:t xml:space="preserve"> </w:t>
      </w:r>
      <w:r w:rsidR="00DB550A" w:rsidRPr="00C9026A">
        <w:rPr>
          <w:rFonts w:eastAsia="TimesNewRoman"/>
        </w:rPr>
        <w:t xml:space="preserve">when subject to </w:t>
      </w:r>
      <w:r w:rsidR="00DB550A" w:rsidRPr="00C9026A">
        <w:t xml:space="preserve">occupational exposure </w:t>
      </w:r>
      <w:r w:rsidR="00DB550A" w:rsidRPr="00C9026A">
        <w:rPr>
          <w:rFonts w:eastAsia="TimesNewRoman"/>
        </w:rPr>
        <w:t xml:space="preserve">or </w:t>
      </w:r>
      <w:r w:rsidR="00DB550A" w:rsidRPr="00C9026A">
        <w:t xml:space="preserve">medical </w:t>
      </w:r>
      <w:r w:rsidR="004E18A3" w:rsidRPr="00C9026A">
        <w:t>exposure”</w:t>
      </w:r>
      <w:r w:rsidR="00DB550A" w:rsidRPr="00C9026A">
        <w:rPr>
          <w:rFonts w:eastAsia="TimesNewRoman"/>
        </w:rPr>
        <w:t xml:space="preserve">. </w:t>
      </w:r>
      <w:r w:rsidR="00C3689E">
        <w:rPr>
          <w:rFonts w:eastAsia="TimesNewRoman"/>
        </w:rPr>
        <w:t>SF-1</w:t>
      </w:r>
      <w:r w:rsidR="00D10EAB" w:rsidRPr="00C9026A">
        <w:rPr>
          <w:rFonts w:eastAsia="TimesNewRoman"/>
        </w:rPr>
        <w:t>,</w:t>
      </w:r>
      <w:r w:rsidR="005929F4" w:rsidRPr="00C9026A">
        <w:rPr>
          <w:rFonts w:eastAsia="TimesNewRoman"/>
        </w:rPr>
        <w:t xml:space="preserve"> Principle 7</w:t>
      </w:r>
      <w:r w:rsidR="00D10EAB" w:rsidRPr="00C9026A">
        <w:rPr>
          <w:rFonts w:eastAsia="TimesNewRoman"/>
        </w:rPr>
        <w:t>,</w:t>
      </w:r>
      <w:r w:rsidR="005929F4" w:rsidRPr="00C9026A">
        <w:rPr>
          <w:rFonts w:eastAsia="TimesNewRoman"/>
        </w:rPr>
        <w:t xml:space="preserve"> states that </w:t>
      </w:r>
      <w:r w:rsidR="003F4D87">
        <w:rPr>
          <w:rFonts w:eastAsia="TimesNewRoman"/>
        </w:rPr>
        <w:t>“</w:t>
      </w:r>
      <w:r w:rsidR="005929F4" w:rsidRPr="00C9026A">
        <w:rPr>
          <w:lang w:eastAsia="en-GB"/>
        </w:rPr>
        <w:t>safety standards apply not only to local populations but also to</w:t>
      </w:r>
      <w:r w:rsidR="005929F4" w:rsidRPr="00C9026A">
        <w:t xml:space="preserve"> </w:t>
      </w:r>
      <w:r w:rsidR="005929F4" w:rsidRPr="00C9026A">
        <w:rPr>
          <w:lang w:eastAsia="en-GB"/>
        </w:rPr>
        <w:t>populations remote from facilities and activities</w:t>
      </w:r>
      <w:r w:rsidR="003F4D87">
        <w:rPr>
          <w:lang w:eastAsia="en-GB"/>
        </w:rPr>
        <w:t>”</w:t>
      </w:r>
      <w:r w:rsidR="005929F4" w:rsidRPr="00C9026A">
        <w:rPr>
          <w:lang w:eastAsia="en-GB"/>
        </w:rPr>
        <w:t xml:space="preserve">. In addition, </w:t>
      </w:r>
      <w:r w:rsidR="003F4D87">
        <w:rPr>
          <w:lang w:eastAsia="en-GB"/>
        </w:rPr>
        <w:t>“</w:t>
      </w:r>
      <w:r w:rsidR="005929F4" w:rsidRPr="00C9026A">
        <w:rPr>
          <w:lang w:eastAsia="en-GB"/>
        </w:rPr>
        <w:t>where effects could span generations, subsequent generations have to be</w:t>
      </w:r>
      <w:r w:rsidR="005929F4" w:rsidRPr="00C9026A">
        <w:t xml:space="preserve"> </w:t>
      </w:r>
      <w:r w:rsidR="005929F4" w:rsidRPr="00C9026A">
        <w:rPr>
          <w:lang w:eastAsia="en-GB"/>
        </w:rPr>
        <w:t>adequately protected without any need for them to take significant</w:t>
      </w:r>
      <w:r w:rsidR="005929F4" w:rsidRPr="00C9026A">
        <w:t xml:space="preserve"> </w:t>
      </w:r>
      <w:r w:rsidR="005929F4" w:rsidRPr="00C9026A">
        <w:rPr>
          <w:lang w:eastAsia="en-GB"/>
        </w:rPr>
        <w:t>protective actions</w:t>
      </w:r>
      <w:r w:rsidR="003F4D87">
        <w:rPr>
          <w:lang w:eastAsia="en-GB"/>
        </w:rPr>
        <w:t>”</w:t>
      </w:r>
      <w:r w:rsidR="00D10EAB" w:rsidRPr="00C9026A">
        <w:rPr>
          <w:lang w:eastAsia="en-GB"/>
        </w:rPr>
        <w:t xml:space="preserve"> </w:t>
      </w:r>
      <w:r w:rsidR="00D10EAB" w:rsidRPr="00C9026A">
        <w:rPr>
          <w:rFonts w:eastAsia="TimesNewRoman"/>
        </w:rPr>
        <w:t>[2]</w:t>
      </w:r>
      <w:r w:rsidR="005929F4" w:rsidRPr="00C9026A">
        <w:rPr>
          <w:lang w:eastAsia="en-GB"/>
        </w:rPr>
        <w:t>.</w:t>
      </w:r>
    </w:p>
    <w:p w:rsidR="00C7077F" w:rsidRPr="00C9026A" w:rsidRDefault="00BD0D6A" w:rsidP="00BD0D6A">
      <w:pPr>
        <w:overflowPunct/>
        <w:autoSpaceDE/>
        <w:autoSpaceDN/>
        <w:adjustRightInd/>
        <w:spacing w:after="0"/>
        <w:jc w:val="left"/>
        <w:textAlignment w:val="auto"/>
        <w:rPr>
          <w:lang w:eastAsia="en-GB"/>
        </w:rPr>
      </w:pPr>
      <w:r>
        <w:rPr>
          <w:lang w:eastAsia="en-GB"/>
        </w:rPr>
        <w:br w:type="page"/>
      </w:r>
    </w:p>
    <w:p w:rsidR="002F6ABF" w:rsidRPr="00C9026A" w:rsidRDefault="00273F65" w:rsidP="00A57A35">
      <w:pPr>
        <w:pStyle w:val="Heading1"/>
        <w:rPr>
          <w:szCs w:val="24"/>
          <w:lang w:val="en-GB"/>
        </w:rPr>
      </w:pPr>
      <w:bookmarkStart w:id="28" w:name="_Toc447613469"/>
      <w:bookmarkStart w:id="29" w:name="_Toc450203992"/>
      <w:r w:rsidRPr="00C9026A">
        <w:rPr>
          <w:szCs w:val="24"/>
          <w:lang w:val="en-GB"/>
        </w:rPr>
        <w:lastRenderedPageBreak/>
        <w:t xml:space="preserve">SAFETY REQUIREMENTS RELEVANT TO </w:t>
      </w:r>
      <w:r w:rsidR="00384375" w:rsidRPr="00C9026A">
        <w:rPr>
          <w:szCs w:val="24"/>
          <w:lang w:val="en-GB"/>
        </w:rPr>
        <w:t>prospective radiological environmental impact assessment</w:t>
      </w:r>
      <w:r w:rsidR="00A6555C">
        <w:rPr>
          <w:szCs w:val="24"/>
          <w:lang w:val="en-GB"/>
        </w:rPr>
        <w:t xml:space="preserve"> and protection of the public</w:t>
      </w:r>
      <w:bookmarkEnd w:id="28"/>
      <w:bookmarkEnd w:id="29"/>
    </w:p>
    <w:p w:rsidR="009646BC" w:rsidRPr="00C9026A" w:rsidRDefault="00C3689E" w:rsidP="00A57A35">
      <w:pPr>
        <w:pStyle w:val="Heading4"/>
        <w:ind w:left="0"/>
      </w:pPr>
      <w:r>
        <w:t>This section</w:t>
      </w:r>
      <w:r w:rsidR="009646BC" w:rsidRPr="00C9026A">
        <w:t xml:space="preserve"> contain extracts from the </w:t>
      </w:r>
      <w:r>
        <w:t>SF-1</w:t>
      </w:r>
      <w:r w:rsidR="009646BC" w:rsidRPr="00C9026A">
        <w:t xml:space="preserve"> [2]</w:t>
      </w:r>
      <w:r w:rsidR="00D53972" w:rsidRPr="00C9026A">
        <w:t>,</w:t>
      </w:r>
      <w:r w:rsidR="008B397C" w:rsidRPr="00C9026A">
        <w:t xml:space="preserve"> </w:t>
      </w:r>
      <w:r w:rsidR="00D122E9" w:rsidRPr="00C9026A">
        <w:t>GSR Part 3</w:t>
      </w:r>
      <w:r w:rsidR="00D53972" w:rsidRPr="00C9026A">
        <w:t xml:space="preserve"> </w:t>
      </w:r>
      <w:r w:rsidR="002B6CC7" w:rsidRPr="00C9026A">
        <w:t xml:space="preserve">[1] </w:t>
      </w:r>
      <w:r w:rsidR="00D53972" w:rsidRPr="00C9026A">
        <w:t xml:space="preserve">and </w:t>
      </w:r>
      <w:r w:rsidR="00DC6D9C">
        <w:t>GSR Part 4</w:t>
      </w:r>
      <w:r w:rsidR="002B6CC7" w:rsidRPr="00C9026A">
        <w:t xml:space="preserve"> [</w:t>
      </w:r>
      <w:r w:rsidR="00911864" w:rsidRPr="00C9026A">
        <w:t>5</w:t>
      </w:r>
      <w:r w:rsidR="009646BC" w:rsidRPr="00C9026A">
        <w:t xml:space="preserve">] </w:t>
      </w:r>
      <w:r w:rsidR="003F4D87">
        <w:t>setting out</w:t>
      </w:r>
      <w:r w:rsidR="003F4D87" w:rsidRPr="00C9026A">
        <w:t xml:space="preserve"> </w:t>
      </w:r>
      <w:r w:rsidR="00D53972" w:rsidRPr="00C9026A">
        <w:t xml:space="preserve">the relevant safety requirements </w:t>
      </w:r>
      <w:r w:rsidR="002412F5">
        <w:t xml:space="preserve">for protection of the public and the environment </w:t>
      </w:r>
      <w:r>
        <w:t xml:space="preserve">that </w:t>
      </w:r>
      <w:r w:rsidR="003F4D87">
        <w:t xml:space="preserve">are required to </w:t>
      </w:r>
      <w:r w:rsidR="002412F5">
        <w:t xml:space="preserve">be considered </w:t>
      </w:r>
      <w:r w:rsidR="003F4D87">
        <w:t>in the</w:t>
      </w:r>
      <w:r w:rsidR="003F4D87" w:rsidRPr="00C9026A">
        <w:t xml:space="preserve"> </w:t>
      </w:r>
      <w:r w:rsidR="009646BC" w:rsidRPr="00C9026A">
        <w:t xml:space="preserve">conduct </w:t>
      </w:r>
      <w:r>
        <w:t xml:space="preserve">of </w:t>
      </w:r>
      <w:r w:rsidR="002412F5">
        <w:t>prospective radiological environmental</w:t>
      </w:r>
      <w:r w:rsidR="009646BC" w:rsidRPr="00C9026A">
        <w:t xml:space="preserve"> assessment</w:t>
      </w:r>
      <w:r w:rsidR="002412F5">
        <w:t>s</w:t>
      </w:r>
      <w:r w:rsidR="009646BC" w:rsidRPr="00C9026A">
        <w:t xml:space="preserve"> for planned exposure situations.</w:t>
      </w:r>
      <w:r w:rsidR="00D53972" w:rsidRPr="00C9026A">
        <w:t xml:space="preserve"> </w:t>
      </w:r>
      <w:r w:rsidR="003F4D87">
        <w:t xml:space="preserve">Recommendations on how to meet </w:t>
      </w:r>
      <w:r w:rsidR="002412F5">
        <w:t xml:space="preserve">these </w:t>
      </w:r>
      <w:r w:rsidR="0027672E" w:rsidRPr="00C9026A">
        <w:t xml:space="preserve">requirements </w:t>
      </w:r>
      <w:r w:rsidR="003F4D87">
        <w:t xml:space="preserve">are </w:t>
      </w:r>
      <w:r w:rsidR="002412F5">
        <w:t>provided</w:t>
      </w:r>
      <w:r w:rsidR="0027672E" w:rsidRPr="00C9026A">
        <w:t xml:space="preserve"> in Section</w:t>
      </w:r>
      <w:r w:rsidR="00924C3A">
        <w:t>s</w:t>
      </w:r>
      <w:r w:rsidR="0027672E" w:rsidRPr="00C9026A">
        <w:t xml:space="preserve"> 4 and 5 </w:t>
      </w:r>
      <w:r w:rsidR="006D6CBB">
        <w:t xml:space="preserve">and in the Appendix </w:t>
      </w:r>
      <w:r w:rsidR="0027672E" w:rsidRPr="00C9026A">
        <w:t>of this Safety Guide</w:t>
      </w:r>
      <w:r w:rsidR="00C53F4B">
        <w:t>.</w:t>
      </w:r>
    </w:p>
    <w:p w:rsidR="009646BC" w:rsidRPr="00F235F3" w:rsidRDefault="007B3CDE" w:rsidP="00A57A35">
      <w:pPr>
        <w:pStyle w:val="Heading2"/>
        <w:rPr>
          <w:lang w:val="en-GB"/>
        </w:rPr>
      </w:pPr>
      <w:bookmarkStart w:id="30" w:name="_Toc447613470"/>
      <w:bookmarkStart w:id="31" w:name="_Toc450203993"/>
      <w:r w:rsidRPr="00F235F3">
        <w:rPr>
          <w:lang w:val="en-GB"/>
        </w:rPr>
        <w:t xml:space="preserve">Limitation </w:t>
      </w:r>
      <w:r w:rsidR="00E23400">
        <w:rPr>
          <w:lang w:val="en-GB"/>
        </w:rPr>
        <w:t>of dose and constraint of dose and risk</w:t>
      </w:r>
      <w:bookmarkEnd w:id="30"/>
      <w:bookmarkEnd w:id="31"/>
    </w:p>
    <w:p w:rsidR="004E4C64" w:rsidRPr="00C9026A" w:rsidRDefault="003F4D87" w:rsidP="00A57A35">
      <w:pPr>
        <w:pStyle w:val="Heading4"/>
        <w:ind w:left="0"/>
      </w:pPr>
      <w:r>
        <w:rPr>
          <w:rFonts w:eastAsia="TimesNewRoman"/>
          <w:lang w:eastAsia="en-GB"/>
        </w:rPr>
        <w:t>SF-1</w:t>
      </w:r>
      <w:r w:rsidR="004E4C64" w:rsidRPr="00C9026A">
        <w:t xml:space="preserve"> [2] establish</w:t>
      </w:r>
      <w:r>
        <w:t>es</w:t>
      </w:r>
      <w:r w:rsidR="00A4244F">
        <w:t xml:space="preserve"> </w:t>
      </w:r>
      <w:r w:rsidR="004E4C64" w:rsidRPr="00C9026A">
        <w:t xml:space="preserve">principles for ensuring the protection of the public and the environment, now and in the future, from harmful effects of ionizing radiation, and </w:t>
      </w:r>
      <w:r>
        <w:t>states that</w:t>
      </w:r>
      <w:r w:rsidR="004E4C64" w:rsidRPr="00C9026A">
        <w:t xml:space="preserve"> “doses and radiation risks </w:t>
      </w:r>
      <w:r>
        <w:t>must</w:t>
      </w:r>
      <w:r w:rsidRPr="00C9026A">
        <w:t xml:space="preserve"> </w:t>
      </w:r>
      <w:r w:rsidR="004E4C64" w:rsidRPr="00C9026A">
        <w:t>be controlled within specified limits”. These principles apply to situations involving exposure to, or the potential for exposure to, ionizing radiation</w:t>
      </w:r>
      <w:r w:rsidR="004E4C64" w:rsidRPr="00C9026A">
        <w:rPr>
          <w:rStyle w:val="FootnoteReference"/>
        </w:rPr>
        <w:footnoteReference w:id="11"/>
      </w:r>
      <w:r w:rsidR="004E4C64" w:rsidRPr="00C9026A">
        <w:t>.</w:t>
      </w:r>
    </w:p>
    <w:p w:rsidR="004E4C64" w:rsidRDefault="00EA3AE0" w:rsidP="00A57A35">
      <w:pPr>
        <w:pStyle w:val="Heading4"/>
        <w:ind w:left="0"/>
      </w:pPr>
      <w:r w:rsidRPr="00C9026A">
        <w:t xml:space="preserve">GSR </w:t>
      </w:r>
      <w:r w:rsidR="00D34DBD" w:rsidRPr="00C9026A">
        <w:t xml:space="preserve">Part </w:t>
      </w:r>
      <w:r w:rsidRPr="00C9026A">
        <w:t>3</w:t>
      </w:r>
      <w:r w:rsidR="005844B9" w:rsidRPr="00C9026A">
        <w:t xml:space="preserve"> [</w:t>
      </w:r>
      <w:r w:rsidR="00A77879" w:rsidRPr="00C9026A">
        <w:t xml:space="preserve">1] </w:t>
      </w:r>
      <w:r w:rsidR="007644C9">
        <w:t>states</w:t>
      </w:r>
      <w:r w:rsidR="007644C9" w:rsidRPr="00C9026A">
        <w:t xml:space="preserve"> </w:t>
      </w:r>
      <w:r w:rsidR="00A77879" w:rsidRPr="00C9026A">
        <w:t>that</w:t>
      </w:r>
      <w:r w:rsidR="006A15B7">
        <w:t>,</w:t>
      </w:r>
      <w:r w:rsidR="001A3C5F" w:rsidRPr="00C9026A">
        <w:t xml:space="preserve"> </w:t>
      </w:r>
      <w:r w:rsidR="00227A32">
        <w:t>for planned exposure situations</w:t>
      </w:r>
      <w:r w:rsidR="006A15B7">
        <w:t>,</w:t>
      </w:r>
      <w:r w:rsidR="00227A32">
        <w:t xml:space="preserve"> exposures </w:t>
      </w:r>
      <w:r w:rsidR="007644C9">
        <w:t xml:space="preserve">of </w:t>
      </w:r>
      <w:r w:rsidR="00227A32">
        <w:t xml:space="preserve">and risk to members of the public are </w:t>
      </w:r>
      <w:r w:rsidR="007644C9">
        <w:t>required to</w:t>
      </w:r>
      <w:r w:rsidR="00C3689E">
        <w:t xml:space="preserve"> be</w:t>
      </w:r>
      <w:r w:rsidR="007644C9">
        <w:t xml:space="preserve"> </w:t>
      </w:r>
      <w:r w:rsidR="00227A32">
        <w:t xml:space="preserve">subject </w:t>
      </w:r>
      <w:r w:rsidR="001A3C5F" w:rsidRPr="00C9026A">
        <w:t xml:space="preserve">to control </w:t>
      </w:r>
      <w:r w:rsidR="00883874">
        <w:t>(</w:t>
      </w:r>
      <w:r w:rsidR="007644C9">
        <w:t xml:space="preserve">paras </w:t>
      </w:r>
      <w:r w:rsidR="00883874">
        <w:t>2.11, 3.26, 3.27</w:t>
      </w:r>
      <w:r w:rsidR="004667AD">
        <w:t>, 3.120 (c)</w:t>
      </w:r>
      <w:r w:rsidR="006A15B7">
        <w:t xml:space="preserve"> and</w:t>
      </w:r>
      <w:r w:rsidR="004667AD">
        <w:t xml:space="preserve"> 3.123 (b))</w:t>
      </w:r>
      <w:r w:rsidR="00335145" w:rsidRPr="00C9026A">
        <w:t>.</w:t>
      </w:r>
    </w:p>
    <w:p w:rsidR="009646BC" w:rsidRPr="00C9026A" w:rsidRDefault="004E4C64" w:rsidP="00A57A35">
      <w:pPr>
        <w:pStyle w:val="Heading4"/>
        <w:ind w:left="0"/>
      </w:pPr>
      <w:r w:rsidRPr="00C9026A">
        <w:t xml:space="preserve">Requirement 12 of GSR Part 3 </w:t>
      </w:r>
      <w:r w:rsidR="007644C9">
        <w:t xml:space="preserve">[1] </w:t>
      </w:r>
      <w:r w:rsidRPr="00C9026A">
        <w:t>states that “</w:t>
      </w:r>
      <w:r w:rsidR="003A7011">
        <w:t>T</w:t>
      </w:r>
      <w:r w:rsidRPr="00C9026A">
        <w:t>he government or the regulatory body shall establish dose limits for… public exposure, and registrants and licensees shall apply these limits”.</w:t>
      </w:r>
    </w:p>
    <w:p w:rsidR="007644C9" w:rsidRDefault="007644C9" w:rsidP="00A57A35">
      <w:pPr>
        <w:pStyle w:val="Heading4"/>
        <w:ind w:left="0"/>
      </w:pPr>
      <w:proofErr w:type="gramStart"/>
      <w:r>
        <w:t>Paragraph 3.120</w:t>
      </w:r>
      <w:r w:rsidR="00273F65" w:rsidRPr="00C9026A">
        <w:t xml:space="preserve"> of</w:t>
      </w:r>
      <w:r w:rsidR="008B397C" w:rsidRPr="00C9026A">
        <w:t xml:space="preserve"> </w:t>
      </w:r>
      <w:r w:rsidR="00D122E9" w:rsidRPr="00C9026A">
        <w:t>GSR Part 3</w:t>
      </w:r>
      <w:r w:rsidR="00CE6844">
        <w:t xml:space="preserve"> [1]</w:t>
      </w:r>
      <w:r w:rsidR="00273F65" w:rsidRPr="00C9026A">
        <w:t>, which relates to responsibilities specific to public exposure, states that “</w:t>
      </w:r>
      <w:r>
        <w:t>T</w:t>
      </w:r>
      <w:r w:rsidR="00273F65" w:rsidRPr="00C9026A">
        <w:t xml:space="preserve">he government or </w:t>
      </w:r>
      <w:r w:rsidR="00A75EE1">
        <w:t xml:space="preserve">the </w:t>
      </w:r>
      <w:r w:rsidR="00273F65" w:rsidRPr="00C9026A">
        <w:t xml:space="preserve">regulatory body shall establish or approve constraints on dose and </w:t>
      </w:r>
      <w:r w:rsidR="00B76B3C">
        <w:t xml:space="preserve">constraints </w:t>
      </w:r>
      <w:r w:rsidR="00273F65" w:rsidRPr="00C9026A">
        <w:t>on risk to be used in the optimization of protection and safety for members of the public”.</w:t>
      </w:r>
      <w:proofErr w:type="gramEnd"/>
      <w:r w:rsidR="00273F65" w:rsidRPr="00C9026A">
        <w:t xml:space="preserve"> </w:t>
      </w:r>
      <w:r w:rsidR="00D53972" w:rsidRPr="00C9026A">
        <w:t xml:space="preserve">Paragraph 3.123 </w:t>
      </w:r>
      <w:r w:rsidR="00CE6844" w:rsidRPr="00C9026A">
        <w:t>of GSR Part 3</w:t>
      </w:r>
      <w:r w:rsidR="00CE6844">
        <w:t xml:space="preserve"> [1] </w:t>
      </w:r>
      <w:r w:rsidR="00273F65" w:rsidRPr="00C9026A">
        <w:t>states that</w:t>
      </w:r>
      <w:r w:rsidR="00CE6844">
        <w:t>:</w:t>
      </w:r>
      <w:r w:rsidR="00273F65" w:rsidRPr="00C9026A">
        <w:t xml:space="preserve"> </w:t>
      </w:r>
    </w:p>
    <w:p w:rsidR="00273F65" w:rsidRPr="00C9026A" w:rsidRDefault="00273F65" w:rsidP="007E60CF">
      <w:pPr>
        <w:pStyle w:val="Heading4"/>
        <w:numPr>
          <w:ilvl w:val="0"/>
          <w:numId w:val="0"/>
        </w:numPr>
        <w:ind w:left="567"/>
      </w:pPr>
      <w:r w:rsidRPr="00C9026A">
        <w:t>“</w:t>
      </w:r>
      <w:r w:rsidR="007644C9">
        <w:t>T</w:t>
      </w:r>
      <w:r w:rsidRPr="00C9026A">
        <w:t>he regulatory body shall establish or approve operational limits and conditions relating to public exposure, including authorized limits for discharge</w:t>
      </w:r>
      <w:r w:rsidR="00A75EE1">
        <w:t>s</w:t>
      </w:r>
      <w:r w:rsidRPr="00C9026A">
        <w:t>. These operational limits and conditions:</w:t>
      </w:r>
      <w:r w:rsidR="00F0207E">
        <w:t xml:space="preserve"> </w:t>
      </w:r>
      <w:r w:rsidR="00A75EE1">
        <w:t>…</w:t>
      </w:r>
    </w:p>
    <w:p w:rsidR="0024716F" w:rsidRPr="00C9026A" w:rsidRDefault="008A02EA" w:rsidP="007E60CF">
      <w:pPr>
        <w:pStyle w:val="BodyText"/>
        <w:ind w:left="567"/>
        <w:rPr>
          <w:lang w:val="en-GB"/>
        </w:rPr>
      </w:pPr>
      <w:r w:rsidRPr="00C9026A">
        <w:rPr>
          <w:lang w:val="en-GB"/>
        </w:rPr>
        <w:t>(</w:t>
      </w:r>
      <w:r w:rsidR="00B76B3C">
        <w:rPr>
          <w:lang w:val="en-GB"/>
        </w:rPr>
        <w:t>e</w:t>
      </w:r>
      <w:r w:rsidRPr="00C9026A">
        <w:rPr>
          <w:lang w:val="en-GB"/>
        </w:rPr>
        <w:t>)</w:t>
      </w:r>
      <w:r w:rsidR="00101236">
        <w:rPr>
          <w:lang w:val="en-GB"/>
        </w:rPr>
        <w:tab/>
      </w:r>
      <w:r w:rsidR="00A75EE1">
        <w:rPr>
          <w:lang w:val="en-GB"/>
        </w:rPr>
        <w:t>S</w:t>
      </w:r>
      <w:r w:rsidR="00273F65" w:rsidRPr="00C9026A">
        <w:rPr>
          <w:lang w:val="en-GB"/>
        </w:rPr>
        <w:t xml:space="preserve">hall take into account the results of the </w:t>
      </w:r>
      <w:r w:rsidR="00B76B3C">
        <w:rPr>
          <w:lang w:val="en-GB"/>
        </w:rPr>
        <w:t xml:space="preserve">prospective </w:t>
      </w:r>
      <w:r w:rsidR="00273F65" w:rsidRPr="00C9026A">
        <w:rPr>
          <w:lang w:val="en-GB"/>
        </w:rPr>
        <w:t xml:space="preserve">assessment </w:t>
      </w:r>
      <w:r w:rsidR="00B76B3C">
        <w:rPr>
          <w:lang w:val="en-GB"/>
        </w:rPr>
        <w:t>for</w:t>
      </w:r>
      <w:r w:rsidR="00273F65" w:rsidRPr="00C9026A">
        <w:rPr>
          <w:lang w:val="en-GB"/>
        </w:rPr>
        <w:t xml:space="preserve"> radiological environmental impacts</w:t>
      </w:r>
      <w:r w:rsidR="00B76B3C">
        <w:rPr>
          <w:lang w:val="en-GB"/>
        </w:rPr>
        <w:t xml:space="preserve"> that is</w:t>
      </w:r>
      <w:r w:rsidR="00273F65" w:rsidRPr="00C9026A">
        <w:rPr>
          <w:lang w:val="en-GB"/>
        </w:rPr>
        <w:t xml:space="preserve"> undertaken in accordance with requirements</w:t>
      </w:r>
      <w:r w:rsidR="00B76B3C">
        <w:rPr>
          <w:lang w:val="en-GB"/>
        </w:rPr>
        <w:t xml:space="preserve"> of the regulatory body</w:t>
      </w:r>
      <w:r w:rsidR="00EC76CF">
        <w:rPr>
          <w:lang w:val="en-GB"/>
        </w:rPr>
        <w:t>…</w:t>
      </w:r>
      <w:proofErr w:type="gramStart"/>
      <w:r w:rsidR="00273F65" w:rsidRPr="00C9026A">
        <w:rPr>
          <w:lang w:val="en-GB"/>
        </w:rPr>
        <w:t>”.</w:t>
      </w:r>
      <w:proofErr w:type="gramEnd"/>
      <w:r w:rsidR="0024716F" w:rsidRPr="00C9026A">
        <w:rPr>
          <w:lang w:val="en-GB"/>
        </w:rPr>
        <w:t xml:space="preserve"> </w:t>
      </w:r>
    </w:p>
    <w:p w:rsidR="00A77879" w:rsidRPr="00C9026A" w:rsidRDefault="00A77879" w:rsidP="00A57A35">
      <w:pPr>
        <w:pStyle w:val="Heading2"/>
        <w:rPr>
          <w:lang w:val="en-GB"/>
        </w:rPr>
      </w:pPr>
      <w:bookmarkStart w:id="32" w:name="_Toc447613471"/>
      <w:bookmarkStart w:id="33" w:name="_Toc450203994"/>
      <w:r w:rsidRPr="00C9026A">
        <w:rPr>
          <w:lang w:val="en-GB"/>
        </w:rPr>
        <w:t xml:space="preserve">Assessment </w:t>
      </w:r>
      <w:r w:rsidR="001A2D86" w:rsidRPr="00C9026A">
        <w:rPr>
          <w:lang w:val="en-GB"/>
        </w:rPr>
        <w:t>for</w:t>
      </w:r>
      <w:r w:rsidRPr="00C9026A">
        <w:rPr>
          <w:lang w:val="en-GB"/>
        </w:rPr>
        <w:t xml:space="preserve"> protection of </w:t>
      </w:r>
      <w:r w:rsidR="00630BDA" w:rsidRPr="00C9026A">
        <w:rPr>
          <w:lang w:val="en-GB"/>
        </w:rPr>
        <w:t>the p</w:t>
      </w:r>
      <w:r w:rsidRPr="00C9026A">
        <w:rPr>
          <w:lang w:val="en-GB"/>
        </w:rPr>
        <w:t xml:space="preserve">ublic and </w:t>
      </w:r>
      <w:r w:rsidR="0099067C" w:rsidRPr="00C9026A">
        <w:rPr>
          <w:lang w:val="en-GB"/>
        </w:rPr>
        <w:t xml:space="preserve">protection </w:t>
      </w:r>
      <w:r w:rsidR="001A2D86" w:rsidRPr="00C9026A">
        <w:rPr>
          <w:lang w:val="en-GB"/>
        </w:rPr>
        <w:t xml:space="preserve">of </w:t>
      </w:r>
      <w:r w:rsidRPr="00C9026A">
        <w:rPr>
          <w:lang w:val="en-GB"/>
        </w:rPr>
        <w:t>the environment</w:t>
      </w:r>
      <w:bookmarkEnd w:id="32"/>
      <w:bookmarkEnd w:id="33"/>
    </w:p>
    <w:p w:rsidR="00431D61" w:rsidRDefault="00431D61" w:rsidP="00A57A35">
      <w:pPr>
        <w:pStyle w:val="Heading4"/>
        <w:ind w:left="0"/>
      </w:pPr>
      <w:r w:rsidRPr="00C9026A">
        <w:t>Principle 7</w:t>
      </w:r>
      <w:r w:rsidR="00C813BF" w:rsidRPr="00C9026A">
        <w:t xml:space="preserve"> of</w:t>
      </w:r>
      <w:r w:rsidR="00780900" w:rsidRPr="00C9026A">
        <w:t xml:space="preserve"> </w:t>
      </w:r>
      <w:r w:rsidR="00E43BC1">
        <w:t xml:space="preserve">SF-1 </w:t>
      </w:r>
      <w:r w:rsidR="00780900" w:rsidRPr="00C9026A">
        <w:t xml:space="preserve">[2] </w:t>
      </w:r>
      <w:r w:rsidRPr="00C9026A">
        <w:t>states</w:t>
      </w:r>
      <w:r w:rsidR="00C813BF" w:rsidRPr="00C9026A">
        <w:t xml:space="preserve"> that</w:t>
      </w:r>
      <w:r w:rsidRPr="00C9026A">
        <w:t>:</w:t>
      </w:r>
      <w:r w:rsidR="00791A7A" w:rsidRPr="00C9026A">
        <w:t xml:space="preserve"> “People and the environment, present and </w:t>
      </w:r>
      <w:proofErr w:type="gramStart"/>
      <w:r w:rsidR="00E81637" w:rsidRPr="00C9026A">
        <w:t>future,</w:t>
      </w:r>
      <w:proofErr w:type="gramEnd"/>
      <w:r w:rsidR="00791A7A" w:rsidRPr="00C9026A">
        <w:t xml:space="preserve"> must be protected against radiation risks</w:t>
      </w:r>
      <w:r w:rsidR="00B86436" w:rsidRPr="00C9026A">
        <w:t>”.</w:t>
      </w:r>
    </w:p>
    <w:p w:rsidR="006B08A8" w:rsidRPr="006B08A8" w:rsidRDefault="006B08A8" w:rsidP="007E60CF">
      <w:pPr>
        <w:pStyle w:val="Heading4"/>
        <w:ind w:left="0"/>
      </w:pPr>
      <w:proofErr w:type="gramStart"/>
      <w:r>
        <w:lastRenderedPageBreak/>
        <w:t>Paragraph</w:t>
      </w:r>
      <w:r w:rsidR="00A4244F">
        <w:t xml:space="preserve"> </w:t>
      </w:r>
      <w:r>
        <w:t xml:space="preserve">3.28 </w:t>
      </w:r>
      <w:r w:rsidR="00EC76CF">
        <w:t>of</w:t>
      </w:r>
      <w:r w:rsidR="006C4729">
        <w:t xml:space="preserve"> SF-1 </w:t>
      </w:r>
      <w:r w:rsidRPr="006B08A8">
        <w:t>[2] state</w:t>
      </w:r>
      <w:r>
        <w:t>s</w:t>
      </w:r>
      <w:r w:rsidRPr="006B08A8">
        <w:t xml:space="preserve"> that “</w:t>
      </w:r>
      <w:r w:rsidR="00EC76CF">
        <w:t>T</w:t>
      </w:r>
      <w:r w:rsidRPr="006B08A8">
        <w:t>he present system of radiation protection generally provides appropriate protection of ecosystems in the human environment against harmful effects of radiation exposure.</w:t>
      </w:r>
      <w:proofErr w:type="gramEnd"/>
      <w:r w:rsidRPr="006B08A8">
        <w:t xml:space="preserve"> The general intent of the measures taken for the purposes of environmental protection has been to protect ecosystems against radiation exposure that would have adverse consequences for populations of a species (as distinct from individual organisms)”</w:t>
      </w:r>
      <w:r>
        <w:t>.</w:t>
      </w:r>
    </w:p>
    <w:p w:rsidR="00EC76CF" w:rsidRDefault="00EC76CF" w:rsidP="00A57A35">
      <w:pPr>
        <w:pStyle w:val="Heading4"/>
        <w:ind w:left="0"/>
      </w:pPr>
      <w:r>
        <w:t>Paragraph 3.9</w:t>
      </w:r>
      <w:r w:rsidR="00487D98" w:rsidRPr="00C9026A">
        <w:t xml:space="preserve"> of GSR Part 3 [1] states that </w:t>
      </w:r>
    </w:p>
    <w:p w:rsidR="00487D98" w:rsidRPr="00C9026A" w:rsidRDefault="00487D98" w:rsidP="007E60CF">
      <w:pPr>
        <w:pStyle w:val="Heading4"/>
        <w:numPr>
          <w:ilvl w:val="0"/>
          <w:numId w:val="0"/>
        </w:numPr>
        <w:ind w:left="567"/>
      </w:pPr>
      <w:r w:rsidRPr="00C9026A">
        <w:t>“</w:t>
      </w:r>
      <w:r w:rsidR="00EC76CF">
        <w:t>A</w:t>
      </w:r>
      <w:r w:rsidRPr="00C9026A">
        <w:t>ny person or organization applying for authorization:</w:t>
      </w:r>
      <w:r w:rsidR="00CA3A8D">
        <w:t xml:space="preserve"> […] </w:t>
      </w:r>
    </w:p>
    <w:p w:rsidR="00487D98" w:rsidRPr="00C9026A" w:rsidRDefault="00487D98" w:rsidP="007E60CF">
      <w:pPr>
        <w:pStyle w:val="BodyText"/>
        <w:ind w:left="567"/>
        <w:rPr>
          <w:lang w:val="en-GB"/>
        </w:rPr>
      </w:pPr>
      <w:r w:rsidRPr="00C9026A">
        <w:rPr>
          <w:lang w:val="en-GB"/>
        </w:rPr>
        <w:t>(</w:t>
      </w:r>
      <w:r w:rsidR="00101236">
        <w:rPr>
          <w:lang w:val="en-GB"/>
        </w:rPr>
        <w:t>e</w:t>
      </w:r>
      <w:r w:rsidRPr="00C9026A">
        <w:rPr>
          <w:lang w:val="en-GB"/>
        </w:rPr>
        <w:t>)</w:t>
      </w:r>
      <w:r w:rsidR="00101236">
        <w:rPr>
          <w:lang w:val="en-GB"/>
        </w:rPr>
        <w:tab/>
        <w:t>S</w:t>
      </w:r>
      <w:r w:rsidRPr="00C9026A">
        <w:rPr>
          <w:lang w:val="en-GB"/>
        </w:rPr>
        <w:t>hall, as required by the regulatory body, have an appropriate prospective assessment made for radiological environmental impacts, commensurate with the radiation risks associated with the facility or activity”.</w:t>
      </w:r>
    </w:p>
    <w:p w:rsidR="00487D98" w:rsidRPr="00C9026A" w:rsidRDefault="00487D98" w:rsidP="00A57A35">
      <w:pPr>
        <w:pStyle w:val="BodyText"/>
        <w:rPr>
          <w:lang w:val="en-GB"/>
        </w:rPr>
      </w:pPr>
      <w:r w:rsidRPr="00C9026A">
        <w:rPr>
          <w:lang w:val="en-GB"/>
        </w:rPr>
        <w:t xml:space="preserve">Section 4 </w:t>
      </w:r>
      <w:r w:rsidR="00E4430A">
        <w:rPr>
          <w:lang w:val="en-GB"/>
        </w:rPr>
        <w:t>of this Safety Guide</w:t>
      </w:r>
      <w:r w:rsidR="00E4430A" w:rsidRPr="00C9026A">
        <w:rPr>
          <w:lang w:val="en-GB"/>
        </w:rPr>
        <w:t xml:space="preserve"> </w:t>
      </w:r>
      <w:r w:rsidR="00E4430A">
        <w:rPr>
          <w:lang w:val="en-GB"/>
        </w:rPr>
        <w:t>provides guidance on</w:t>
      </w:r>
      <w:r w:rsidR="00E4430A" w:rsidRPr="00C9026A">
        <w:rPr>
          <w:lang w:val="en-GB"/>
        </w:rPr>
        <w:t xml:space="preserve"> </w:t>
      </w:r>
      <w:r w:rsidRPr="00C9026A">
        <w:rPr>
          <w:lang w:val="en-GB"/>
        </w:rPr>
        <w:t>the context in which an assessment is done and Section 5 describes the methodology for assessment of the level of protection</w:t>
      </w:r>
      <w:r w:rsidR="00C45B92">
        <w:rPr>
          <w:lang w:val="en-GB"/>
        </w:rPr>
        <w:t xml:space="preserve"> of the public and the environment</w:t>
      </w:r>
      <w:r w:rsidRPr="00C9026A">
        <w:rPr>
          <w:lang w:val="en-GB"/>
        </w:rPr>
        <w:t xml:space="preserve">. </w:t>
      </w:r>
    </w:p>
    <w:p w:rsidR="00E4430A" w:rsidRDefault="00E4430A" w:rsidP="00A57A35">
      <w:pPr>
        <w:pStyle w:val="Heading4"/>
        <w:ind w:left="0"/>
      </w:pPr>
      <w:r>
        <w:t>Paragraph 3.15</w:t>
      </w:r>
      <w:r w:rsidR="00487D98" w:rsidRPr="00C9026A">
        <w:t xml:space="preserve"> of GSR Part 3 [1] </w:t>
      </w:r>
      <w:r>
        <w:t>establishes</w:t>
      </w:r>
      <w:r w:rsidRPr="00C9026A">
        <w:t xml:space="preserve"> </w:t>
      </w:r>
      <w:r w:rsidR="00487D98" w:rsidRPr="00C9026A">
        <w:t xml:space="preserve">the responsibilities of registrants and licensees in planned exposure situations. It states that </w:t>
      </w:r>
    </w:p>
    <w:p w:rsidR="00487D98" w:rsidRPr="00C9026A" w:rsidRDefault="00487D98" w:rsidP="007E60CF">
      <w:pPr>
        <w:pStyle w:val="Heading4"/>
        <w:numPr>
          <w:ilvl w:val="0"/>
          <w:numId w:val="0"/>
        </w:numPr>
        <w:ind w:left="567"/>
      </w:pPr>
      <w:r w:rsidRPr="00C9026A">
        <w:t>“</w:t>
      </w:r>
      <w:r w:rsidR="00E4430A">
        <w:t>R</w:t>
      </w:r>
      <w:r w:rsidRPr="00C9026A">
        <w:t>egistrants and licensees:</w:t>
      </w:r>
      <w:r w:rsidR="00F0207E">
        <w:t xml:space="preserve"> </w:t>
      </w:r>
      <w:r w:rsidR="00CA3A8D">
        <w:t>[</w:t>
      </w:r>
      <w:r w:rsidR="008D7F47">
        <w:t>…</w:t>
      </w:r>
      <w:r w:rsidR="00CA3A8D">
        <w:t>]</w:t>
      </w:r>
      <w:r w:rsidRPr="00C9026A">
        <w:t xml:space="preserve"> </w:t>
      </w:r>
    </w:p>
    <w:p w:rsidR="00487D98" w:rsidRPr="00C9026A" w:rsidRDefault="00487D98" w:rsidP="007E60CF">
      <w:pPr>
        <w:pStyle w:val="BodyText"/>
        <w:spacing w:after="120"/>
        <w:ind w:left="567"/>
        <w:rPr>
          <w:lang w:val="en-GB"/>
        </w:rPr>
      </w:pPr>
      <w:r w:rsidRPr="00C9026A">
        <w:rPr>
          <w:lang w:val="en-GB"/>
        </w:rPr>
        <w:t>(</w:t>
      </w:r>
      <w:r w:rsidR="008D7F47">
        <w:rPr>
          <w:lang w:val="en-GB"/>
        </w:rPr>
        <w:t>d</w:t>
      </w:r>
      <w:r w:rsidRPr="00C9026A">
        <w:rPr>
          <w:lang w:val="en-GB"/>
        </w:rPr>
        <w:t>)</w:t>
      </w:r>
      <w:r w:rsidR="00101236">
        <w:rPr>
          <w:lang w:val="en-GB"/>
        </w:rPr>
        <w:tab/>
      </w:r>
      <w:r w:rsidR="00A75EE1">
        <w:rPr>
          <w:lang w:val="en-GB"/>
        </w:rPr>
        <w:t>S</w:t>
      </w:r>
      <w:r w:rsidRPr="00C9026A">
        <w:rPr>
          <w:lang w:val="en-GB"/>
        </w:rPr>
        <w:t>hall, for the sources for which they are authorized and for which the regulatory body requires a prospective assessment to be made for radiological environmental impacts</w:t>
      </w:r>
      <w:r w:rsidR="00E4430A">
        <w:rPr>
          <w:lang w:val="en-GB"/>
        </w:rPr>
        <w:t>…</w:t>
      </w:r>
      <w:r w:rsidRPr="00C9026A">
        <w:rPr>
          <w:lang w:val="en-GB"/>
        </w:rPr>
        <w:t>, conduct such an assessment and keep it up to date</w:t>
      </w:r>
      <w:r w:rsidR="00877E19">
        <w:rPr>
          <w:lang w:val="en-GB"/>
        </w:rPr>
        <w:t>.”</w:t>
      </w:r>
    </w:p>
    <w:p w:rsidR="00E4430A" w:rsidRDefault="00431D61" w:rsidP="00E4430A">
      <w:pPr>
        <w:pStyle w:val="Heading4"/>
        <w:ind w:left="0"/>
      </w:pPr>
      <w:r w:rsidRPr="00C9026A">
        <w:t>Requirement 31</w:t>
      </w:r>
      <w:r w:rsidR="008F6F1D" w:rsidRPr="00C9026A">
        <w:t xml:space="preserve"> of</w:t>
      </w:r>
      <w:r w:rsidR="008B397C" w:rsidRPr="00C9026A">
        <w:t xml:space="preserve"> </w:t>
      </w:r>
      <w:r w:rsidR="00D122E9" w:rsidRPr="00C9026A">
        <w:t>GSR Part 3</w:t>
      </w:r>
      <w:r w:rsidR="008F6F1D" w:rsidRPr="00C9026A">
        <w:t xml:space="preserve"> </w:t>
      </w:r>
      <w:r w:rsidR="00DC6D9C">
        <w:t xml:space="preserve">[1] </w:t>
      </w:r>
      <w:r w:rsidR="008F6F1D" w:rsidRPr="00C9026A">
        <w:t>relates</w:t>
      </w:r>
      <w:r w:rsidR="00DF2B83" w:rsidRPr="00C9026A">
        <w:t xml:space="preserve"> to</w:t>
      </w:r>
      <w:r w:rsidRPr="00C9026A">
        <w:t xml:space="preserve"> </w:t>
      </w:r>
      <w:r w:rsidR="00E0014C" w:rsidRPr="00C9026A">
        <w:t>radioactive waste and discharges</w:t>
      </w:r>
      <w:r w:rsidRPr="00C9026A">
        <w:t>.</w:t>
      </w:r>
      <w:r w:rsidR="008F6F1D" w:rsidRPr="00C9026A">
        <w:t xml:space="preserve"> </w:t>
      </w:r>
      <w:r w:rsidR="006D1F75" w:rsidRPr="00C9026A">
        <w:t>P</w:t>
      </w:r>
      <w:r w:rsidR="00A77879" w:rsidRPr="00C9026A">
        <w:rPr>
          <w:szCs w:val="24"/>
        </w:rPr>
        <w:t>aragraph 3.132</w:t>
      </w:r>
      <w:r w:rsidR="00240BB8" w:rsidRPr="00C9026A">
        <w:rPr>
          <w:szCs w:val="24"/>
        </w:rPr>
        <w:t xml:space="preserve"> of</w:t>
      </w:r>
      <w:r w:rsidR="008B397C" w:rsidRPr="00C9026A">
        <w:rPr>
          <w:szCs w:val="24"/>
        </w:rPr>
        <w:t xml:space="preserve"> </w:t>
      </w:r>
      <w:r w:rsidR="00D122E9" w:rsidRPr="00C9026A">
        <w:rPr>
          <w:szCs w:val="24"/>
        </w:rPr>
        <w:t>GSR Part 3</w:t>
      </w:r>
      <w:r w:rsidR="00A77879" w:rsidRPr="00C9026A">
        <w:rPr>
          <w:szCs w:val="24"/>
        </w:rPr>
        <w:t xml:space="preserve"> </w:t>
      </w:r>
      <w:r w:rsidR="00DC6D9C">
        <w:rPr>
          <w:szCs w:val="24"/>
        </w:rPr>
        <w:t xml:space="preserve">[1] </w:t>
      </w:r>
      <w:r w:rsidR="00A77879" w:rsidRPr="00C9026A">
        <w:t>states</w:t>
      </w:r>
      <w:r w:rsidR="00CA3A8D">
        <w:t xml:space="preserve"> </w:t>
      </w:r>
      <w:r w:rsidR="00A77879" w:rsidRPr="00C9026A">
        <w:t>that</w:t>
      </w:r>
      <w:r w:rsidR="00081CE8">
        <w:t>:</w:t>
      </w:r>
      <w:r w:rsidR="00A77879" w:rsidRPr="00C9026A">
        <w:t xml:space="preserve"> </w:t>
      </w:r>
    </w:p>
    <w:p w:rsidR="00A77879" w:rsidRPr="00C9026A" w:rsidRDefault="00A77879" w:rsidP="007E60CF">
      <w:pPr>
        <w:pStyle w:val="Heading4"/>
        <w:numPr>
          <w:ilvl w:val="0"/>
          <w:numId w:val="0"/>
        </w:numPr>
        <w:ind w:left="567"/>
      </w:pPr>
      <w:r w:rsidRPr="00C9026A">
        <w:t>“</w:t>
      </w:r>
      <w:r w:rsidR="00E4430A">
        <w:t>R</w:t>
      </w:r>
      <w:r w:rsidRPr="00C9026A">
        <w:t>egistrants and licensees, in cooperation with suppliers, in applying for an authorization for discharges, as appropriate:</w:t>
      </w:r>
    </w:p>
    <w:p w:rsidR="00A77879" w:rsidRPr="00C9026A" w:rsidRDefault="00A77879" w:rsidP="00E4430A">
      <w:pPr>
        <w:pStyle w:val="BodyTextList"/>
        <w:numPr>
          <w:ilvl w:val="0"/>
          <w:numId w:val="4"/>
        </w:numPr>
        <w:spacing w:after="120" w:line="240" w:lineRule="auto"/>
        <w:ind w:left="567" w:firstLine="0"/>
        <w:rPr>
          <w:noProof w:val="0"/>
        </w:rPr>
      </w:pPr>
      <w:r w:rsidRPr="00C9026A">
        <w:rPr>
          <w:noProof w:val="0"/>
        </w:rPr>
        <w:t>Shall determine the characteristics and activity of the material to be discharged, and the possible points and methods of discharge;</w:t>
      </w:r>
    </w:p>
    <w:p w:rsidR="00A77879" w:rsidRPr="00C9026A" w:rsidRDefault="00A77879" w:rsidP="00E4430A">
      <w:pPr>
        <w:pStyle w:val="BodyTextList"/>
        <w:numPr>
          <w:ilvl w:val="0"/>
          <w:numId w:val="4"/>
        </w:numPr>
        <w:spacing w:after="120" w:line="240" w:lineRule="auto"/>
        <w:ind w:left="567" w:firstLine="0"/>
        <w:rPr>
          <w:noProof w:val="0"/>
        </w:rPr>
      </w:pPr>
      <w:r w:rsidRPr="00C9026A">
        <w:rPr>
          <w:noProof w:val="0"/>
        </w:rPr>
        <w:t>Shall determine by an appropriate pre-operational study all significant exposure pathways by which discharged radionuclides could give rise to exposure of members of the public;</w:t>
      </w:r>
    </w:p>
    <w:p w:rsidR="00A77879" w:rsidRPr="00C9026A" w:rsidRDefault="00A77879" w:rsidP="00E4430A">
      <w:pPr>
        <w:pStyle w:val="BodyTextList"/>
        <w:numPr>
          <w:ilvl w:val="0"/>
          <w:numId w:val="4"/>
        </w:numPr>
        <w:spacing w:after="120" w:line="240" w:lineRule="auto"/>
        <w:ind w:left="567" w:firstLine="0"/>
        <w:rPr>
          <w:noProof w:val="0"/>
        </w:rPr>
      </w:pPr>
      <w:r w:rsidRPr="00C9026A">
        <w:rPr>
          <w:noProof w:val="0"/>
        </w:rPr>
        <w:t>Shall assess the doses to the representative person due to the planned discharges;</w:t>
      </w:r>
    </w:p>
    <w:p w:rsidR="00A77879" w:rsidRPr="00C9026A" w:rsidRDefault="00A77879" w:rsidP="00E4430A">
      <w:pPr>
        <w:pStyle w:val="BodyTextList"/>
        <w:numPr>
          <w:ilvl w:val="0"/>
          <w:numId w:val="4"/>
        </w:numPr>
        <w:spacing w:after="240" w:line="240" w:lineRule="auto"/>
        <w:ind w:left="567" w:firstLine="0"/>
        <w:rPr>
          <w:noProof w:val="0"/>
        </w:rPr>
      </w:pPr>
      <w:r w:rsidRPr="00C9026A">
        <w:rPr>
          <w:noProof w:val="0"/>
        </w:rPr>
        <w:t>Shall consider the radiological environmental impacts in an integrated manner with features of the system of protection and safety, as required by the regulatory body”.</w:t>
      </w:r>
    </w:p>
    <w:p w:rsidR="003A50B8" w:rsidRPr="00C9026A" w:rsidRDefault="002A20CD" w:rsidP="00A57A35">
      <w:pPr>
        <w:pStyle w:val="Heading2"/>
        <w:rPr>
          <w:lang w:val="en-GB"/>
        </w:rPr>
      </w:pPr>
      <w:bookmarkStart w:id="34" w:name="_Toc447613472"/>
      <w:bookmarkStart w:id="35" w:name="_Toc450203995"/>
      <w:r w:rsidRPr="00C9026A">
        <w:rPr>
          <w:lang w:val="en-GB"/>
        </w:rPr>
        <w:t>Assessment and control of potential exposure</w:t>
      </w:r>
      <w:bookmarkEnd w:id="34"/>
      <w:bookmarkEnd w:id="35"/>
    </w:p>
    <w:p w:rsidR="00E4430A" w:rsidRDefault="00DF076D" w:rsidP="00081CE8">
      <w:pPr>
        <w:pStyle w:val="Heading4"/>
        <w:ind w:left="0"/>
      </w:pPr>
      <w:r w:rsidRPr="00C9026A">
        <w:t xml:space="preserve">Paragraph 3.15 </w:t>
      </w:r>
      <w:r w:rsidR="00CA3A8D">
        <w:t xml:space="preserve">(e) </w:t>
      </w:r>
      <w:r w:rsidRPr="00C9026A">
        <w:t xml:space="preserve">of GSR Part 3 [1] </w:t>
      </w:r>
      <w:r w:rsidR="00E4430A">
        <w:t>states</w:t>
      </w:r>
      <w:r w:rsidR="00E4430A" w:rsidRPr="00C9026A">
        <w:t xml:space="preserve"> </w:t>
      </w:r>
      <w:r w:rsidRPr="00C9026A">
        <w:t>that</w:t>
      </w:r>
      <w:r w:rsidR="00877E19">
        <w:t>:</w:t>
      </w:r>
    </w:p>
    <w:p w:rsidR="00DF076D" w:rsidRPr="00C9026A" w:rsidRDefault="00DF076D" w:rsidP="007E60CF">
      <w:pPr>
        <w:pStyle w:val="Heading4"/>
        <w:numPr>
          <w:ilvl w:val="0"/>
          <w:numId w:val="0"/>
        </w:numPr>
        <w:ind w:left="567"/>
      </w:pPr>
      <w:r w:rsidRPr="00C9026A">
        <w:t>“Registrants and licensees:</w:t>
      </w:r>
      <w:r w:rsidR="00CA3A8D">
        <w:t xml:space="preserve"> […]</w:t>
      </w:r>
    </w:p>
    <w:p w:rsidR="00DF076D" w:rsidRPr="00C9026A" w:rsidRDefault="00CA3A8D" w:rsidP="007E60CF">
      <w:pPr>
        <w:pStyle w:val="Heading4"/>
        <w:numPr>
          <w:ilvl w:val="0"/>
          <w:numId w:val="19"/>
        </w:numPr>
        <w:tabs>
          <w:tab w:val="clear" w:pos="851"/>
          <w:tab w:val="left" w:pos="993"/>
        </w:tabs>
        <w:ind w:left="567" w:firstLine="0"/>
      </w:pPr>
      <w:proofErr w:type="gramStart"/>
      <w:r>
        <w:t>S</w:t>
      </w:r>
      <w:r w:rsidR="00DF076D" w:rsidRPr="00C9026A">
        <w:t>hall assess the likelihood and magnitude of potential exposures, their likely consequences and the number of persons who may be affected by them”.</w:t>
      </w:r>
      <w:proofErr w:type="gramEnd"/>
    </w:p>
    <w:p w:rsidR="00E4430A" w:rsidRDefault="0011065A" w:rsidP="00A57A35">
      <w:pPr>
        <w:pStyle w:val="Heading4"/>
        <w:ind w:left="0"/>
      </w:pPr>
      <w:r w:rsidRPr="00C9026A">
        <w:lastRenderedPageBreak/>
        <w:t xml:space="preserve">Paragraph </w:t>
      </w:r>
      <w:r w:rsidR="003A50B8" w:rsidRPr="00C9026A">
        <w:t>3.24</w:t>
      </w:r>
      <w:r w:rsidRPr="00C9026A">
        <w:t xml:space="preserve"> of</w:t>
      </w:r>
      <w:r w:rsidR="008B397C" w:rsidRPr="00C9026A">
        <w:t xml:space="preserve"> </w:t>
      </w:r>
      <w:r w:rsidR="00D122E9" w:rsidRPr="00C9026A">
        <w:t>GSR Part 3</w:t>
      </w:r>
      <w:r w:rsidR="003A50B8" w:rsidRPr="00C9026A">
        <w:t xml:space="preserve"> </w:t>
      </w:r>
      <w:r w:rsidR="008C6397" w:rsidRPr="00C9026A">
        <w:t xml:space="preserve">[1] </w:t>
      </w:r>
      <w:r w:rsidR="00E4430A">
        <w:t>states</w:t>
      </w:r>
      <w:r w:rsidR="00E4430A" w:rsidRPr="00C9026A">
        <w:t xml:space="preserve"> </w:t>
      </w:r>
      <w:r w:rsidR="003A50B8" w:rsidRPr="00C9026A">
        <w:t>that</w:t>
      </w:r>
      <w:r w:rsidR="00E4430A">
        <w:t>:</w:t>
      </w:r>
      <w:r w:rsidR="003A50B8" w:rsidRPr="00C9026A">
        <w:t xml:space="preserve"> </w:t>
      </w:r>
    </w:p>
    <w:p w:rsidR="0011065A" w:rsidRPr="00C9026A" w:rsidRDefault="003A50B8" w:rsidP="007E60CF">
      <w:pPr>
        <w:pStyle w:val="Heading4"/>
        <w:numPr>
          <w:ilvl w:val="0"/>
          <w:numId w:val="0"/>
        </w:numPr>
        <w:ind w:left="567"/>
      </w:pPr>
      <w:r w:rsidRPr="00C9026A">
        <w:t>“</w:t>
      </w:r>
      <w:proofErr w:type="gramStart"/>
      <w:r w:rsidRPr="00C9026A">
        <w:t>registrants</w:t>
      </w:r>
      <w:proofErr w:type="gramEnd"/>
      <w:r w:rsidRPr="00C9026A">
        <w:t xml:space="preserve"> and licensees shall ensure that all relevant factors are taken into account in a coherent way in the optimization of protection and safety to contribute to achieving the following objectives:</w:t>
      </w:r>
    </w:p>
    <w:p w:rsidR="00C813BF" w:rsidRPr="00C9026A" w:rsidRDefault="003A50B8" w:rsidP="00E4430A">
      <w:pPr>
        <w:pStyle w:val="Heading4"/>
        <w:numPr>
          <w:ilvl w:val="0"/>
          <w:numId w:val="13"/>
        </w:numPr>
        <w:spacing w:after="120"/>
        <w:ind w:left="709" w:firstLine="0"/>
      </w:pPr>
      <w:r w:rsidRPr="00C9026A">
        <w:t>To determine measures for protection and safety that are optimized for the prevailing circumstances, with account taken of the available options for protection and safety as well as the nature, likelihood and magnitude of exposures;</w:t>
      </w:r>
    </w:p>
    <w:p w:rsidR="00C813BF" w:rsidRPr="00C9026A" w:rsidRDefault="003A50B8" w:rsidP="00E4430A">
      <w:pPr>
        <w:pStyle w:val="Heading4"/>
        <w:numPr>
          <w:ilvl w:val="0"/>
          <w:numId w:val="13"/>
        </w:numPr>
        <w:ind w:left="709" w:firstLine="0"/>
      </w:pPr>
      <w:r w:rsidRPr="00C9026A">
        <w:t>To establish criteria, on the basis of the results of the optimization, for the restriction of the likelihood and magnitudes of exposures by means of measures for preventing accidents and for mitigating the consequences of those that do occur”.</w:t>
      </w:r>
    </w:p>
    <w:p w:rsidR="003A50B8" w:rsidRPr="00C9026A" w:rsidRDefault="003A50B8" w:rsidP="00A57A35">
      <w:pPr>
        <w:pStyle w:val="Heading4"/>
        <w:ind w:left="0"/>
      </w:pPr>
      <w:r w:rsidRPr="00C9026A">
        <w:t xml:space="preserve">Requirement 6 </w:t>
      </w:r>
      <w:r w:rsidR="0011065A" w:rsidRPr="00C9026A">
        <w:t>of GSR Part 4</w:t>
      </w:r>
      <w:r w:rsidR="00DC6D9C">
        <w:t xml:space="preserve"> (Rev. 1)</w:t>
      </w:r>
      <w:r w:rsidR="0011065A" w:rsidRPr="00C9026A">
        <w:t xml:space="preserve"> [</w:t>
      </w:r>
      <w:r w:rsidR="00911864" w:rsidRPr="00C9026A">
        <w:t>5</w:t>
      </w:r>
      <w:r w:rsidR="0011065A" w:rsidRPr="00C9026A">
        <w:t xml:space="preserve">] </w:t>
      </w:r>
      <w:r w:rsidRPr="00C9026A">
        <w:t>states that “</w:t>
      </w:r>
      <w:r w:rsidR="00E4430A">
        <w:t>T</w:t>
      </w:r>
      <w:r w:rsidRPr="00C9026A">
        <w:t>he possible radiation risks associated with the facility or activity shall be identified and assessed”. Th</w:t>
      </w:r>
      <w:r w:rsidR="0011065A" w:rsidRPr="00C9026A">
        <w:t>e</w:t>
      </w:r>
      <w:r w:rsidRPr="00C9026A">
        <w:t>s</w:t>
      </w:r>
      <w:r w:rsidR="0011065A" w:rsidRPr="00C9026A">
        <w:t>e</w:t>
      </w:r>
      <w:r w:rsidRPr="00C9026A">
        <w:t xml:space="preserve"> include “the level and likelihood of radiation exposure of […] the public, and of the possible release of radioactive material to the environment, that are associated with anticipated operational occurrences or with accidents that lead to a loss of control over a nuclear reactor core, nuclear chain reaction, radioactive source or any other source of radiation”.</w:t>
      </w:r>
    </w:p>
    <w:p w:rsidR="00E4430A" w:rsidRDefault="00E4430A" w:rsidP="00A57A35">
      <w:pPr>
        <w:pStyle w:val="Heading4"/>
        <w:ind w:left="0"/>
      </w:pPr>
      <w:r>
        <w:t>Paragraph 3.31</w:t>
      </w:r>
      <w:r w:rsidRPr="00C9026A">
        <w:t xml:space="preserve"> </w:t>
      </w:r>
      <w:r w:rsidR="0011065A" w:rsidRPr="00C9026A">
        <w:t>of</w:t>
      </w:r>
      <w:r w:rsidR="008B397C" w:rsidRPr="00C9026A">
        <w:t xml:space="preserve"> </w:t>
      </w:r>
      <w:r w:rsidR="00D122E9" w:rsidRPr="00C9026A">
        <w:t>GSR Part 3</w:t>
      </w:r>
      <w:r w:rsidR="000142C6">
        <w:t xml:space="preserve">, </w:t>
      </w:r>
      <w:r w:rsidR="008C6397" w:rsidRPr="00C9026A">
        <w:t xml:space="preserve">[1] </w:t>
      </w:r>
      <w:r w:rsidR="007D0546" w:rsidRPr="00C9026A">
        <w:t>states that</w:t>
      </w:r>
      <w:r w:rsidR="00BE699E">
        <w:t>:</w:t>
      </w:r>
      <w:r w:rsidR="007D0546" w:rsidRPr="00C9026A">
        <w:t xml:space="preserve"> </w:t>
      </w:r>
    </w:p>
    <w:p w:rsidR="007D0546" w:rsidRPr="00C9026A" w:rsidRDefault="007D0546" w:rsidP="007E60CF">
      <w:pPr>
        <w:pStyle w:val="Heading4"/>
        <w:numPr>
          <w:ilvl w:val="0"/>
          <w:numId w:val="0"/>
        </w:numPr>
        <w:ind w:left="567"/>
      </w:pPr>
      <w:r w:rsidRPr="00C9026A">
        <w:t>“</w:t>
      </w:r>
      <w:r w:rsidR="00E4430A">
        <w:t>S</w:t>
      </w:r>
      <w:r w:rsidRPr="00C9026A">
        <w:t>afety assessment shall</w:t>
      </w:r>
      <w:r w:rsidR="00E4430A">
        <w:t xml:space="preserve"> be conducted… so as</w:t>
      </w:r>
      <w:r w:rsidRPr="00C9026A">
        <w:t>:</w:t>
      </w:r>
    </w:p>
    <w:p w:rsidR="007D0546" w:rsidRPr="00C9026A" w:rsidRDefault="00E4430A" w:rsidP="00E4430A">
      <w:pPr>
        <w:pStyle w:val="BodyText"/>
        <w:numPr>
          <w:ilvl w:val="0"/>
          <w:numId w:val="24"/>
        </w:numPr>
        <w:ind w:left="709" w:firstLine="0"/>
        <w:rPr>
          <w:lang w:val="en-GB"/>
        </w:rPr>
      </w:pPr>
      <w:r>
        <w:rPr>
          <w:lang w:val="en-GB"/>
        </w:rPr>
        <w:t>To i</w:t>
      </w:r>
      <w:r w:rsidR="007D0546" w:rsidRPr="00C9026A">
        <w:rPr>
          <w:lang w:val="en-GB"/>
        </w:rPr>
        <w:t>dentify the ways in which exposures could be incurred...</w:t>
      </w:r>
      <w:r>
        <w:rPr>
          <w:lang w:val="en-GB"/>
        </w:rPr>
        <w:t>;</w:t>
      </w:r>
    </w:p>
    <w:p w:rsidR="007D0546" w:rsidRPr="00C9026A" w:rsidRDefault="00E4430A" w:rsidP="00E4430A">
      <w:pPr>
        <w:pStyle w:val="BodyText"/>
        <w:numPr>
          <w:ilvl w:val="0"/>
          <w:numId w:val="24"/>
        </w:numPr>
        <w:ind w:left="709" w:firstLine="0"/>
        <w:rPr>
          <w:lang w:val="en-GB"/>
        </w:rPr>
      </w:pPr>
      <w:r>
        <w:rPr>
          <w:lang w:val="en-GB"/>
        </w:rPr>
        <w:t>To d</w:t>
      </w:r>
      <w:r w:rsidR="007D0546" w:rsidRPr="00C9026A">
        <w:rPr>
          <w:lang w:val="en-GB"/>
        </w:rPr>
        <w:t xml:space="preserve">etermine the expected </w:t>
      </w:r>
      <w:r>
        <w:rPr>
          <w:lang w:val="en-GB"/>
        </w:rPr>
        <w:t>likelihood</w:t>
      </w:r>
      <w:r w:rsidRPr="00C9026A">
        <w:rPr>
          <w:lang w:val="en-GB"/>
        </w:rPr>
        <w:t xml:space="preserve"> </w:t>
      </w:r>
      <w:r w:rsidR="007D0546" w:rsidRPr="00C9026A">
        <w:rPr>
          <w:lang w:val="en-GB"/>
        </w:rPr>
        <w:t xml:space="preserve">and </w:t>
      </w:r>
      <w:r>
        <w:rPr>
          <w:lang w:val="en-GB"/>
        </w:rPr>
        <w:t>magnitudes</w:t>
      </w:r>
      <w:r w:rsidRPr="00C9026A">
        <w:rPr>
          <w:lang w:val="en-GB"/>
        </w:rPr>
        <w:t xml:space="preserve"> </w:t>
      </w:r>
      <w:r w:rsidR="007D0546" w:rsidRPr="00C9026A">
        <w:rPr>
          <w:lang w:val="en-GB"/>
        </w:rPr>
        <w:t>of exposures in normal operations and, to the extent reasonable and practicable, make an assessment of potential exposures</w:t>
      </w:r>
      <w:r w:rsidR="00FD14F2" w:rsidRPr="00C9026A">
        <w:rPr>
          <w:lang w:val="en-GB"/>
        </w:rPr>
        <w:t>”</w:t>
      </w:r>
      <w:r w:rsidR="00226C2C" w:rsidRPr="00C9026A">
        <w:rPr>
          <w:lang w:val="en-GB"/>
        </w:rPr>
        <w:t>.</w:t>
      </w:r>
    </w:p>
    <w:p w:rsidR="00947AC2" w:rsidRPr="00C9026A" w:rsidRDefault="00947AC2" w:rsidP="00A57A35">
      <w:pPr>
        <w:pStyle w:val="Heading2"/>
        <w:rPr>
          <w:lang w:val="en-GB"/>
        </w:rPr>
      </w:pPr>
      <w:bookmarkStart w:id="36" w:name="_Toc447613473"/>
      <w:bookmarkStart w:id="37" w:name="_Toc450203996"/>
      <w:r w:rsidRPr="00C9026A">
        <w:rPr>
          <w:lang w:val="en-GB"/>
        </w:rPr>
        <w:t>Graded approach</w:t>
      </w:r>
      <w:bookmarkEnd w:id="36"/>
      <w:bookmarkEnd w:id="37"/>
    </w:p>
    <w:p w:rsidR="00FA696F" w:rsidRPr="00C9026A" w:rsidRDefault="00E4430A" w:rsidP="00A57A35">
      <w:pPr>
        <w:pStyle w:val="Heading4"/>
        <w:ind w:left="0"/>
      </w:pPr>
      <w:r>
        <w:t>Paragraph 3.24</w:t>
      </w:r>
      <w:r w:rsidR="00947AC2" w:rsidRPr="00C9026A">
        <w:t xml:space="preserve"> of </w:t>
      </w:r>
      <w:r>
        <w:t>SF-1</w:t>
      </w:r>
      <w:r w:rsidR="00947AC2" w:rsidRPr="00C9026A">
        <w:t xml:space="preserve"> [2] state</w:t>
      </w:r>
      <w:r w:rsidR="004F5F31" w:rsidRPr="00C9026A">
        <w:t>s</w:t>
      </w:r>
      <w:r w:rsidR="00947AC2" w:rsidRPr="00C9026A">
        <w:t xml:space="preserve"> that “</w:t>
      </w:r>
      <w:r>
        <w:t>T</w:t>
      </w:r>
      <w:r w:rsidR="00947AC2" w:rsidRPr="00C9026A">
        <w:t>he resources devoted to safety by the licensee</w:t>
      </w:r>
      <w:r w:rsidR="00CA44A2">
        <w:t>,</w:t>
      </w:r>
      <w:r w:rsidR="00947AC2" w:rsidRPr="00C9026A">
        <w:t xml:space="preserve"> and the scope and stringency of the regulations and their application, have to be commensurate with the magnitude of the possible radiation risks an</w:t>
      </w:r>
      <w:r w:rsidR="009E70B7" w:rsidRPr="00C9026A">
        <w:t>d their amenability to control”</w:t>
      </w:r>
      <w:r w:rsidR="00947AC2" w:rsidRPr="00C9026A">
        <w:t xml:space="preserve">. </w:t>
      </w:r>
    </w:p>
    <w:p w:rsidR="00947AC2" w:rsidRPr="00C9026A" w:rsidRDefault="00CA44A2" w:rsidP="00A57A35">
      <w:pPr>
        <w:pStyle w:val="Heading4"/>
        <w:ind w:left="0"/>
      </w:pPr>
      <w:r>
        <w:t>Paragraph 3.1</w:t>
      </w:r>
      <w:r w:rsidR="008A2BB4" w:rsidRPr="00C9026A">
        <w:t xml:space="preserve"> of GSR Part 4 </w:t>
      </w:r>
      <w:r w:rsidR="00DC6D9C">
        <w:t xml:space="preserve"> (Rev. 1)</w:t>
      </w:r>
      <w:r w:rsidR="00DC6D9C" w:rsidRPr="00C9026A" w:rsidDel="00CA44A2">
        <w:t xml:space="preserve"> </w:t>
      </w:r>
      <w:r w:rsidR="008A2BB4" w:rsidRPr="00C9026A">
        <w:t>[</w:t>
      </w:r>
      <w:r w:rsidR="00911864" w:rsidRPr="00C9026A">
        <w:t>5</w:t>
      </w:r>
      <w:r w:rsidR="008A2BB4" w:rsidRPr="00C9026A">
        <w:t>]</w:t>
      </w:r>
      <w:r w:rsidR="00947AC2" w:rsidRPr="00C9026A">
        <w:t xml:space="preserve"> states that to apply Principle 5</w:t>
      </w:r>
      <w:r w:rsidR="00195B87">
        <w:t xml:space="preserve"> of SF-1</w:t>
      </w:r>
      <w:r w:rsidR="0059029A" w:rsidRPr="00C9026A">
        <w:t xml:space="preserve"> </w:t>
      </w:r>
      <w:r w:rsidR="00947AC2" w:rsidRPr="00C9026A">
        <w:t xml:space="preserve">“a graded approach </w:t>
      </w:r>
      <w:r>
        <w:t>shall</w:t>
      </w:r>
      <w:r w:rsidR="00947AC2" w:rsidRPr="00C9026A">
        <w:t xml:space="preserve"> be taken in carrying out the safety assessments for the wide range of facilities and activities … owing to the very different levels of possible radiation risks associated with them”.</w:t>
      </w:r>
    </w:p>
    <w:p w:rsidR="00947AC2" w:rsidRPr="00C9026A" w:rsidRDefault="00947AC2" w:rsidP="00A57A35">
      <w:pPr>
        <w:pStyle w:val="Heading4"/>
        <w:ind w:left="0"/>
      </w:pPr>
      <w:r w:rsidRPr="00C9026A">
        <w:t>Requirement 6 of</w:t>
      </w:r>
      <w:r w:rsidR="008B397C" w:rsidRPr="00C9026A">
        <w:t xml:space="preserve"> </w:t>
      </w:r>
      <w:r w:rsidR="00D122E9" w:rsidRPr="00C9026A">
        <w:t>GSR Part 3</w:t>
      </w:r>
      <w:r w:rsidRPr="00C9026A">
        <w:t xml:space="preserve"> </w:t>
      </w:r>
      <w:r w:rsidR="008C6397" w:rsidRPr="00C9026A">
        <w:t xml:space="preserve">[1] </w:t>
      </w:r>
      <w:r w:rsidR="00980D7D" w:rsidRPr="00C9026A">
        <w:t xml:space="preserve">states </w:t>
      </w:r>
      <w:r w:rsidRPr="00C9026A">
        <w:t xml:space="preserve">that </w:t>
      </w:r>
      <w:r w:rsidR="00BE6751" w:rsidRPr="00C9026A">
        <w:t>“</w:t>
      </w:r>
      <w:r w:rsidR="00CA44A2">
        <w:t>T</w:t>
      </w:r>
      <w:r w:rsidRPr="00C9026A">
        <w:t xml:space="preserve">he application of the requirements of these Standards </w:t>
      </w:r>
      <w:r w:rsidR="00BE6751" w:rsidRPr="00C9026A">
        <w:t xml:space="preserve">in planned exposure situations </w:t>
      </w:r>
      <w:r w:rsidRPr="00C9026A">
        <w:t xml:space="preserve">shall be commensurate with the characteristics of the practice or the source within a practice, and with the </w:t>
      </w:r>
      <w:r w:rsidR="00CA44A2">
        <w:t>likelihood</w:t>
      </w:r>
      <w:r w:rsidR="00CA44A2" w:rsidRPr="00C9026A">
        <w:t xml:space="preserve"> </w:t>
      </w:r>
      <w:r w:rsidRPr="00C9026A">
        <w:t xml:space="preserve">and </w:t>
      </w:r>
      <w:r w:rsidR="00CA44A2">
        <w:t>magnitude</w:t>
      </w:r>
      <w:r w:rsidR="00CA44A2" w:rsidRPr="00C9026A">
        <w:t xml:space="preserve"> </w:t>
      </w:r>
      <w:r w:rsidRPr="00C9026A">
        <w:t>of the exposures</w:t>
      </w:r>
      <w:r w:rsidR="00BE6751" w:rsidRPr="00C9026A">
        <w:t>”</w:t>
      </w:r>
      <w:r w:rsidRPr="00C9026A">
        <w:t xml:space="preserve">. </w:t>
      </w:r>
    </w:p>
    <w:p w:rsidR="00FA696F" w:rsidRPr="00C9026A" w:rsidRDefault="00CA44A2" w:rsidP="00A57A35">
      <w:pPr>
        <w:pStyle w:val="Heading4"/>
        <w:ind w:left="0"/>
      </w:pPr>
      <w:r>
        <w:t>Paragraph 3.4</w:t>
      </w:r>
      <w:r w:rsidR="00947AC2" w:rsidRPr="00C9026A">
        <w:t xml:space="preserve"> of GSR Part 4</w:t>
      </w:r>
      <w:r w:rsidR="00DC6D9C">
        <w:t xml:space="preserve"> (Rev. 1)</w:t>
      </w:r>
      <w:r w:rsidR="00947AC2" w:rsidRPr="00C9026A">
        <w:t xml:space="preserve"> [</w:t>
      </w:r>
      <w:r w:rsidR="00911864" w:rsidRPr="00C9026A">
        <w:t>5</w:t>
      </w:r>
      <w:r w:rsidR="00947AC2" w:rsidRPr="00C9026A">
        <w:t>] states that “</w:t>
      </w:r>
      <w:r>
        <w:t>O</w:t>
      </w:r>
      <w:r w:rsidR="00947AC2" w:rsidRPr="00C9026A">
        <w:t xml:space="preserve">ther relevant factors, such as the maturity or complexity of the facility or activity, </w:t>
      </w:r>
      <w:r>
        <w:t>shall</w:t>
      </w:r>
      <w:r w:rsidRPr="00C9026A">
        <w:t xml:space="preserve"> </w:t>
      </w:r>
      <w:r w:rsidR="00947AC2" w:rsidRPr="00C9026A">
        <w:t>also be taken into account in a graded approach to safety assessment</w:t>
      </w:r>
      <w:r w:rsidR="001A14DE" w:rsidRPr="00C9026A">
        <w:t>”</w:t>
      </w:r>
      <w:r w:rsidR="00947AC2" w:rsidRPr="00C9026A">
        <w:t xml:space="preserve">. </w:t>
      </w:r>
      <w:r>
        <w:t>GSR Part 4 (Rev.1) [5]</w:t>
      </w:r>
      <w:r w:rsidRPr="00C9026A">
        <w:t xml:space="preserve"> </w:t>
      </w:r>
      <w:r w:rsidR="00947AC2" w:rsidRPr="00C9026A">
        <w:t xml:space="preserve">also states </w:t>
      </w:r>
      <w:r w:rsidR="00FD14F2" w:rsidRPr="00C9026A">
        <w:t>(para</w:t>
      </w:r>
      <w:r w:rsidR="00CE4BE4" w:rsidRPr="00C9026A">
        <w:t>graph</w:t>
      </w:r>
      <w:r w:rsidR="00FD14F2" w:rsidRPr="00C9026A">
        <w:t xml:space="preserve">. 3.6) </w:t>
      </w:r>
      <w:r w:rsidR="00947AC2" w:rsidRPr="00C9026A">
        <w:t>that “</w:t>
      </w:r>
      <w:r>
        <w:t>T</w:t>
      </w:r>
      <w:r w:rsidR="00947AC2" w:rsidRPr="00C9026A">
        <w:t xml:space="preserve">he application of the graded approach </w:t>
      </w:r>
      <w:r>
        <w:t>shall</w:t>
      </w:r>
      <w:r w:rsidR="00947AC2" w:rsidRPr="00C9026A">
        <w:t xml:space="preserve"> be reassessed as the safety assessment progresses and </w:t>
      </w:r>
      <w:r w:rsidR="00947AC2" w:rsidRPr="00C9026A">
        <w:lastRenderedPageBreak/>
        <w:t>a better understanding is obtained of the radiation risks arising from the facility or activity. The scope and level of detail of the safety assessment are then modified as necessary and the level of resources to be applied is adjusted accordingly”</w:t>
      </w:r>
      <w:r w:rsidR="00FD14F2" w:rsidRPr="00C9026A">
        <w:t>.</w:t>
      </w:r>
      <w:r w:rsidR="00947AC2" w:rsidRPr="00C9026A">
        <w:t xml:space="preserve"> </w:t>
      </w:r>
    </w:p>
    <w:p w:rsidR="00273F65" w:rsidRPr="00C9026A" w:rsidRDefault="00A005C9" w:rsidP="00A57A35">
      <w:pPr>
        <w:pStyle w:val="Heading2"/>
        <w:rPr>
          <w:lang w:val="en-GB"/>
        </w:rPr>
      </w:pPr>
      <w:bookmarkStart w:id="38" w:name="_Toc447613474"/>
      <w:bookmarkStart w:id="39" w:name="_Toc450203997"/>
      <w:r w:rsidRPr="00C9026A">
        <w:rPr>
          <w:lang w:val="en-GB"/>
        </w:rPr>
        <w:t>Transboundary impacts</w:t>
      </w:r>
      <w:bookmarkEnd w:id="38"/>
      <w:bookmarkEnd w:id="39"/>
    </w:p>
    <w:p w:rsidR="00CA44A2" w:rsidRDefault="004F5F31" w:rsidP="00A57A35">
      <w:pPr>
        <w:pStyle w:val="Heading4"/>
        <w:ind w:left="0"/>
      </w:pPr>
      <w:r w:rsidRPr="00C9026A">
        <w:t>Requirement 29 of</w:t>
      </w:r>
      <w:r w:rsidR="008B397C" w:rsidRPr="00C9026A">
        <w:t xml:space="preserve"> </w:t>
      </w:r>
      <w:r w:rsidR="00D122E9" w:rsidRPr="00C9026A">
        <w:t>GSR Part 3</w:t>
      </w:r>
      <w:r w:rsidR="00273F65" w:rsidRPr="00C9026A">
        <w:t xml:space="preserve"> </w:t>
      </w:r>
      <w:r w:rsidR="008C6397" w:rsidRPr="00C9026A">
        <w:t xml:space="preserve">[1] </w:t>
      </w:r>
      <w:r w:rsidR="00273F65" w:rsidRPr="00C9026A">
        <w:t>addresses the issue of exposure outside the territory of the State in which the source is loca</w:t>
      </w:r>
      <w:r w:rsidR="00F44BFB" w:rsidRPr="00C9026A">
        <w:t>ted</w:t>
      </w:r>
      <w:r w:rsidR="00F44BFB" w:rsidRPr="00C9026A">
        <w:rPr>
          <w:rStyle w:val="FootnoteReference"/>
        </w:rPr>
        <w:footnoteReference w:id="12"/>
      </w:r>
      <w:r w:rsidR="00273F65" w:rsidRPr="00C9026A">
        <w:t xml:space="preserve">. </w:t>
      </w:r>
      <w:r w:rsidRPr="00C9026A">
        <w:t>Paragraph 3.124</w:t>
      </w:r>
      <w:r w:rsidR="00195B87">
        <w:t xml:space="preserve"> of GSR Part 3 [1]</w:t>
      </w:r>
      <w:r w:rsidRPr="00C9026A">
        <w:t xml:space="preserve"> </w:t>
      </w:r>
      <w:r w:rsidR="00CA44A2">
        <w:t>states</w:t>
      </w:r>
      <w:r w:rsidR="00CA44A2" w:rsidRPr="00C9026A">
        <w:t xml:space="preserve"> </w:t>
      </w:r>
      <w:r w:rsidR="00273F65" w:rsidRPr="00C9026A">
        <w:t>that</w:t>
      </w:r>
      <w:r w:rsidR="00195B87">
        <w:t>:</w:t>
      </w:r>
      <w:r w:rsidR="00273F65" w:rsidRPr="00C9026A">
        <w:t xml:space="preserve"> </w:t>
      </w:r>
    </w:p>
    <w:p w:rsidR="00273F65" w:rsidRPr="00C9026A" w:rsidRDefault="00273F65" w:rsidP="00195B87">
      <w:pPr>
        <w:pStyle w:val="Heading4"/>
        <w:numPr>
          <w:ilvl w:val="0"/>
          <w:numId w:val="0"/>
        </w:numPr>
        <w:ind w:left="567"/>
      </w:pPr>
      <w:r w:rsidRPr="00C9026A">
        <w:t>“</w:t>
      </w:r>
      <w:r w:rsidR="00CA44A2">
        <w:t>W</w:t>
      </w:r>
      <w:r w:rsidR="004D1051" w:rsidRPr="00C9026A">
        <w:t>hen a source within a practice could cause public exposure</w:t>
      </w:r>
      <w:r w:rsidR="00774974">
        <w:t xml:space="preserve"> outside the territory or the area under the jurisdiction or control of the State in which the source is located</w:t>
      </w:r>
      <w:r w:rsidR="004D1051" w:rsidRPr="00C9026A">
        <w:t xml:space="preserve">, </w:t>
      </w:r>
      <w:r w:rsidRPr="00C9026A">
        <w:t>the government or the regulatory body:</w:t>
      </w:r>
    </w:p>
    <w:p w:rsidR="00676A59" w:rsidRDefault="00A86E42" w:rsidP="00CA44A2">
      <w:pPr>
        <w:pStyle w:val="BodyText"/>
        <w:spacing w:after="120"/>
        <w:ind w:left="567"/>
        <w:rPr>
          <w:lang w:val="en-GB"/>
        </w:rPr>
      </w:pPr>
      <w:r w:rsidRPr="00C9026A">
        <w:rPr>
          <w:lang w:val="en-GB"/>
        </w:rPr>
        <w:t>(a)</w:t>
      </w:r>
      <w:r w:rsidR="00676A59">
        <w:rPr>
          <w:lang w:val="en-GB"/>
        </w:rPr>
        <w:tab/>
        <w:t xml:space="preserve">Shall </w:t>
      </w:r>
      <w:r w:rsidR="00273F65" w:rsidRPr="00C9026A">
        <w:rPr>
          <w:lang w:val="en-GB"/>
        </w:rPr>
        <w:t>ensure that the assessment of the radiological impacts includes those impacts outside the territory or other area under the jurisdiction or control of the State</w:t>
      </w:r>
      <w:r w:rsidR="00676A59">
        <w:rPr>
          <w:lang w:val="en-GB"/>
        </w:rPr>
        <w:t>;</w:t>
      </w:r>
    </w:p>
    <w:p w:rsidR="00273F65" w:rsidRPr="00C9026A" w:rsidRDefault="00676A59" w:rsidP="00CA44A2">
      <w:pPr>
        <w:pStyle w:val="BodyText"/>
        <w:spacing w:after="120"/>
        <w:ind w:left="567"/>
        <w:rPr>
          <w:lang w:val="en-GB"/>
        </w:rPr>
      </w:pPr>
      <w:r>
        <w:rPr>
          <w:lang w:val="en-GB"/>
        </w:rPr>
        <w:t>[</w:t>
      </w:r>
      <w:r w:rsidR="00F0207E">
        <w:rPr>
          <w:lang w:val="en-GB"/>
        </w:rPr>
        <w:t>…</w:t>
      </w:r>
      <w:r>
        <w:rPr>
          <w:lang w:val="en-GB"/>
        </w:rPr>
        <w:t>]</w:t>
      </w:r>
    </w:p>
    <w:p w:rsidR="00273F65" w:rsidRPr="00C9026A" w:rsidRDefault="00676A59" w:rsidP="00CA44A2">
      <w:pPr>
        <w:pStyle w:val="BodyText"/>
        <w:numPr>
          <w:ilvl w:val="0"/>
          <w:numId w:val="24"/>
        </w:numPr>
        <w:ind w:left="567" w:firstLine="0"/>
        <w:rPr>
          <w:lang w:val="en-GB"/>
        </w:rPr>
      </w:pPr>
      <w:r>
        <w:rPr>
          <w:lang w:val="en-GB"/>
        </w:rPr>
        <w:t xml:space="preserve">Shall </w:t>
      </w:r>
      <w:r w:rsidR="00273F65" w:rsidRPr="00C9026A">
        <w:rPr>
          <w:lang w:val="en-GB"/>
        </w:rPr>
        <w:t>arrange with the affected State the means for exchange of information and consultations, as appropriate</w:t>
      </w:r>
      <w:r w:rsidR="00326675" w:rsidRPr="00C9026A">
        <w:rPr>
          <w:lang w:val="en-GB"/>
        </w:rPr>
        <w:t>”</w:t>
      </w:r>
      <w:r w:rsidR="00FD14F2" w:rsidRPr="00C9026A">
        <w:rPr>
          <w:lang w:val="en-GB"/>
        </w:rPr>
        <w:t>.</w:t>
      </w:r>
      <w:r w:rsidR="00273F65" w:rsidRPr="00C9026A">
        <w:rPr>
          <w:lang w:val="en-GB"/>
        </w:rPr>
        <w:t xml:space="preserve"> </w:t>
      </w:r>
    </w:p>
    <w:p w:rsidR="00BD0D6A" w:rsidRDefault="00BD0D6A">
      <w:pPr>
        <w:overflowPunct/>
        <w:autoSpaceDE/>
        <w:autoSpaceDN/>
        <w:adjustRightInd/>
        <w:spacing w:after="0"/>
        <w:jc w:val="left"/>
        <w:textAlignment w:val="auto"/>
        <w:rPr>
          <w:lang w:val="en-US"/>
        </w:rPr>
      </w:pPr>
      <w:r>
        <w:br w:type="page"/>
      </w:r>
    </w:p>
    <w:p w:rsidR="006F1000" w:rsidRPr="00C9026A" w:rsidRDefault="006F1000" w:rsidP="00A57A35">
      <w:pPr>
        <w:pStyle w:val="Heading1"/>
        <w:spacing w:after="240"/>
        <w:rPr>
          <w:szCs w:val="24"/>
          <w:lang w:val="en-GB"/>
        </w:rPr>
      </w:pPr>
      <w:bookmarkStart w:id="40" w:name="_Toc447613475"/>
      <w:bookmarkStart w:id="41" w:name="_Toc450203998"/>
      <w:r w:rsidRPr="00C9026A">
        <w:rPr>
          <w:szCs w:val="24"/>
          <w:lang w:val="en-GB"/>
        </w:rPr>
        <w:lastRenderedPageBreak/>
        <w:t xml:space="preserve">FRAMEWORK </w:t>
      </w:r>
      <w:r w:rsidR="00F94C9F" w:rsidRPr="00C9026A">
        <w:rPr>
          <w:szCs w:val="24"/>
          <w:lang w:val="en-GB"/>
        </w:rPr>
        <w:t xml:space="preserve">for </w:t>
      </w:r>
      <w:r w:rsidR="00384375" w:rsidRPr="00C9026A">
        <w:rPr>
          <w:szCs w:val="24"/>
          <w:lang w:val="en-GB"/>
        </w:rPr>
        <w:t>PROSPECTIVE RADIOLOGICAL ENVIRONMENTAL IMPACT ASSESSMENT FOR FACILITIES AND ACTIVITIES</w:t>
      </w:r>
      <w:bookmarkEnd w:id="40"/>
      <w:bookmarkEnd w:id="41"/>
    </w:p>
    <w:p w:rsidR="00924926" w:rsidRPr="00C9026A" w:rsidRDefault="00663DE5" w:rsidP="00A57A35">
      <w:pPr>
        <w:pStyle w:val="Heading4"/>
        <w:ind w:left="0"/>
      </w:pPr>
      <w:r w:rsidRPr="00C9026A">
        <w:t xml:space="preserve">The government or the regulatory body should </w:t>
      </w:r>
      <w:r w:rsidR="003A530F">
        <w:t>specify</w:t>
      </w:r>
      <w:r w:rsidR="003A530F" w:rsidRPr="00C9026A">
        <w:t xml:space="preserve"> </w:t>
      </w:r>
      <w:r w:rsidRPr="00C9026A">
        <w:t>in advance the types of facilit</w:t>
      </w:r>
      <w:r w:rsidR="00924C3A">
        <w:t>y</w:t>
      </w:r>
      <w:r w:rsidRPr="00C9026A">
        <w:t xml:space="preserve"> and activit</w:t>
      </w:r>
      <w:r w:rsidR="00924C3A">
        <w:t>y</w:t>
      </w:r>
      <w:r w:rsidRPr="00C9026A">
        <w:t xml:space="preserve"> for which a radiological environmental impact assessment is required or</w:t>
      </w:r>
      <w:r w:rsidR="003A530F">
        <w:t xml:space="preserve"> should specify</w:t>
      </w:r>
      <w:r w:rsidRPr="00C9026A">
        <w:t xml:space="preserve"> criteria </w:t>
      </w:r>
      <w:r w:rsidR="00924C3A">
        <w:t>for</w:t>
      </w:r>
      <w:r w:rsidR="00924C3A" w:rsidRPr="00C9026A">
        <w:t xml:space="preserve"> </w:t>
      </w:r>
      <w:r w:rsidRPr="00C9026A">
        <w:t>decid</w:t>
      </w:r>
      <w:r w:rsidR="00924C3A">
        <w:t>ing</w:t>
      </w:r>
      <w:r w:rsidRPr="00C9026A">
        <w:t>, on a case-by</w:t>
      </w:r>
      <w:r w:rsidR="00E22F8C">
        <w:t>-</w:t>
      </w:r>
      <w:r w:rsidRPr="00C9026A">
        <w:t xml:space="preserve">case basis, </w:t>
      </w:r>
      <w:r w:rsidR="00EE6B07">
        <w:t>whether</w:t>
      </w:r>
      <w:r w:rsidRPr="00C9026A">
        <w:t xml:space="preserve"> such an assessment</w:t>
      </w:r>
      <w:r w:rsidR="00EE6B07">
        <w:t xml:space="preserve"> is needed</w:t>
      </w:r>
      <w:r w:rsidRPr="00C9026A">
        <w:t>. In general,</w:t>
      </w:r>
      <w:r w:rsidR="003A530F">
        <w:t xml:space="preserve"> such an assessment </w:t>
      </w:r>
      <w:r w:rsidR="00C460AD">
        <w:t>should</w:t>
      </w:r>
      <w:r w:rsidR="003A530F">
        <w:t xml:space="preserve"> not be </w:t>
      </w:r>
      <w:r w:rsidR="00C460AD">
        <w:t>required</w:t>
      </w:r>
      <w:r w:rsidR="003A530F">
        <w:t xml:space="preserve"> for</w:t>
      </w:r>
      <w:r w:rsidRPr="00C9026A">
        <w:t xml:space="preserve"> X</w:t>
      </w:r>
      <w:r w:rsidR="00EE6B07">
        <w:t xml:space="preserve"> r</w:t>
      </w:r>
      <w:r w:rsidRPr="00C9026A">
        <w:t xml:space="preserve">ay generators, small laboratories, </w:t>
      </w:r>
      <w:r w:rsidR="0035109C">
        <w:t>diagnostic</w:t>
      </w:r>
      <w:r w:rsidRPr="00C9026A">
        <w:t xml:space="preserve"> </w:t>
      </w:r>
      <w:r w:rsidR="00D71A2B">
        <w:t xml:space="preserve">radiology, </w:t>
      </w:r>
      <w:r w:rsidRPr="00C9026A">
        <w:t xml:space="preserve">industrial applications using sealed sources, and any other facilities or activities where radiation sources </w:t>
      </w:r>
      <w:r w:rsidR="00177073">
        <w:t xml:space="preserve">or generators </w:t>
      </w:r>
      <w:r w:rsidRPr="00C9026A">
        <w:t xml:space="preserve">are </w:t>
      </w:r>
      <w:r w:rsidR="00FA3B91" w:rsidRPr="00C9026A">
        <w:t>used</w:t>
      </w:r>
      <w:r w:rsidR="00E22F8C">
        <w:t>,</w:t>
      </w:r>
      <w:r w:rsidRPr="00C9026A">
        <w:t xml:space="preserve"> processed or stored in a form and </w:t>
      </w:r>
      <w:r w:rsidR="00E22F8C">
        <w:t xml:space="preserve">at a </w:t>
      </w:r>
      <w:r w:rsidRPr="00C9026A">
        <w:t>scale that impact</w:t>
      </w:r>
      <w:r w:rsidR="00D71A2B">
        <w:t>s</w:t>
      </w:r>
      <w:r w:rsidRPr="00C9026A">
        <w:t xml:space="preserve"> </w:t>
      </w:r>
      <w:r w:rsidR="00D71A2B">
        <w:t>on</w:t>
      </w:r>
      <w:r w:rsidR="00D71A2B" w:rsidRPr="00C9026A">
        <w:t xml:space="preserve"> </w:t>
      </w:r>
      <w:r w:rsidR="00E22F8C">
        <w:t xml:space="preserve">the </w:t>
      </w:r>
      <w:r w:rsidRPr="00C9026A">
        <w:t xml:space="preserve">public and the environment </w:t>
      </w:r>
      <w:r w:rsidR="00D71A2B">
        <w:t>are</w:t>
      </w:r>
      <w:r w:rsidR="00D71A2B" w:rsidRPr="00C9026A">
        <w:t xml:space="preserve"> </w:t>
      </w:r>
      <w:r w:rsidRPr="00C9026A">
        <w:t xml:space="preserve">not </w:t>
      </w:r>
      <w:r w:rsidR="00434A0F">
        <w:t>expected</w:t>
      </w:r>
      <w:r w:rsidR="00434A0F" w:rsidRPr="00C9026A">
        <w:t xml:space="preserve"> </w:t>
      </w:r>
      <w:r w:rsidR="00D71A2B">
        <w:t>in</w:t>
      </w:r>
      <w:r w:rsidR="00D71A2B" w:rsidRPr="00C9026A">
        <w:t xml:space="preserve"> </w:t>
      </w:r>
      <w:r w:rsidRPr="00C9026A">
        <w:t xml:space="preserve">normal </w:t>
      </w:r>
      <w:r w:rsidR="00D71A2B">
        <w:t xml:space="preserve">operation </w:t>
      </w:r>
      <w:r w:rsidR="00EE6B07">
        <w:t>or</w:t>
      </w:r>
      <w:r w:rsidRPr="00C9026A">
        <w:t xml:space="preserve"> accident</w:t>
      </w:r>
      <w:r w:rsidR="00D71A2B">
        <w:t>s</w:t>
      </w:r>
      <w:r w:rsidR="007B1691" w:rsidRPr="00C9026A">
        <w:t>.</w:t>
      </w:r>
    </w:p>
    <w:p w:rsidR="00FA3B91" w:rsidRPr="00C9026A" w:rsidRDefault="00C62898" w:rsidP="00A57A35">
      <w:pPr>
        <w:pStyle w:val="Heading4"/>
        <w:ind w:left="0"/>
      </w:pPr>
      <w:r w:rsidRPr="00C9026A">
        <w:t>The</w:t>
      </w:r>
      <w:r w:rsidR="00AE1DEA" w:rsidRPr="00C9026A">
        <w:t xml:space="preserve"> </w:t>
      </w:r>
      <w:r w:rsidR="00924C3A">
        <w:t xml:space="preserve">required </w:t>
      </w:r>
      <w:r w:rsidR="00AE1DEA" w:rsidRPr="00C9026A">
        <w:t xml:space="preserve">level of complexity </w:t>
      </w:r>
      <w:r w:rsidRPr="00C9026A">
        <w:t xml:space="preserve">of </w:t>
      </w:r>
      <w:r w:rsidR="00924C3A">
        <w:t>the</w:t>
      </w:r>
      <w:r w:rsidRPr="00C9026A">
        <w:t xml:space="preserve"> radiological </w:t>
      </w:r>
      <w:r w:rsidR="00AE1DEA" w:rsidRPr="00C9026A">
        <w:t xml:space="preserve">environmental </w:t>
      </w:r>
      <w:r w:rsidRPr="00C9026A">
        <w:t xml:space="preserve">impact assessment should </w:t>
      </w:r>
      <w:r w:rsidR="00FA3B91" w:rsidRPr="00C9026A">
        <w:t xml:space="preserve">also </w:t>
      </w:r>
      <w:r w:rsidRPr="00C9026A">
        <w:t xml:space="preserve">be defined by the </w:t>
      </w:r>
      <w:r w:rsidR="00913F90" w:rsidRPr="00C9026A">
        <w:t xml:space="preserve">government or the </w:t>
      </w:r>
      <w:r w:rsidRPr="00C9026A">
        <w:t>regulatory body</w:t>
      </w:r>
      <w:r w:rsidR="00BE6751" w:rsidRPr="00C9026A">
        <w:t xml:space="preserve"> </w:t>
      </w:r>
      <w:r w:rsidR="00663DE5" w:rsidRPr="00C9026A">
        <w:t>in</w:t>
      </w:r>
      <w:r w:rsidR="00BE6751" w:rsidRPr="00C9026A">
        <w:t xml:space="preserve"> the national </w:t>
      </w:r>
      <w:r w:rsidR="00613661" w:rsidRPr="00C9026A">
        <w:t xml:space="preserve">legal framework or </w:t>
      </w:r>
      <w:r w:rsidR="00BE6751" w:rsidRPr="00C9026A">
        <w:t>regulations</w:t>
      </w:r>
      <w:r w:rsidR="00663DE5" w:rsidRPr="00C9026A">
        <w:t>. A</w:t>
      </w:r>
      <w:r w:rsidR="007822D6" w:rsidRPr="00C9026A">
        <w:t xml:space="preserve">ccount </w:t>
      </w:r>
      <w:r w:rsidR="00663DE5" w:rsidRPr="00C9026A">
        <w:t xml:space="preserve">should be taken on </w:t>
      </w:r>
      <w:r w:rsidR="00913F90" w:rsidRPr="00C9026A">
        <w:t>the characteristics of the activity or facility,</w:t>
      </w:r>
      <w:r w:rsidRPr="00C9026A">
        <w:t xml:space="preserve"> based on consideration</w:t>
      </w:r>
      <w:r w:rsidR="00F7314E" w:rsidRPr="00C9026A">
        <w:t>s</w:t>
      </w:r>
      <w:r w:rsidRPr="00C9026A">
        <w:t xml:space="preserve"> of the risk </w:t>
      </w:r>
      <w:r w:rsidR="00AE1DEA" w:rsidRPr="00C9026A">
        <w:t xml:space="preserve">to </w:t>
      </w:r>
      <w:r w:rsidR="00D71A2B">
        <w:t xml:space="preserve">the </w:t>
      </w:r>
      <w:r w:rsidR="00AE1DEA" w:rsidRPr="00C9026A">
        <w:t xml:space="preserve">public and the environment </w:t>
      </w:r>
      <w:r w:rsidRPr="00C9026A">
        <w:t xml:space="preserve">due to </w:t>
      </w:r>
      <w:r w:rsidR="00FF30D1">
        <w:t xml:space="preserve">exposures </w:t>
      </w:r>
      <w:r w:rsidRPr="00C9026A">
        <w:t xml:space="preserve">expected </w:t>
      </w:r>
      <w:r w:rsidR="00924C3A">
        <w:t>in</w:t>
      </w:r>
      <w:r w:rsidR="00FF30D1">
        <w:t xml:space="preserve"> normal operation </w:t>
      </w:r>
      <w:r w:rsidRPr="00C9026A">
        <w:t xml:space="preserve">and potential exposures. </w:t>
      </w:r>
      <w:r w:rsidR="00BA6D7C" w:rsidRPr="00C9026A">
        <w:t xml:space="preserve">Facilities </w:t>
      </w:r>
      <w:r w:rsidR="00BA6D7C">
        <w:t>and a</w:t>
      </w:r>
      <w:r w:rsidR="00913F90" w:rsidRPr="00C9026A">
        <w:t xml:space="preserve">ctivities </w:t>
      </w:r>
      <w:r w:rsidR="00D71A2B">
        <w:t>that</w:t>
      </w:r>
      <w:r w:rsidR="00D71A2B" w:rsidRPr="00C9026A">
        <w:t xml:space="preserve"> </w:t>
      </w:r>
      <w:r w:rsidR="00AE1DEA" w:rsidRPr="00C9026A">
        <w:t>are</w:t>
      </w:r>
      <w:r w:rsidR="00307715" w:rsidRPr="00C9026A">
        <w:t xml:space="preserve"> </w:t>
      </w:r>
      <w:r w:rsidR="00913F90" w:rsidRPr="00C9026A">
        <w:t>exempted</w:t>
      </w:r>
      <w:r w:rsidR="002E66C6" w:rsidRPr="00C9026A">
        <w:rPr>
          <w:rStyle w:val="FootnoteReference"/>
        </w:rPr>
        <w:footnoteReference w:id="13"/>
      </w:r>
      <w:r w:rsidR="00913F90" w:rsidRPr="00C9026A">
        <w:t xml:space="preserve"> </w:t>
      </w:r>
      <w:r w:rsidR="0066245A">
        <w:t>without further consideration</w:t>
      </w:r>
      <w:r w:rsidR="00D71A2B" w:rsidRPr="00C9026A">
        <w:t xml:space="preserve"> </w:t>
      </w:r>
      <w:r w:rsidR="00913F90" w:rsidRPr="00C9026A">
        <w:t>should not require a radiological environmental impact assessment</w:t>
      </w:r>
      <w:r w:rsidR="00AE1DEA" w:rsidRPr="00C9026A">
        <w:t xml:space="preserve"> for authorization, even if a generic assessment of the impact </w:t>
      </w:r>
      <w:r w:rsidR="00D71A2B">
        <w:t>on the</w:t>
      </w:r>
      <w:r w:rsidR="00D71A2B" w:rsidRPr="00C9026A">
        <w:t xml:space="preserve"> </w:t>
      </w:r>
      <w:r w:rsidR="00AE1DEA" w:rsidRPr="00C9026A">
        <w:t xml:space="preserve">public and </w:t>
      </w:r>
      <w:r w:rsidR="00D71A2B">
        <w:t xml:space="preserve">the </w:t>
      </w:r>
      <w:r w:rsidR="00AE1DEA" w:rsidRPr="00C9026A">
        <w:t>environment may have been performed to support the conclusion on exemption</w:t>
      </w:r>
      <w:r w:rsidR="00924926" w:rsidRPr="00C9026A">
        <w:t>.</w:t>
      </w:r>
      <w:r w:rsidR="000B0802">
        <w:t xml:space="preserve"> Where exemption is </w:t>
      </w:r>
      <w:r w:rsidR="0066245A">
        <w:t xml:space="preserve">granted </w:t>
      </w:r>
      <w:r w:rsidR="000B0802">
        <w:t xml:space="preserve">subject to conditions, the need </w:t>
      </w:r>
      <w:r w:rsidR="00D71A2B">
        <w:t xml:space="preserve">for a </w:t>
      </w:r>
      <w:r w:rsidR="000B0802">
        <w:t>radiological</w:t>
      </w:r>
      <w:r w:rsidR="00D71A2B">
        <w:t xml:space="preserve"> environmental</w:t>
      </w:r>
      <w:r w:rsidR="000B0802">
        <w:t xml:space="preserve"> impact assessment should be considered.</w:t>
      </w:r>
    </w:p>
    <w:p w:rsidR="00924926" w:rsidRPr="00C9026A" w:rsidRDefault="00FA3B91" w:rsidP="00A57A35">
      <w:pPr>
        <w:pStyle w:val="Heading4"/>
        <w:ind w:left="0"/>
      </w:pPr>
      <w:r w:rsidRPr="00C9026A">
        <w:t xml:space="preserve">The </w:t>
      </w:r>
      <w:r w:rsidR="00CA0ABC">
        <w:t>methods</w:t>
      </w:r>
      <w:r w:rsidR="00CA0ABC" w:rsidRPr="00C9026A">
        <w:t xml:space="preserve"> </w:t>
      </w:r>
      <w:r w:rsidRPr="00C9026A">
        <w:t xml:space="preserve">used </w:t>
      </w:r>
      <w:r w:rsidR="00CA0ABC">
        <w:t>to perform</w:t>
      </w:r>
      <w:r w:rsidRPr="00C9026A">
        <w:t xml:space="preserve"> a radiological environmental impact assessment (</w:t>
      </w:r>
      <w:r w:rsidR="00CA0ABC">
        <w:t>e.g.</w:t>
      </w:r>
      <w:r w:rsidR="00613661" w:rsidRPr="00C9026A">
        <w:t xml:space="preserve"> </w:t>
      </w:r>
      <w:r w:rsidR="008831C4">
        <w:t xml:space="preserve">the </w:t>
      </w:r>
      <w:r w:rsidRPr="00C9026A">
        <w:t xml:space="preserve">assumptions, </w:t>
      </w:r>
      <w:r w:rsidR="00613661" w:rsidRPr="00C9026A">
        <w:t xml:space="preserve">the </w:t>
      </w:r>
      <w:r w:rsidRPr="00C9026A">
        <w:t xml:space="preserve">conceptual </w:t>
      </w:r>
      <w:r w:rsidR="00D71A2B">
        <w:t>models</w:t>
      </w:r>
      <w:r w:rsidR="00E56907">
        <w:t>, the</w:t>
      </w:r>
      <w:r w:rsidRPr="00C9026A">
        <w:t xml:space="preserve"> mathematical models and </w:t>
      </w:r>
      <w:r w:rsidR="00613661" w:rsidRPr="00C9026A">
        <w:t xml:space="preserve">the </w:t>
      </w:r>
      <w:r w:rsidRPr="00C9026A">
        <w:t xml:space="preserve">input data) may </w:t>
      </w:r>
      <w:r w:rsidR="00D71A2B">
        <w:t>differ</w:t>
      </w:r>
      <w:r w:rsidR="00D71A2B" w:rsidRPr="00C9026A">
        <w:t xml:space="preserve"> </w:t>
      </w:r>
      <w:r w:rsidR="00EC6D97">
        <w:t xml:space="preserve">according </w:t>
      </w:r>
      <w:r w:rsidR="00CA0ABC">
        <w:t>to</w:t>
      </w:r>
      <w:r w:rsidRPr="00C9026A">
        <w:t xml:space="preserve"> the complexity of the facilit</w:t>
      </w:r>
      <w:r w:rsidR="00D71A2B">
        <w:t>y</w:t>
      </w:r>
      <w:r w:rsidRPr="00C9026A">
        <w:t xml:space="preserve"> </w:t>
      </w:r>
      <w:r w:rsidR="00D71A2B">
        <w:t>or</w:t>
      </w:r>
      <w:r w:rsidR="00D71A2B" w:rsidRPr="00C9026A">
        <w:t xml:space="preserve"> </w:t>
      </w:r>
      <w:r w:rsidRPr="00C9026A">
        <w:t>activit</w:t>
      </w:r>
      <w:r w:rsidR="00D71A2B">
        <w:t>y</w:t>
      </w:r>
      <w:r w:rsidRPr="00C9026A">
        <w:t xml:space="preserve"> and the associated exposure scenarios, and should be </w:t>
      </w:r>
      <w:r w:rsidR="00CA0ABC">
        <w:t>select</w:t>
      </w:r>
      <w:r w:rsidRPr="00C9026A">
        <w:t>ed</w:t>
      </w:r>
      <w:r w:rsidR="00D71A2B">
        <w:t xml:space="preserve"> by</w:t>
      </w:r>
      <w:r w:rsidRPr="00C9026A">
        <w:t xml:space="preserve"> </w:t>
      </w:r>
      <w:r w:rsidR="00CA0ABC">
        <w:t xml:space="preserve">taking into account </w:t>
      </w:r>
      <w:r w:rsidRPr="00C9026A">
        <w:t xml:space="preserve">the </w:t>
      </w:r>
      <w:r w:rsidR="00CA0ABC">
        <w:t xml:space="preserve">requirements for </w:t>
      </w:r>
      <w:r w:rsidRPr="00C9026A">
        <w:t xml:space="preserve">a graded approach. </w:t>
      </w:r>
      <w:r w:rsidR="00433BE7">
        <w:t xml:space="preserve">In </w:t>
      </w:r>
      <w:r w:rsidR="00643444">
        <w:t xml:space="preserve">general, </w:t>
      </w:r>
      <w:r w:rsidR="00433BE7">
        <w:t xml:space="preserve">it is often more </w:t>
      </w:r>
      <w:r w:rsidR="00D71A2B">
        <w:t xml:space="preserve">practical </w:t>
      </w:r>
      <w:r w:rsidR="00433BE7">
        <w:t xml:space="preserve">to start with </w:t>
      </w:r>
      <w:r w:rsidR="00CA0ABC">
        <w:t xml:space="preserve">a </w:t>
      </w:r>
      <w:r w:rsidR="00433BE7">
        <w:t>simple conservative assessment</w:t>
      </w:r>
      <w:r w:rsidR="00E919D3">
        <w:t xml:space="preserve">, </w:t>
      </w:r>
      <w:r w:rsidR="00CF0C9B">
        <w:t>using, for example</w:t>
      </w:r>
      <w:r w:rsidR="00BA0A77">
        <w:t>,</w:t>
      </w:r>
      <w:r w:rsidR="00CF0C9B">
        <w:t xml:space="preserve"> generic</w:t>
      </w:r>
      <w:r w:rsidR="00BA0A77">
        <w:t xml:space="preserve"> </w:t>
      </w:r>
      <w:r w:rsidR="00CF0C9B">
        <w:t xml:space="preserve">input data and </w:t>
      </w:r>
      <w:r w:rsidR="00433BE7">
        <w:t xml:space="preserve">assuming </w:t>
      </w:r>
      <w:r w:rsidR="00CF0C9B">
        <w:t xml:space="preserve">a </w:t>
      </w:r>
      <w:r w:rsidR="00EB5425">
        <w:t xml:space="preserve">cautious </w:t>
      </w:r>
      <w:r w:rsidR="00433BE7">
        <w:t xml:space="preserve">exposure </w:t>
      </w:r>
      <w:r w:rsidR="00D93E7B">
        <w:t>scenario</w:t>
      </w:r>
      <w:r w:rsidR="00D71A2B">
        <w:t xml:space="preserve"> </w:t>
      </w:r>
      <w:r w:rsidR="00E919D3">
        <w:t>according to</w:t>
      </w:r>
      <w:r w:rsidR="002B40B2">
        <w:t xml:space="preserve"> which</w:t>
      </w:r>
      <w:r w:rsidR="00D71A2B">
        <w:t xml:space="preserve"> the public and the environment are exposed to ionizing radiation</w:t>
      </w:r>
      <w:r w:rsidR="00E919D3">
        <w:t xml:space="preserve">, </w:t>
      </w:r>
      <w:r w:rsidR="00433BE7">
        <w:t xml:space="preserve">and </w:t>
      </w:r>
      <w:r w:rsidR="00E919D3">
        <w:t xml:space="preserve">then </w:t>
      </w:r>
      <w:r w:rsidR="00433BE7">
        <w:t>to increase the complexity of the assessment as necessary</w:t>
      </w:r>
      <w:r w:rsidR="00E919D3">
        <w:t xml:space="preserve">, </w:t>
      </w:r>
      <w:r w:rsidR="00433BE7">
        <w:t>for instance, us</w:t>
      </w:r>
      <w:r w:rsidR="00CF0C9B">
        <w:t>ing</w:t>
      </w:r>
      <w:r w:rsidR="00433BE7">
        <w:t xml:space="preserve"> site specific data and more detailed </w:t>
      </w:r>
      <w:r w:rsidR="00ED7D07">
        <w:t xml:space="preserve">and realistic </w:t>
      </w:r>
      <w:r w:rsidR="00433BE7">
        <w:t>exposure scenarios</w:t>
      </w:r>
      <w:r w:rsidR="00E919D3">
        <w:t xml:space="preserve">, </w:t>
      </w:r>
      <w:r w:rsidR="00433BE7">
        <w:t xml:space="preserve">until a clear and defensible conclusion is reached. </w:t>
      </w:r>
      <w:r w:rsidRPr="00C9026A">
        <w:t xml:space="preserve">For the sake of clarity, assessments </w:t>
      </w:r>
      <w:r w:rsidR="00D71A2B">
        <w:t>described</w:t>
      </w:r>
      <w:r w:rsidR="00D71A2B" w:rsidRPr="00C9026A">
        <w:t xml:space="preserve"> </w:t>
      </w:r>
      <w:r w:rsidRPr="00C9026A">
        <w:t>in this Safety Guide are sometimes categorized as either simple or complex. However, these terms are</w:t>
      </w:r>
      <w:r w:rsidR="00D71A2B">
        <w:t xml:space="preserve"> intended to convey</w:t>
      </w:r>
      <w:r w:rsidRPr="00C9026A">
        <w:t xml:space="preserve"> the two ends of </w:t>
      </w:r>
      <w:r w:rsidR="00E56907">
        <w:t>a</w:t>
      </w:r>
      <w:r w:rsidR="00E56907" w:rsidRPr="00C9026A">
        <w:t xml:space="preserve"> </w:t>
      </w:r>
      <w:r w:rsidRPr="00C9026A">
        <w:t xml:space="preserve">range of possible assessments and there are a large number of activities and facilities </w:t>
      </w:r>
      <w:r w:rsidR="00D71A2B">
        <w:t>for which</w:t>
      </w:r>
      <w:r w:rsidRPr="00C9026A">
        <w:t xml:space="preserve"> an assessment falling between these two </w:t>
      </w:r>
      <w:r w:rsidR="00D71A2B">
        <w:t>types will be appropriate</w:t>
      </w:r>
      <w:r w:rsidRPr="00C9026A">
        <w:t>.</w:t>
      </w:r>
    </w:p>
    <w:p w:rsidR="00FB64FF" w:rsidRPr="00C9026A" w:rsidRDefault="00662A46" w:rsidP="00A57A35">
      <w:pPr>
        <w:pStyle w:val="Heading2"/>
        <w:rPr>
          <w:lang w:val="en-GB"/>
        </w:rPr>
      </w:pPr>
      <w:bookmarkStart w:id="42" w:name="_Toc447613476"/>
      <w:bookmarkStart w:id="43" w:name="_Toc450203999"/>
      <w:r w:rsidRPr="00C9026A">
        <w:rPr>
          <w:lang w:val="en-GB"/>
        </w:rPr>
        <w:t xml:space="preserve">Assessment for the </w:t>
      </w:r>
      <w:r w:rsidR="00356380" w:rsidRPr="00C9026A">
        <w:rPr>
          <w:lang w:val="en-GB"/>
        </w:rPr>
        <w:t>authorization process</w:t>
      </w:r>
      <w:bookmarkEnd w:id="42"/>
      <w:bookmarkEnd w:id="43"/>
    </w:p>
    <w:p w:rsidR="004F3D63" w:rsidRPr="00C9026A" w:rsidRDefault="00DA0CE4" w:rsidP="00A57A35">
      <w:pPr>
        <w:pStyle w:val="Heading4"/>
        <w:ind w:left="0"/>
      </w:pPr>
      <w:r w:rsidRPr="00C9026A">
        <w:t>F</w:t>
      </w:r>
      <w:r w:rsidR="00FB64FF" w:rsidRPr="00C9026A">
        <w:t xml:space="preserve">actors </w:t>
      </w:r>
      <w:r w:rsidR="00D71A2B">
        <w:t>that</w:t>
      </w:r>
      <w:r w:rsidR="00D71A2B" w:rsidRPr="00C9026A">
        <w:t xml:space="preserve"> </w:t>
      </w:r>
      <w:r w:rsidRPr="00C9026A">
        <w:t xml:space="preserve">are </w:t>
      </w:r>
      <w:r w:rsidR="00FB64FF" w:rsidRPr="00C9026A">
        <w:t xml:space="preserve">important </w:t>
      </w:r>
      <w:r w:rsidR="00D71A2B">
        <w:t xml:space="preserve">for </w:t>
      </w:r>
      <w:r w:rsidR="0066245A">
        <w:t>determining</w:t>
      </w:r>
      <w:r w:rsidR="00FB64FF" w:rsidRPr="00C9026A">
        <w:t xml:space="preserve"> the </w:t>
      </w:r>
      <w:r w:rsidR="00A21D3F" w:rsidRPr="00C9026A">
        <w:t xml:space="preserve">need </w:t>
      </w:r>
      <w:r w:rsidR="00D71A2B">
        <w:t xml:space="preserve">for </w:t>
      </w:r>
      <w:r w:rsidR="00A21D3F" w:rsidRPr="00C9026A">
        <w:t xml:space="preserve">and </w:t>
      </w:r>
      <w:r w:rsidR="00FB64FF" w:rsidRPr="00C9026A">
        <w:t>complexity of the</w:t>
      </w:r>
      <w:r w:rsidR="00A61501" w:rsidRPr="00C9026A">
        <w:t xml:space="preserve"> </w:t>
      </w:r>
      <w:r w:rsidR="000B0802" w:rsidRPr="00C9026A">
        <w:t xml:space="preserve">radiological </w:t>
      </w:r>
      <w:r w:rsidR="00A61501" w:rsidRPr="00C9026A">
        <w:t>environmental impact</w:t>
      </w:r>
      <w:r w:rsidR="00FB64FF" w:rsidRPr="00C9026A">
        <w:t xml:space="preserve"> assessment</w:t>
      </w:r>
      <w:r w:rsidR="00A61501" w:rsidRPr="00C9026A">
        <w:t xml:space="preserve"> within a</w:t>
      </w:r>
      <w:r w:rsidR="000B0802">
        <w:t>n</w:t>
      </w:r>
      <w:r w:rsidR="00A61501" w:rsidRPr="00C9026A">
        <w:t xml:space="preserve"> authorization process</w:t>
      </w:r>
      <w:r w:rsidR="00C76603" w:rsidRPr="00C9026A">
        <w:t xml:space="preserve"> </w:t>
      </w:r>
      <w:r w:rsidR="0066245A">
        <w:t>includ</w:t>
      </w:r>
      <w:r w:rsidR="00FF3CEE">
        <w:t>e</w:t>
      </w:r>
      <w:r w:rsidR="0066245A">
        <w:t xml:space="preserve"> </w:t>
      </w:r>
      <w:r w:rsidR="00D71A2B">
        <w:t>the following</w:t>
      </w:r>
      <w:r w:rsidR="00FB64FF" w:rsidRPr="00C9026A">
        <w:t>: the source term</w:t>
      </w:r>
      <w:r w:rsidR="00FB64FF" w:rsidRPr="00C9026A">
        <w:rPr>
          <w:rStyle w:val="FootnoteReference"/>
        </w:rPr>
        <w:footnoteReference w:id="14"/>
      </w:r>
      <w:r w:rsidR="00D71A2B">
        <w:t>;</w:t>
      </w:r>
      <w:r w:rsidR="00C76603" w:rsidRPr="00C9026A">
        <w:t xml:space="preserve"> </w:t>
      </w:r>
      <w:r w:rsidR="00E86054" w:rsidRPr="00C9026A">
        <w:t xml:space="preserve">expected </w:t>
      </w:r>
      <w:r w:rsidR="00C76603" w:rsidRPr="00C9026A">
        <w:t>doses</w:t>
      </w:r>
      <w:r w:rsidR="00D71A2B">
        <w:t>;</w:t>
      </w:r>
      <w:r w:rsidR="00C76603" w:rsidRPr="00C9026A">
        <w:t xml:space="preserve"> </w:t>
      </w:r>
      <w:r w:rsidR="007D4FCA" w:rsidRPr="00C9026A">
        <w:t xml:space="preserve">the </w:t>
      </w:r>
      <w:r w:rsidRPr="00C9026A">
        <w:t>characteristics of the activity or facility</w:t>
      </w:r>
      <w:r w:rsidR="00D71A2B">
        <w:t>;</w:t>
      </w:r>
      <w:r w:rsidRPr="00C9026A">
        <w:t xml:space="preserve"> the </w:t>
      </w:r>
      <w:r w:rsidR="007D4FCA" w:rsidRPr="00C9026A">
        <w:lastRenderedPageBreak/>
        <w:t>characteristics</w:t>
      </w:r>
      <w:r w:rsidRPr="00C9026A">
        <w:t xml:space="preserve"> of the location</w:t>
      </w:r>
      <w:r w:rsidR="00D71A2B">
        <w:t>;</w:t>
      </w:r>
      <w:r w:rsidR="00FB64FF" w:rsidRPr="00C9026A">
        <w:t xml:space="preserve"> </w:t>
      </w:r>
      <w:r w:rsidR="004F3D63" w:rsidRPr="00C9026A">
        <w:t xml:space="preserve">the national </w:t>
      </w:r>
      <w:r w:rsidR="000B0802" w:rsidRPr="00C9026A">
        <w:t>licen</w:t>
      </w:r>
      <w:r w:rsidR="000B0802">
        <w:t>s</w:t>
      </w:r>
      <w:r w:rsidR="000B0802" w:rsidRPr="00C9026A">
        <w:t xml:space="preserve">ing </w:t>
      </w:r>
      <w:r w:rsidR="004F3D63" w:rsidRPr="00C9026A">
        <w:t xml:space="preserve">regulations for </w:t>
      </w:r>
      <w:r w:rsidR="00F94158">
        <w:t>the particular</w:t>
      </w:r>
      <w:r w:rsidR="004F3D63" w:rsidRPr="00C9026A">
        <w:t xml:space="preserve"> </w:t>
      </w:r>
      <w:r w:rsidR="00A61501" w:rsidRPr="00C9026A">
        <w:t xml:space="preserve">facility </w:t>
      </w:r>
      <w:r w:rsidR="00F94158">
        <w:t>of</w:t>
      </w:r>
      <w:r w:rsidR="00F94158" w:rsidRPr="00C9026A">
        <w:t xml:space="preserve"> </w:t>
      </w:r>
      <w:r w:rsidR="00A61501" w:rsidRPr="00C9026A">
        <w:t>act</w:t>
      </w:r>
      <w:r w:rsidR="004F3D63" w:rsidRPr="00C9026A">
        <w:t>ivity</w:t>
      </w:r>
      <w:r w:rsidR="00D71A2B">
        <w:t>;</w:t>
      </w:r>
      <w:r w:rsidR="004F3D63" w:rsidRPr="00C9026A">
        <w:t xml:space="preserve"> and </w:t>
      </w:r>
      <w:r w:rsidR="00FB64FF" w:rsidRPr="00C9026A">
        <w:t>the stage in the authorization process</w:t>
      </w:r>
      <w:r w:rsidR="000B0802">
        <w:t xml:space="preserve"> (see Table 1)</w:t>
      </w:r>
      <w:r w:rsidR="00FB64FF" w:rsidRPr="00C9026A">
        <w:t xml:space="preserve">. </w:t>
      </w:r>
      <w:r w:rsidR="000261BC" w:rsidRPr="00C9026A">
        <w:t>The applicant should</w:t>
      </w:r>
      <w:r w:rsidR="002C531D" w:rsidRPr="00C9026A">
        <w:t xml:space="preserve"> consider those factors </w:t>
      </w:r>
      <w:r w:rsidR="002E413D">
        <w:t xml:space="preserve">when submitting an application </w:t>
      </w:r>
      <w:r w:rsidR="000261BC" w:rsidRPr="00C9026A">
        <w:t>to the regulatory body for review and agreement.</w:t>
      </w:r>
      <w:r w:rsidR="0051597A">
        <w:t xml:space="preserve"> </w:t>
      </w:r>
      <w:r w:rsidR="0066245A">
        <w:t>F</w:t>
      </w:r>
      <w:r w:rsidR="000261BC" w:rsidRPr="00C9026A">
        <w:t>or certain facilities or activities</w:t>
      </w:r>
      <w:r w:rsidR="00A53D01" w:rsidRPr="00C9026A">
        <w:t>,</w:t>
      </w:r>
      <w:r w:rsidR="000261BC" w:rsidRPr="00C9026A">
        <w:t xml:space="preserve"> the level of detail of the assessment </w:t>
      </w:r>
      <w:r w:rsidR="0066245A">
        <w:t>can</w:t>
      </w:r>
      <w:r w:rsidR="0066245A" w:rsidRPr="00C9026A">
        <w:t xml:space="preserve"> </w:t>
      </w:r>
      <w:r w:rsidR="000261BC" w:rsidRPr="00C9026A">
        <w:t>be defined a priori by the regulatory body.</w:t>
      </w:r>
    </w:p>
    <w:p w:rsidR="00E434DC" w:rsidRPr="00C9026A" w:rsidRDefault="0066245A" w:rsidP="00A57A35">
      <w:pPr>
        <w:pStyle w:val="Heading4"/>
        <w:ind w:left="0"/>
      </w:pPr>
      <w:r>
        <w:t>The f</w:t>
      </w:r>
      <w:r w:rsidR="00E434DC" w:rsidRPr="00C9026A">
        <w:t xml:space="preserve">actors and elements </w:t>
      </w:r>
      <w:r>
        <w:t xml:space="preserve">set out </w:t>
      </w:r>
      <w:r w:rsidR="00E434DC" w:rsidRPr="00C9026A">
        <w:t>in Table 1 should be used as general guidance as to whether a simple or complex radiological environmental impact assessment might be appropriate</w:t>
      </w:r>
      <w:r w:rsidR="00810D76" w:rsidRPr="00C9026A">
        <w:rPr>
          <w:rStyle w:val="FootnoteReference"/>
          <w:caps/>
        </w:rPr>
        <w:footnoteReference w:id="15"/>
      </w:r>
      <w:r w:rsidR="00FF3CEE">
        <w:t xml:space="preserve">. </w:t>
      </w:r>
      <w:r w:rsidR="00E434DC" w:rsidRPr="00C9026A">
        <w:t xml:space="preserve">In </w:t>
      </w:r>
      <w:r w:rsidR="0051597A">
        <w:t>general</w:t>
      </w:r>
      <w:r>
        <w:t>,</w:t>
      </w:r>
      <w:r w:rsidR="00E434DC" w:rsidRPr="00C9026A">
        <w:t xml:space="preserve"> an assessment </w:t>
      </w:r>
      <w:r>
        <w:t>in support of</w:t>
      </w:r>
      <w:r w:rsidR="00E434DC" w:rsidRPr="00C9026A">
        <w:t xml:space="preserve"> the authorization of a nuclear facility </w:t>
      </w:r>
      <w:r w:rsidR="00C02411">
        <w:t xml:space="preserve">will </w:t>
      </w:r>
      <w:r w:rsidR="00E434DC" w:rsidRPr="00C9026A">
        <w:t>require a high degree of complexity, while for an activity or facility operating with a small inventory of radionuclides</w:t>
      </w:r>
      <w:r w:rsidR="00C02411">
        <w:t>, a</w:t>
      </w:r>
      <w:r w:rsidR="00E434DC" w:rsidRPr="00C9026A">
        <w:t xml:space="preserve"> simpler analysis may be justified. </w:t>
      </w:r>
    </w:p>
    <w:p w:rsidR="002E182F" w:rsidRPr="00C9026A" w:rsidRDefault="002E182F" w:rsidP="00A57A35">
      <w:pPr>
        <w:overflowPunct/>
        <w:autoSpaceDE/>
        <w:autoSpaceDN/>
        <w:adjustRightInd/>
        <w:spacing w:after="0"/>
        <w:jc w:val="left"/>
        <w:textAlignment w:val="auto"/>
        <w:rPr>
          <w:caps/>
        </w:rPr>
      </w:pPr>
    </w:p>
    <w:p w:rsidR="0093305F" w:rsidRPr="00C9026A" w:rsidRDefault="0093305F" w:rsidP="001F4FF9">
      <w:pPr>
        <w:pStyle w:val="IAEATableHeading"/>
        <w:jc w:val="both"/>
        <w:rPr>
          <w:caps/>
          <w:lang w:val="en-GB"/>
        </w:rPr>
      </w:pPr>
      <w:proofErr w:type="gramStart"/>
      <w:r w:rsidRPr="00C9026A">
        <w:rPr>
          <w:caps/>
          <w:lang w:val="en-GB"/>
        </w:rPr>
        <w:t>Table</w:t>
      </w:r>
      <w:r w:rsidR="00BA152B" w:rsidRPr="00C9026A">
        <w:rPr>
          <w:caps/>
          <w:lang w:val="en-GB"/>
        </w:rPr>
        <w:t xml:space="preserve"> </w:t>
      </w:r>
      <w:r w:rsidR="00584512" w:rsidRPr="00C9026A">
        <w:rPr>
          <w:lang w:val="en-GB"/>
        </w:rPr>
        <w:fldChar w:fldCharType="begin"/>
      </w:r>
      <w:r w:rsidR="00584512" w:rsidRPr="00C9026A">
        <w:rPr>
          <w:lang w:val="en-GB"/>
        </w:rPr>
        <w:instrText xml:space="preserve"> SEQ Table \* MERGEFORMAT </w:instrText>
      </w:r>
      <w:r w:rsidR="00584512" w:rsidRPr="00C9026A">
        <w:rPr>
          <w:lang w:val="en-GB"/>
        </w:rPr>
        <w:fldChar w:fldCharType="separate"/>
      </w:r>
      <w:r w:rsidR="005E3463" w:rsidRPr="005E3463">
        <w:rPr>
          <w:caps/>
          <w:noProof/>
          <w:lang w:val="en-GB"/>
        </w:rPr>
        <w:t>1</w:t>
      </w:r>
      <w:r w:rsidR="00584512" w:rsidRPr="00C9026A">
        <w:rPr>
          <w:caps/>
          <w:lang w:val="en-GB"/>
        </w:rPr>
        <w:fldChar w:fldCharType="end"/>
      </w:r>
      <w:r w:rsidRPr="00C9026A">
        <w:rPr>
          <w:caps/>
          <w:lang w:val="en-GB"/>
        </w:rPr>
        <w:t>.</w:t>
      </w:r>
      <w:proofErr w:type="gramEnd"/>
      <w:r w:rsidRPr="00C9026A">
        <w:rPr>
          <w:caps/>
          <w:lang w:val="en-GB"/>
        </w:rPr>
        <w:t xml:space="preserve"> examples of factors affecting the required </w:t>
      </w:r>
      <w:r w:rsidR="00D525E7" w:rsidRPr="00C9026A">
        <w:rPr>
          <w:caps/>
          <w:lang w:val="en-GB"/>
        </w:rPr>
        <w:t xml:space="preserve">LEVEL OF </w:t>
      </w:r>
      <w:r w:rsidRPr="00C9026A">
        <w:rPr>
          <w:caps/>
          <w:lang w:val="en-GB"/>
        </w:rPr>
        <w:t xml:space="preserve">complexity of </w:t>
      </w:r>
      <w:r w:rsidR="00BA4205" w:rsidRPr="00C9026A">
        <w:rPr>
          <w:caps/>
          <w:lang w:val="en-GB"/>
        </w:rPr>
        <w:t xml:space="preserve">A </w:t>
      </w:r>
      <w:r w:rsidR="005A5155">
        <w:rPr>
          <w:caps/>
          <w:lang w:val="en-GB"/>
        </w:rPr>
        <w:t xml:space="preserve">PROSPECTIVE </w:t>
      </w:r>
      <w:r w:rsidR="00BA4205" w:rsidRPr="00C9026A">
        <w:rPr>
          <w:caps/>
          <w:lang w:val="en-GB"/>
        </w:rPr>
        <w:t xml:space="preserve">radiological environmental impact </w:t>
      </w:r>
      <w:r w:rsidRPr="00C9026A">
        <w:rPr>
          <w:caps/>
          <w:lang w:val="en-GB"/>
        </w:rPr>
        <w:t>assessment</w:t>
      </w:r>
    </w:p>
    <w:tbl>
      <w:tblPr>
        <w:tblW w:w="4943" w:type="pct"/>
        <w:tblBorders>
          <w:top w:val="single" w:sz="4" w:space="0" w:color="auto"/>
          <w:bottom w:val="single" w:sz="4" w:space="0" w:color="auto"/>
          <w:insideH w:val="single" w:sz="4" w:space="0" w:color="auto"/>
        </w:tblBorders>
        <w:tblLook w:val="00A0" w:firstRow="1" w:lastRow="0" w:firstColumn="1" w:lastColumn="0" w:noHBand="0" w:noVBand="0"/>
      </w:tblPr>
      <w:tblGrid>
        <w:gridCol w:w="1952"/>
        <w:gridCol w:w="2552"/>
        <w:gridCol w:w="4677"/>
      </w:tblGrid>
      <w:tr w:rsidR="0093305F" w:rsidRPr="00C9026A" w:rsidTr="005A5155">
        <w:tc>
          <w:tcPr>
            <w:tcW w:w="2452" w:type="pct"/>
            <w:gridSpan w:val="2"/>
            <w:vAlign w:val="center"/>
          </w:tcPr>
          <w:p w:rsidR="0093305F" w:rsidRPr="00C9026A" w:rsidRDefault="0093305F" w:rsidP="00A57A35">
            <w:pPr>
              <w:pStyle w:val="BodyText"/>
              <w:overflowPunct w:val="0"/>
              <w:autoSpaceDE w:val="0"/>
              <w:autoSpaceDN w:val="0"/>
              <w:adjustRightInd w:val="0"/>
              <w:spacing w:after="0"/>
              <w:jc w:val="left"/>
              <w:textAlignment w:val="baseline"/>
              <w:rPr>
                <w:b/>
                <w:sz w:val="20"/>
                <w:lang w:val="en-GB"/>
              </w:rPr>
            </w:pPr>
            <w:r w:rsidRPr="00C9026A">
              <w:rPr>
                <w:b/>
                <w:sz w:val="20"/>
                <w:lang w:val="en-GB"/>
              </w:rPr>
              <w:t>Factor</w:t>
            </w:r>
          </w:p>
        </w:tc>
        <w:tc>
          <w:tcPr>
            <w:tcW w:w="2548" w:type="pct"/>
            <w:vAlign w:val="center"/>
          </w:tcPr>
          <w:p w:rsidR="0093305F" w:rsidRPr="00C9026A" w:rsidRDefault="0093305F" w:rsidP="00A57A35">
            <w:pPr>
              <w:pStyle w:val="BodyText"/>
              <w:spacing w:after="0"/>
              <w:jc w:val="left"/>
              <w:rPr>
                <w:b/>
                <w:sz w:val="20"/>
                <w:lang w:val="en-GB"/>
              </w:rPr>
            </w:pPr>
            <w:r w:rsidRPr="00C9026A">
              <w:rPr>
                <w:b/>
                <w:sz w:val="20"/>
                <w:lang w:val="en-GB"/>
              </w:rPr>
              <w:t>Element</w:t>
            </w:r>
          </w:p>
        </w:tc>
      </w:tr>
      <w:tr w:rsidR="0000080E" w:rsidRPr="00C9026A" w:rsidTr="005A5155">
        <w:tc>
          <w:tcPr>
            <w:tcW w:w="1063" w:type="pct"/>
            <w:vMerge w:val="restart"/>
            <w:tcBorders>
              <w:top w:val="nil"/>
              <w:bottom w:val="nil"/>
              <w:right w:val="nil"/>
            </w:tcBorders>
            <w:vAlign w:val="center"/>
          </w:tcPr>
          <w:p w:rsidR="0000080E" w:rsidRPr="00C9026A" w:rsidRDefault="0066245A" w:rsidP="0066245A">
            <w:pPr>
              <w:pStyle w:val="BodyText"/>
              <w:spacing w:after="0"/>
              <w:jc w:val="left"/>
              <w:rPr>
                <w:sz w:val="20"/>
                <w:lang w:val="en-GB" w:eastAsia="en-GB"/>
              </w:rPr>
            </w:pPr>
            <w:r>
              <w:rPr>
                <w:sz w:val="20"/>
                <w:lang w:val="en-GB" w:eastAsia="en-GB"/>
              </w:rPr>
              <w:t>Characteristics of the f</w:t>
            </w:r>
            <w:r w:rsidR="0000080E" w:rsidRPr="00C9026A">
              <w:rPr>
                <w:sz w:val="20"/>
                <w:lang w:val="en-GB" w:eastAsia="en-GB"/>
              </w:rPr>
              <w:t>acility</w:t>
            </w:r>
            <w:r>
              <w:rPr>
                <w:sz w:val="20"/>
                <w:lang w:val="en-GB" w:eastAsia="en-GB"/>
              </w:rPr>
              <w:t xml:space="preserve"> or a</w:t>
            </w:r>
            <w:r w:rsidR="0000080E" w:rsidRPr="00C9026A">
              <w:rPr>
                <w:sz w:val="20"/>
                <w:lang w:val="en-GB" w:eastAsia="en-GB"/>
              </w:rPr>
              <w:t xml:space="preserve">ctivity </w:t>
            </w:r>
          </w:p>
        </w:tc>
        <w:tc>
          <w:tcPr>
            <w:tcW w:w="1390" w:type="pct"/>
            <w:vMerge w:val="restart"/>
            <w:tcBorders>
              <w:left w:val="nil"/>
            </w:tcBorders>
            <w:vAlign w:val="center"/>
          </w:tcPr>
          <w:p w:rsidR="0000080E" w:rsidRPr="00C9026A" w:rsidRDefault="0000080E" w:rsidP="00A57A35">
            <w:pPr>
              <w:pStyle w:val="BodyText"/>
              <w:spacing w:after="0"/>
              <w:jc w:val="left"/>
              <w:rPr>
                <w:sz w:val="20"/>
                <w:lang w:val="en-GB" w:eastAsia="en-GB"/>
              </w:rPr>
            </w:pPr>
            <w:r w:rsidRPr="00C9026A">
              <w:rPr>
                <w:sz w:val="20"/>
                <w:lang w:val="en-GB" w:eastAsia="en-GB"/>
              </w:rPr>
              <w:t>Source term</w:t>
            </w:r>
          </w:p>
        </w:tc>
        <w:tc>
          <w:tcPr>
            <w:tcW w:w="2548" w:type="pct"/>
            <w:vAlign w:val="center"/>
          </w:tcPr>
          <w:p w:rsidR="0000080E" w:rsidRPr="00C9026A" w:rsidRDefault="0000080E" w:rsidP="00A57A35">
            <w:pPr>
              <w:pStyle w:val="BodyText"/>
              <w:spacing w:after="0"/>
              <w:jc w:val="left"/>
              <w:rPr>
                <w:sz w:val="20"/>
                <w:lang w:val="en-GB"/>
              </w:rPr>
            </w:pPr>
            <w:r w:rsidRPr="00C9026A">
              <w:rPr>
                <w:sz w:val="20"/>
                <w:lang w:val="en-GB" w:eastAsia="en-GB"/>
              </w:rPr>
              <w:t>Radionuclides</w:t>
            </w:r>
          </w:p>
        </w:tc>
      </w:tr>
      <w:tr w:rsidR="0000080E" w:rsidRPr="00C9026A" w:rsidTr="005A5155">
        <w:tc>
          <w:tcPr>
            <w:tcW w:w="1063" w:type="pct"/>
            <w:vMerge/>
            <w:tcBorders>
              <w:top w:val="nil"/>
              <w:bottom w:val="nil"/>
              <w:right w:val="nil"/>
            </w:tcBorders>
            <w:vAlign w:val="center"/>
          </w:tcPr>
          <w:p w:rsidR="0000080E" w:rsidRPr="00C9026A" w:rsidRDefault="0000080E" w:rsidP="00A57A35">
            <w:pPr>
              <w:pStyle w:val="BodyText"/>
              <w:overflowPunct w:val="0"/>
              <w:autoSpaceDE w:val="0"/>
              <w:autoSpaceDN w:val="0"/>
              <w:adjustRightInd w:val="0"/>
              <w:spacing w:after="0"/>
              <w:jc w:val="left"/>
              <w:textAlignment w:val="baseline"/>
              <w:rPr>
                <w:rFonts w:eastAsia="MS Mincho"/>
                <w:bCs/>
                <w:caps/>
                <w:color w:val="000000"/>
                <w:kern w:val="1"/>
                <w:sz w:val="20"/>
                <w:lang w:val="en-GB" w:eastAsia="en-GB"/>
              </w:rPr>
            </w:pPr>
          </w:p>
        </w:tc>
        <w:tc>
          <w:tcPr>
            <w:tcW w:w="1390" w:type="pct"/>
            <w:vMerge/>
            <w:tcBorders>
              <w:left w:val="nil"/>
            </w:tcBorders>
            <w:vAlign w:val="center"/>
          </w:tcPr>
          <w:p w:rsidR="0000080E" w:rsidRPr="00C9026A" w:rsidRDefault="0000080E" w:rsidP="00A57A35">
            <w:pPr>
              <w:pStyle w:val="BodyText"/>
              <w:overflowPunct w:val="0"/>
              <w:autoSpaceDE w:val="0"/>
              <w:autoSpaceDN w:val="0"/>
              <w:adjustRightInd w:val="0"/>
              <w:spacing w:after="0"/>
              <w:jc w:val="left"/>
              <w:textAlignment w:val="baseline"/>
              <w:rPr>
                <w:rFonts w:eastAsia="MS Mincho"/>
                <w:bCs/>
                <w:caps/>
                <w:color w:val="000000"/>
                <w:kern w:val="1"/>
                <w:sz w:val="20"/>
                <w:lang w:val="en-GB" w:eastAsia="en-GB"/>
              </w:rPr>
            </w:pPr>
          </w:p>
        </w:tc>
        <w:tc>
          <w:tcPr>
            <w:tcW w:w="2548" w:type="pct"/>
            <w:vAlign w:val="center"/>
          </w:tcPr>
          <w:p w:rsidR="0000080E" w:rsidRPr="00C9026A" w:rsidRDefault="0000080E" w:rsidP="00A57A35">
            <w:pPr>
              <w:pStyle w:val="BodyText"/>
              <w:spacing w:after="0"/>
              <w:jc w:val="left"/>
              <w:rPr>
                <w:sz w:val="20"/>
                <w:lang w:val="en-GB"/>
              </w:rPr>
            </w:pPr>
            <w:r w:rsidRPr="00C9026A">
              <w:rPr>
                <w:sz w:val="20"/>
                <w:lang w:val="en-GB" w:eastAsia="en-GB"/>
              </w:rPr>
              <w:t>Quantity</w:t>
            </w:r>
            <w:r w:rsidRPr="00C9026A">
              <w:rPr>
                <w:sz w:val="20"/>
                <w:lang w:val="en-GB"/>
              </w:rPr>
              <w:t xml:space="preserve"> (both activity and mass/volume)</w:t>
            </w:r>
          </w:p>
        </w:tc>
      </w:tr>
      <w:tr w:rsidR="0000080E" w:rsidRPr="00C9026A" w:rsidTr="005A5155">
        <w:tc>
          <w:tcPr>
            <w:tcW w:w="1063" w:type="pct"/>
            <w:vMerge/>
            <w:tcBorders>
              <w:top w:val="nil"/>
              <w:bottom w:val="nil"/>
              <w:right w:val="nil"/>
            </w:tcBorders>
            <w:vAlign w:val="center"/>
          </w:tcPr>
          <w:p w:rsidR="0000080E" w:rsidRPr="00C9026A" w:rsidRDefault="0000080E" w:rsidP="00A57A35">
            <w:pPr>
              <w:pStyle w:val="BodyText"/>
              <w:overflowPunct w:val="0"/>
              <w:autoSpaceDE w:val="0"/>
              <w:autoSpaceDN w:val="0"/>
              <w:adjustRightInd w:val="0"/>
              <w:spacing w:after="0"/>
              <w:jc w:val="left"/>
              <w:textAlignment w:val="baseline"/>
              <w:rPr>
                <w:rFonts w:eastAsia="MS Mincho"/>
                <w:bCs/>
                <w:caps/>
                <w:color w:val="000000"/>
                <w:kern w:val="1"/>
                <w:sz w:val="20"/>
                <w:lang w:val="en-GB" w:eastAsia="en-GB"/>
              </w:rPr>
            </w:pPr>
          </w:p>
        </w:tc>
        <w:tc>
          <w:tcPr>
            <w:tcW w:w="1390" w:type="pct"/>
            <w:vMerge/>
            <w:tcBorders>
              <w:left w:val="nil"/>
            </w:tcBorders>
            <w:vAlign w:val="center"/>
          </w:tcPr>
          <w:p w:rsidR="0000080E" w:rsidRPr="00C9026A" w:rsidRDefault="0000080E" w:rsidP="00A57A35">
            <w:pPr>
              <w:pStyle w:val="BodyText"/>
              <w:overflowPunct w:val="0"/>
              <w:autoSpaceDE w:val="0"/>
              <w:autoSpaceDN w:val="0"/>
              <w:adjustRightInd w:val="0"/>
              <w:spacing w:after="0"/>
              <w:jc w:val="left"/>
              <w:textAlignment w:val="baseline"/>
              <w:rPr>
                <w:rFonts w:eastAsia="MS Mincho"/>
                <w:bCs/>
                <w:caps/>
                <w:color w:val="000000"/>
                <w:kern w:val="1"/>
                <w:sz w:val="20"/>
                <w:lang w:val="en-GB" w:eastAsia="en-GB"/>
              </w:rPr>
            </w:pPr>
          </w:p>
        </w:tc>
        <w:tc>
          <w:tcPr>
            <w:tcW w:w="2548" w:type="pct"/>
            <w:vAlign w:val="center"/>
          </w:tcPr>
          <w:p w:rsidR="0000080E" w:rsidRPr="00C9026A" w:rsidRDefault="0000080E" w:rsidP="00A57A35">
            <w:pPr>
              <w:pStyle w:val="BodyText"/>
              <w:spacing w:after="0"/>
              <w:jc w:val="left"/>
              <w:rPr>
                <w:sz w:val="20"/>
                <w:lang w:val="en-GB"/>
              </w:rPr>
            </w:pPr>
            <w:r w:rsidRPr="00C9026A">
              <w:rPr>
                <w:sz w:val="20"/>
                <w:lang w:val="en-GB"/>
              </w:rPr>
              <w:t>Form (chemical/physical make up)</w:t>
            </w:r>
          </w:p>
        </w:tc>
      </w:tr>
      <w:tr w:rsidR="0000080E" w:rsidRPr="00C9026A" w:rsidTr="005A5155">
        <w:tc>
          <w:tcPr>
            <w:tcW w:w="1063" w:type="pct"/>
            <w:vMerge/>
            <w:tcBorders>
              <w:top w:val="nil"/>
              <w:bottom w:val="nil"/>
              <w:right w:val="nil"/>
            </w:tcBorders>
            <w:vAlign w:val="center"/>
          </w:tcPr>
          <w:p w:rsidR="0000080E" w:rsidRPr="00C9026A" w:rsidRDefault="0000080E" w:rsidP="00A57A35">
            <w:pPr>
              <w:pStyle w:val="BodyText"/>
              <w:overflowPunct w:val="0"/>
              <w:autoSpaceDE w:val="0"/>
              <w:autoSpaceDN w:val="0"/>
              <w:adjustRightInd w:val="0"/>
              <w:spacing w:after="0"/>
              <w:jc w:val="left"/>
              <w:textAlignment w:val="baseline"/>
              <w:rPr>
                <w:rFonts w:eastAsia="MS Mincho"/>
                <w:bCs/>
                <w:caps/>
                <w:color w:val="000000"/>
                <w:kern w:val="1"/>
                <w:sz w:val="20"/>
                <w:lang w:val="en-GB" w:eastAsia="en-GB"/>
              </w:rPr>
            </w:pPr>
          </w:p>
        </w:tc>
        <w:tc>
          <w:tcPr>
            <w:tcW w:w="1390" w:type="pct"/>
            <w:vMerge/>
            <w:tcBorders>
              <w:left w:val="nil"/>
            </w:tcBorders>
            <w:vAlign w:val="center"/>
          </w:tcPr>
          <w:p w:rsidR="0000080E" w:rsidRPr="00C9026A" w:rsidRDefault="0000080E" w:rsidP="00A57A35">
            <w:pPr>
              <w:pStyle w:val="BodyText"/>
              <w:overflowPunct w:val="0"/>
              <w:autoSpaceDE w:val="0"/>
              <w:autoSpaceDN w:val="0"/>
              <w:adjustRightInd w:val="0"/>
              <w:spacing w:after="0"/>
              <w:jc w:val="left"/>
              <w:textAlignment w:val="baseline"/>
              <w:rPr>
                <w:rFonts w:eastAsia="MS Mincho"/>
                <w:bCs/>
                <w:caps/>
                <w:color w:val="000000"/>
                <w:kern w:val="1"/>
                <w:sz w:val="20"/>
                <w:lang w:val="en-GB" w:eastAsia="en-GB"/>
              </w:rPr>
            </w:pPr>
          </w:p>
        </w:tc>
        <w:tc>
          <w:tcPr>
            <w:tcW w:w="2548" w:type="pct"/>
            <w:vAlign w:val="center"/>
          </w:tcPr>
          <w:p w:rsidR="0000080E" w:rsidRPr="00C9026A" w:rsidRDefault="0000080E" w:rsidP="00A57A35">
            <w:pPr>
              <w:pStyle w:val="BodyText"/>
              <w:spacing w:after="0"/>
              <w:jc w:val="left"/>
              <w:rPr>
                <w:sz w:val="20"/>
                <w:lang w:val="en-GB"/>
              </w:rPr>
            </w:pPr>
            <w:r w:rsidRPr="00C9026A">
              <w:rPr>
                <w:sz w:val="20"/>
                <w:lang w:val="en-GB"/>
              </w:rPr>
              <w:t>Geometry (size, shape, height of release)</w:t>
            </w:r>
          </w:p>
        </w:tc>
      </w:tr>
      <w:tr w:rsidR="0000080E" w:rsidRPr="00C9026A" w:rsidTr="005A5155">
        <w:tc>
          <w:tcPr>
            <w:tcW w:w="1063" w:type="pct"/>
            <w:vMerge/>
            <w:tcBorders>
              <w:top w:val="nil"/>
              <w:bottom w:val="nil"/>
              <w:right w:val="nil"/>
            </w:tcBorders>
            <w:vAlign w:val="center"/>
          </w:tcPr>
          <w:p w:rsidR="0000080E" w:rsidRPr="00C9026A" w:rsidRDefault="0000080E" w:rsidP="00A57A35">
            <w:pPr>
              <w:pStyle w:val="BodyText"/>
              <w:overflowPunct w:val="0"/>
              <w:autoSpaceDE w:val="0"/>
              <w:autoSpaceDN w:val="0"/>
              <w:adjustRightInd w:val="0"/>
              <w:spacing w:after="0"/>
              <w:jc w:val="left"/>
              <w:textAlignment w:val="baseline"/>
              <w:rPr>
                <w:sz w:val="20"/>
                <w:lang w:val="en-GB" w:eastAsia="en-GB"/>
              </w:rPr>
            </w:pPr>
          </w:p>
        </w:tc>
        <w:tc>
          <w:tcPr>
            <w:tcW w:w="1390" w:type="pct"/>
            <w:vMerge/>
            <w:tcBorders>
              <w:left w:val="nil"/>
            </w:tcBorders>
            <w:vAlign w:val="center"/>
          </w:tcPr>
          <w:p w:rsidR="0000080E" w:rsidRPr="00C9026A" w:rsidRDefault="0000080E" w:rsidP="00A57A35">
            <w:pPr>
              <w:pStyle w:val="BodyText"/>
              <w:overflowPunct w:val="0"/>
              <w:autoSpaceDE w:val="0"/>
              <w:autoSpaceDN w:val="0"/>
              <w:adjustRightInd w:val="0"/>
              <w:spacing w:after="0"/>
              <w:jc w:val="left"/>
              <w:textAlignment w:val="baseline"/>
              <w:rPr>
                <w:sz w:val="20"/>
                <w:lang w:val="en-GB" w:eastAsia="en-GB"/>
              </w:rPr>
            </w:pPr>
          </w:p>
        </w:tc>
        <w:tc>
          <w:tcPr>
            <w:tcW w:w="2548" w:type="pct"/>
            <w:vAlign w:val="center"/>
          </w:tcPr>
          <w:p w:rsidR="0000080E" w:rsidRPr="00C9026A" w:rsidRDefault="0000080E" w:rsidP="00C02411">
            <w:pPr>
              <w:pStyle w:val="BodyText"/>
              <w:spacing w:after="0"/>
              <w:jc w:val="left"/>
              <w:rPr>
                <w:sz w:val="20"/>
                <w:lang w:val="en-GB"/>
              </w:rPr>
            </w:pPr>
            <w:r w:rsidRPr="00C9026A">
              <w:rPr>
                <w:sz w:val="20"/>
                <w:lang w:val="en-GB" w:eastAsia="en-GB"/>
              </w:rPr>
              <w:t>Potential</w:t>
            </w:r>
            <w:r w:rsidRPr="00C9026A">
              <w:rPr>
                <w:sz w:val="20"/>
                <w:lang w:val="en-GB"/>
              </w:rPr>
              <w:t xml:space="preserve"> for release: </w:t>
            </w:r>
            <w:r w:rsidR="00F469C7">
              <w:rPr>
                <w:sz w:val="20"/>
                <w:lang w:val="en-GB"/>
              </w:rPr>
              <w:t xml:space="preserve">the </w:t>
            </w:r>
            <w:r w:rsidRPr="00C9026A">
              <w:rPr>
                <w:sz w:val="20"/>
                <w:lang w:val="en-GB"/>
              </w:rPr>
              <w:t xml:space="preserve">source term </w:t>
            </w:r>
            <w:r w:rsidR="00C02411">
              <w:rPr>
                <w:sz w:val="20"/>
                <w:lang w:val="en-GB"/>
              </w:rPr>
              <w:t>differs</w:t>
            </w:r>
            <w:r w:rsidR="00C02411" w:rsidRPr="00C9026A">
              <w:rPr>
                <w:sz w:val="20"/>
                <w:lang w:val="en-GB"/>
              </w:rPr>
              <w:t xml:space="preserve"> </w:t>
            </w:r>
            <w:r w:rsidRPr="00C9026A">
              <w:rPr>
                <w:sz w:val="20"/>
                <w:lang w:val="en-GB"/>
              </w:rPr>
              <w:t xml:space="preserve">significantly </w:t>
            </w:r>
            <w:r w:rsidR="00C02411">
              <w:rPr>
                <w:sz w:val="20"/>
                <w:lang w:val="en-GB"/>
              </w:rPr>
              <w:t>for</w:t>
            </w:r>
            <w:r w:rsidR="00C02411" w:rsidRPr="00C9026A">
              <w:rPr>
                <w:sz w:val="20"/>
                <w:lang w:val="en-GB"/>
              </w:rPr>
              <w:t xml:space="preserve"> </w:t>
            </w:r>
            <w:r w:rsidRPr="00C9026A">
              <w:rPr>
                <w:sz w:val="20"/>
                <w:lang w:val="en-GB"/>
              </w:rPr>
              <w:t>normal operation and</w:t>
            </w:r>
            <w:r w:rsidR="00C02411">
              <w:rPr>
                <w:sz w:val="20"/>
                <w:lang w:val="en-GB"/>
              </w:rPr>
              <w:t xml:space="preserve"> for</w:t>
            </w:r>
            <w:r w:rsidR="00A4244F">
              <w:rPr>
                <w:sz w:val="20"/>
                <w:lang w:val="en-GB"/>
              </w:rPr>
              <w:t xml:space="preserve"> </w:t>
            </w:r>
            <w:r w:rsidRPr="00C9026A">
              <w:rPr>
                <w:sz w:val="20"/>
                <w:lang w:val="en-GB"/>
              </w:rPr>
              <w:t>accidents</w:t>
            </w:r>
          </w:p>
        </w:tc>
      </w:tr>
      <w:tr w:rsidR="0000080E" w:rsidRPr="00C9026A" w:rsidTr="005A5155">
        <w:tc>
          <w:tcPr>
            <w:tcW w:w="1063" w:type="pct"/>
            <w:vMerge/>
            <w:tcBorders>
              <w:top w:val="nil"/>
              <w:bottom w:val="nil"/>
              <w:right w:val="nil"/>
            </w:tcBorders>
            <w:vAlign w:val="center"/>
          </w:tcPr>
          <w:p w:rsidR="0000080E" w:rsidRPr="00C9026A" w:rsidRDefault="0000080E" w:rsidP="00A57A35">
            <w:pPr>
              <w:pStyle w:val="BodyText"/>
              <w:spacing w:after="0"/>
              <w:jc w:val="left"/>
              <w:rPr>
                <w:sz w:val="20"/>
                <w:lang w:val="en-GB" w:eastAsia="en-GB"/>
              </w:rPr>
            </w:pPr>
          </w:p>
        </w:tc>
        <w:tc>
          <w:tcPr>
            <w:tcW w:w="1390" w:type="pct"/>
            <w:tcBorders>
              <w:left w:val="nil"/>
            </w:tcBorders>
            <w:vAlign w:val="center"/>
          </w:tcPr>
          <w:p w:rsidR="0000080E" w:rsidRPr="00C9026A" w:rsidRDefault="00C02411" w:rsidP="00A57A35">
            <w:pPr>
              <w:pStyle w:val="BodyText"/>
              <w:spacing w:after="0"/>
              <w:jc w:val="left"/>
              <w:rPr>
                <w:sz w:val="20"/>
                <w:lang w:val="en-GB" w:eastAsia="en-GB"/>
              </w:rPr>
            </w:pPr>
            <w:r>
              <w:rPr>
                <w:sz w:val="20"/>
                <w:lang w:val="en-GB" w:eastAsia="en-GB"/>
              </w:rPr>
              <w:t>E</w:t>
            </w:r>
            <w:r w:rsidR="0000080E" w:rsidRPr="00C9026A">
              <w:rPr>
                <w:sz w:val="20"/>
                <w:lang w:val="en-GB" w:eastAsia="en-GB"/>
              </w:rPr>
              <w:t>xpected dose</w:t>
            </w:r>
            <w:r w:rsidR="001D5E9A" w:rsidRPr="00C9026A">
              <w:rPr>
                <w:sz w:val="20"/>
                <w:lang w:val="en-GB" w:eastAsia="en-GB"/>
              </w:rPr>
              <w:t>s</w:t>
            </w:r>
            <w:r w:rsidR="0000080E" w:rsidRPr="00C9026A">
              <w:rPr>
                <w:sz w:val="20"/>
                <w:lang w:val="en-GB" w:eastAsia="en-GB"/>
              </w:rPr>
              <w:t xml:space="preserve"> from normal operation or projected doses f</w:t>
            </w:r>
            <w:r w:rsidR="001D5E9A" w:rsidRPr="00C9026A">
              <w:rPr>
                <w:sz w:val="20"/>
                <w:lang w:val="en-GB" w:eastAsia="en-GB"/>
              </w:rPr>
              <w:t>rom</w:t>
            </w:r>
            <w:r w:rsidR="0000080E" w:rsidRPr="00C9026A">
              <w:rPr>
                <w:sz w:val="20"/>
                <w:lang w:val="en-GB" w:eastAsia="en-GB"/>
              </w:rPr>
              <w:t xml:space="preserve"> potential exposures</w:t>
            </w:r>
          </w:p>
        </w:tc>
        <w:tc>
          <w:tcPr>
            <w:tcW w:w="2548" w:type="pct"/>
            <w:vAlign w:val="center"/>
          </w:tcPr>
          <w:p w:rsidR="0000080E" w:rsidRPr="00C9026A" w:rsidRDefault="0000080E" w:rsidP="00A57A35">
            <w:pPr>
              <w:pStyle w:val="BodyText"/>
              <w:spacing w:after="0"/>
              <w:jc w:val="left"/>
              <w:rPr>
                <w:sz w:val="20"/>
                <w:lang w:val="en-GB"/>
              </w:rPr>
            </w:pPr>
            <w:r w:rsidRPr="00C9026A">
              <w:rPr>
                <w:sz w:val="20"/>
                <w:lang w:val="en-GB" w:eastAsia="en-GB"/>
              </w:rPr>
              <w:t>Preliminary</w:t>
            </w:r>
            <w:r w:rsidRPr="00C9026A">
              <w:rPr>
                <w:sz w:val="20"/>
                <w:lang w:val="en-GB"/>
              </w:rPr>
              <w:t xml:space="preserve"> assessments or previous assessments for similar facilities</w:t>
            </w:r>
          </w:p>
        </w:tc>
      </w:tr>
      <w:tr w:rsidR="0000080E" w:rsidRPr="00C9026A" w:rsidTr="005A5155">
        <w:tc>
          <w:tcPr>
            <w:tcW w:w="1063" w:type="pct"/>
            <w:vMerge/>
            <w:tcBorders>
              <w:top w:val="nil"/>
              <w:bottom w:val="nil"/>
              <w:right w:val="nil"/>
            </w:tcBorders>
            <w:vAlign w:val="center"/>
          </w:tcPr>
          <w:p w:rsidR="0000080E" w:rsidRPr="00C9026A" w:rsidRDefault="0000080E" w:rsidP="00A57A35">
            <w:pPr>
              <w:pStyle w:val="BodyText"/>
              <w:spacing w:after="0"/>
              <w:jc w:val="left"/>
              <w:rPr>
                <w:sz w:val="20"/>
                <w:lang w:val="en-GB" w:eastAsia="en-GB"/>
              </w:rPr>
            </w:pPr>
          </w:p>
        </w:tc>
        <w:tc>
          <w:tcPr>
            <w:tcW w:w="1390" w:type="pct"/>
            <w:vMerge w:val="restart"/>
            <w:tcBorders>
              <w:top w:val="nil"/>
              <w:left w:val="nil"/>
              <w:bottom w:val="single" w:sz="4" w:space="0" w:color="auto"/>
            </w:tcBorders>
            <w:vAlign w:val="center"/>
          </w:tcPr>
          <w:p w:rsidR="0000080E" w:rsidRPr="00C9026A" w:rsidRDefault="0000080E" w:rsidP="00A57A35">
            <w:pPr>
              <w:pStyle w:val="BodyText"/>
              <w:spacing w:after="0"/>
              <w:jc w:val="left"/>
              <w:rPr>
                <w:sz w:val="20"/>
                <w:lang w:val="en-GB" w:eastAsia="en-GB"/>
              </w:rPr>
            </w:pPr>
            <w:r w:rsidRPr="00C9026A">
              <w:rPr>
                <w:sz w:val="20"/>
                <w:lang w:val="en-GB" w:eastAsia="en-GB"/>
              </w:rPr>
              <w:t>Safety characteristics of the activity or facility</w:t>
            </w:r>
          </w:p>
        </w:tc>
        <w:tc>
          <w:tcPr>
            <w:tcW w:w="2548" w:type="pct"/>
            <w:vAlign w:val="center"/>
          </w:tcPr>
          <w:p w:rsidR="0000080E" w:rsidRPr="00C9026A" w:rsidRDefault="0000080E" w:rsidP="00A57A35">
            <w:pPr>
              <w:pStyle w:val="BodyText"/>
              <w:spacing w:after="0"/>
              <w:jc w:val="left"/>
              <w:rPr>
                <w:sz w:val="20"/>
                <w:lang w:val="en-GB"/>
              </w:rPr>
            </w:pPr>
            <w:r w:rsidRPr="00C9026A">
              <w:rPr>
                <w:sz w:val="20"/>
                <w:lang w:val="en-GB" w:eastAsia="en-GB"/>
              </w:rPr>
              <w:t>Types of safety barriers and engineering features present in the design</w:t>
            </w:r>
          </w:p>
        </w:tc>
      </w:tr>
      <w:tr w:rsidR="0000080E" w:rsidRPr="00C9026A" w:rsidTr="005A5155">
        <w:tc>
          <w:tcPr>
            <w:tcW w:w="1063" w:type="pct"/>
            <w:vMerge/>
            <w:tcBorders>
              <w:top w:val="nil"/>
              <w:bottom w:val="nil"/>
              <w:right w:val="nil"/>
            </w:tcBorders>
            <w:vAlign w:val="center"/>
          </w:tcPr>
          <w:p w:rsidR="0000080E" w:rsidRPr="00C9026A" w:rsidRDefault="0000080E" w:rsidP="00A57A35">
            <w:pPr>
              <w:pStyle w:val="BodyText"/>
              <w:overflowPunct w:val="0"/>
              <w:autoSpaceDE w:val="0"/>
              <w:autoSpaceDN w:val="0"/>
              <w:adjustRightInd w:val="0"/>
              <w:spacing w:after="0"/>
              <w:jc w:val="left"/>
              <w:textAlignment w:val="baseline"/>
              <w:rPr>
                <w:sz w:val="20"/>
                <w:lang w:val="en-GB" w:eastAsia="en-GB"/>
              </w:rPr>
            </w:pPr>
          </w:p>
        </w:tc>
        <w:tc>
          <w:tcPr>
            <w:tcW w:w="1390" w:type="pct"/>
            <w:vMerge/>
            <w:tcBorders>
              <w:top w:val="single" w:sz="4" w:space="0" w:color="auto"/>
              <w:left w:val="nil"/>
              <w:bottom w:val="single" w:sz="4" w:space="0" w:color="auto"/>
            </w:tcBorders>
            <w:vAlign w:val="center"/>
          </w:tcPr>
          <w:p w:rsidR="0000080E" w:rsidRPr="00C9026A" w:rsidRDefault="0000080E" w:rsidP="00A57A35">
            <w:pPr>
              <w:pStyle w:val="BodyText"/>
              <w:overflowPunct w:val="0"/>
              <w:autoSpaceDE w:val="0"/>
              <w:autoSpaceDN w:val="0"/>
              <w:adjustRightInd w:val="0"/>
              <w:spacing w:after="0"/>
              <w:jc w:val="left"/>
              <w:textAlignment w:val="baseline"/>
              <w:rPr>
                <w:sz w:val="20"/>
                <w:lang w:val="en-GB" w:eastAsia="en-GB"/>
              </w:rPr>
            </w:pPr>
          </w:p>
        </w:tc>
        <w:tc>
          <w:tcPr>
            <w:tcW w:w="2548" w:type="pct"/>
            <w:vAlign w:val="center"/>
          </w:tcPr>
          <w:p w:rsidR="0000080E" w:rsidRPr="00C9026A" w:rsidRDefault="0000080E" w:rsidP="00C02411">
            <w:pPr>
              <w:pStyle w:val="BodyText"/>
              <w:spacing w:after="0"/>
              <w:jc w:val="left"/>
              <w:rPr>
                <w:sz w:val="20"/>
                <w:lang w:val="en-GB"/>
              </w:rPr>
            </w:pPr>
            <w:r w:rsidRPr="00C9026A">
              <w:rPr>
                <w:sz w:val="20"/>
                <w:lang w:val="en-GB" w:eastAsia="en-GB"/>
              </w:rPr>
              <w:t>Potential for severe accident</w:t>
            </w:r>
            <w:r w:rsidR="00C02411">
              <w:rPr>
                <w:sz w:val="20"/>
                <w:lang w:val="en-GB" w:eastAsia="en-GB"/>
              </w:rPr>
              <w:t>s</w:t>
            </w:r>
            <w:r w:rsidRPr="00C9026A">
              <w:rPr>
                <w:sz w:val="20"/>
                <w:lang w:val="en-GB" w:eastAsia="en-GB"/>
              </w:rPr>
              <w:t xml:space="preserve"> </w:t>
            </w:r>
          </w:p>
        </w:tc>
      </w:tr>
      <w:tr w:rsidR="0000080E" w:rsidRPr="00C9026A" w:rsidTr="005A5155">
        <w:tc>
          <w:tcPr>
            <w:tcW w:w="2452" w:type="pct"/>
            <w:gridSpan w:val="2"/>
            <w:vMerge w:val="restart"/>
            <w:tcBorders>
              <w:top w:val="single" w:sz="4" w:space="0" w:color="auto"/>
            </w:tcBorders>
            <w:vAlign w:val="center"/>
          </w:tcPr>
          <w:p w:rsidR="0000080E" w:rsidRPr="00C9026A" w:rsidRDefault="00F94158" w:rsidP="00F94158">
            <w:pPr>
              <w:pStyle w:val="BodyText"/>
              <w:spacing w:after="0"/>
              <w:jc w:val="left"/>
              <w:rPr>
                <w:sz w:val="20"/>
                <w:lang w:val="en-GB" w:eastAsia="en-GB"/>
              </w:rPr>
            </w:pPr>
            <w:r>
              <w:rPr>
                <w:sz w:val="20"/>
                <w:lang w:val="en-GB" w:eastAsia="en-GB"/>
              </w:rPr>
              <w:t>Characteristics of the l</w:t>
            </w:r>
            <w:r w:rsidR="0000080E" w:rsidRPr="00C9026A">
              <w:rPr>
                <w:sz w:val="20"/>
                <w:lang w:val="en-GB" w:eastAsia="en-GB"/>
              </w:rPr>
              <w:t xml:space="preserve">ocation </w:t>
            </w:r>
          </w:p>
        </w:tc>
        <w:tc>
          <w:tcPr>
            <w:tcW w:w="2548" w:type="pct"/>
            <w:vAlign w:val="center"/>
          </w:tcPr>
          <w:p w:rsidR="0000080E" w:rsidRPr="00C9026A" w:rsidRDefault="0000080E" w:rsidP="00C02411">
            <w:pPr>
              <w:pStyle w:val="BodyText"/>
              <w:spacing w:after="0"/>
              <w:jc w:val="left"/>
              <w:rPr>
                <w:sz w:val="20"/>
                <w:lang w:val="en-GB"/>
              </w:rPr>
            </w:pPr>
            <w:r w:rsidRPr="00C9026A">
              <w:rPr>
                <w:sz w:val="20"/>
                <w:lang w:val="en-GB" w:eastAsia="en-GB"/>
              </w:rPr>
              <w:t>Characteristics</w:t>
            </w:r>
            <w:r w:rsidRPr="00C9026A">
              <w:rPr>
                <w:sz w:val="20"/>
                <w:lang w:val="en-GB"/>
              </w:rPr>
              <w:t xml:space="preserve"> of </w:t>
            </w:r>
            <w:r w:rsidR="007C35AC">
              <w:rPr>
                <w:sz w:val="20"/>
                <w:lang w:val="en-GB"/>
              </w:rPr>
              <w:t xml:space="preserve">the </w:t>
            </w:r>
            <w:r w:rsidR="00C1268F">
              <w:rPr>
                <w:sz w:val="20"/>
                <w:lang w:val="en-GB"/>
              </w:rPr>
              <w:t xml:space="preserve">facility </w:t>
            </w:r>
            <w:r w:rsidR="007C35AC">
              <w:rPr>
                <w:sz w:val="20"/>
                <w:lang w:val="en-GB"/>
              </w:rPr>
              <w:t xml:space="preserve">site </w:t>
            </w:r>
            <w:r w:rsidR="001C35CB">
              <w:rPr>
                <w:sz w:val="20"/>
                <w:lang w:val="en-GB"/>
              </w:rPr>
              <w:t>relat</w:t>
            </w:r>
            <w:r w:rsidR="00C02411">
              <w:rPr>
                <w:sz w:val="20"/>
                <w:lang w:val="en-GB"/>
              </w:rPr>
              <w:t>ing</w:t>
            </w:r>
            <w:r w:rsidR="001C35CB">
              <w:rPr>
                <w:sz w:val="20"/>
                <w:lang w:val="en-GB"/>
              </w:rPr>
              <w:t xml:space="preserve"> to </w:t>
            </w:r>
            <w:r w:rsidR="00C1268F">
              <w:rPr>
                <w:sz w:val="20"/>
                <w:lang w:val="en-GB"/>
              </w:rPr>
              <w:t xml:space="preserve">dispersion of </w:t>
            </w:r>
            <w:r w:rsidR="001C35CB">
              <w:rPr>
                <w:sz w:val="20"/>
                <w:lang w:val="en-GB"/>
              </w:rPr>
              <w:t>radionuclide</w:t>
            </w:r>
            <w:r w:rsidR="00C1268F">
              <w:rPr>
                <w:sz w:val="20"/>
                <w:lang w:val="en-GB"/>
              </w:rPr>
              <w:t>s</w:t>
            </w:r>
            <w:r w:rsidR="001C35CB">
              <w:rPr>
                <w:sz w:val="20"/>
                <w:lang w:val="en-GB"/>
              </w:rPr>
              <w:t xml:space="preserve"> </w:t>
            </w:r>
            <w:r w:rsidR="00C1268F">
              <w:rPr>
                <w:sz w:val="20"/>
                <w:lang w:val="en-GB"/>
              </w:rPr>
              <w:t>in the environment</w:t>
            </w:r>
            <w:r w:rsidR="001C35CB">
              <w:rPr>
                <w:sz w:val="20"/>
                <w:lang w:val="en-GB"/>
              </w:rPr>
              <w:t xml:space="preserve"> </w:t>
            </w:r>
            <w:r w:rsidRPr="00C9026A">
              <w:rPr>
                <w:sz w:val="20"/>
                <w:lang w:val="en-GB"/>
              </w:rPr>
              <w:t>(</w:t>
            </w:r>
            <w:r w:rsidR="006961E9">
              <w:rPr>
                <w:sz w:val="20"/>
                <w:lang w:val="en-GB"/>
              </w:rPr>
              <w:t xml:space="preserve">for example, </w:t>
            </w:r>
            <w:r w:rsidRPr="00C9026A">
              <w:rPr>
                <w:sz w:val="20"/>
                <w:lang w:val="en-GB"/>
              </w:rPr>
              <w:t>geology, hydrology, meteorology, morphology, biophysical</w:t>
            </w:r>
            <w:r w:rsidR="00F94158">
              <w:rPr>
                <w:sz w:val="20"/>
                <w:lang w:val="en-GB"/>
              </w:rPr>
              <w:t xml:space="preserve"> characteristics</w:t>
            </w:r>
            <w:r w:rsidRPr="00C9026A">
              <w:rPr>
                <w:sz w:val="20"/>
                <w:lang w:val="en-GB"/>
              </w:rPr>
              <w:t>)</w:t>
            </w:r>
          </w:p>
        </w:tc>
      </w:tr>
      <w:tr w:rsidR="0000080E" w:rsidRPr="00C9026A" w:rsidTr="005A5155">
        <w:tc>
          <w:tcPr>
            <w:tcW w:w="2452" w:type="pct"/>
            <w:gridSpan w:val="2"/>
            <w:vMerge/>
            <w:vAlign w:val="center"/>
          </w:tcPr>
          <w:p w:rsidR="0000080E" w:rsidRPr="00C9026A" w:rsidRDefault="0000080E" w:rsidP="00A57A35">
            <w:pPr>
              <w:pStyle w:val="BodyText"/>
              <w:overflowPunct w:val="0"/>
              <w:autoSpaceDE w:val="0"/>
              <w:autoSpaceDN w:val="0"/>
              <w:adjustRightInd w:val="0"/>
              <w:spacing w:after="0"/>
              <w:jc w:val="left"/>
              <w:textAlignment w:val="baseline"/>
              <w:rPr>
                <w:sz w:val="20"/>
                <w:lang w:val="en-GB" w:eastAsia="en-GB"/>
              </w:rPr>
            </w:pPr>
          </w:p>
        </w:tc>
        <w:tc>
          <w:tcPr>
            <w:tcW w:w="2548" w:type="pct"/>
            <w:vAlign w:val="center"/>
          </w:tcPr>
          <w:p w:rsidR="0000080E" w:rsidRPr="00C9026A" w:rsidRDefault="0000080E" w:rsidP="00147AB2">
            <w:pPr>
              <w:pStyle w:val="BodyText"/>
              <w:spacing w:after="0"/>
              <w:jc w:val="left"/>
              <w:rPr>
                <w:sz w:val="20"/>
                <w:lang w:val="en-GB"/>
              </w:rPr>
            </w:pPr>
            <w:r w:rsidRPr="00C9026A">
              <w:rPr>
                <w:sz w:val="20"/>
                <w:lang w:val="en-GB" w:eastAsia="en-GB"/>
              </w:rPr>
              <w:t>Presence</w:t>
            </w:r>
            <w:r w:rsidRPr="00C9026A">
              <w:rPr>
                <w:sz w:val="20"/>
                <w:lang w:val="en-GB"/>
              </w:rPr>
              <w:t xml:space="preserve"> </w:t>
            </w:r>
            <w:r w:rsidR="001C35CB">
              <w:rPr>
                <w:sz w:val="20"/>
                <w:lang w:val="en-GB"/>
              </w:rPr>
              <w:t>and characteristic</w:t>
            </w:r>
            <w:r w:rsidR="00F94158">
              <w:rPr>
                <w:sz w:val="20"/>
                <w:lang w:val="en-GB"/>
              </w:rPr>
              <w:t>s</w:t>
            </w:r>
            <w:r w:rsidR="001C35CB">
              <w:rPr>
                <w:sz w:val="20"/>
                <w:lang w:val="en-GB"/>
              </w:rPr>
              <w:t xml:space="preserve"> </w:t>
            </w:r>
            <w:r w:rsidRPr="00C9026A">
              <w:rPr>
                <w:sz w:val="20"/>
                <w:lang w:val="en-GB"/>
              </w:rPr>
              <w:t>of receptor</w:t>
            </w:r>
            <w:r w:rsidR="0051597A">
              <w:rPr>
                <w:sz w:val="20"/>
                <w:lang w:val="en-GB"/>
              </w:rPr>
              <w:t xml:space="preserve">s </w:t>
            </w:r>
            <w:r w:rsidRPr="00C9026A">
              <w:rPr>
                <w:sz w:val="20"/>
                <w:lang w:val="en-GB"/>
              </w:rPr>
              <w:t>(</w:t>
            </w:r>
            <w:r w:rsidR="006961E9">
              <w:rPr>
                <w:sz w:val="20"/>
                <w:lang w:val="en-GB"/>
              </w:rPr>
              <w:t xml:space="preserve">for example, </w:t>
            </w:r>
            <w:r w:rsidR="001C35CB">
              <w:rPr>
                <w:sz w:val="20"/>
                <w:lang w:val="en-GB"/>
              </w:rPr>
              <w:t>demography</w:t>
            </w:r>
            <w:r w:rsidRPr="00C9026A">
              <w:rPr>
                <w:sz w:val="20"/>
                <w:lang w:val="en-GB"/>
              </w:rPr>
              <w:t xml:space="preserve">, </w:t>
            </w:r>
            <w:r w:rsidR="001C35CB">
              <w:rPr>
                <w:sz w:val="20"/>
                <w:lang w:val="en-GB"/>
              </w:rPr>
              <w:t xml:space="preserve">living habits and conditions, </w:t>
            </w:r>
            <w:r w:rsidRPr="00C9026A">
              <w:rPr>
                <w:sz w:val="20"/>
                <w:lang w:val="en-GB"/>
              </w:rPr>
              <w:t>flora and fauna)</w:t>
            </w:r>
          </w:p>
        </w:tc>
      </w:tr>
      <w:tr w:rsidR="0000080E" w:rsidRPr="00C9026A" w:rsidTr="005A5155">
        <w:tc>
          <w:tcPr>
            <w:tcW w:w="2452" w:type="pct"/>
            <w:gridSpan w:val="2"/>
            <w:vMerge/>
            <w:vAlign w:val="center"/>
          </w:tcPr>
          <w:p w:rsidR="0000080E" w:rsidRPr="00C9026A" w:rsidRDefault="0000080E" w:rsidP="00A57A35">
            <w:pPr>
              <w:pStyle w:val="BodyText"/>
              <w:overflowPunct w:val="0"/>
              <w:autoSpaceDE w:val="0"/>
              <w:autoSpaceDN w:val="0"/>
              <w:adjustRightInd w:val="0"/>
              <w:spacing w:after="0"/>
              <w:jc w:val="left"/>
              <w:textAlignment w:val="baseline"/>
              <w:rPr>
                <w:sz w:val="20"/>
                <w:lang w:val="en-GB" w:eastAsia="en-GB"/>
              </w:rPr>
            </w:pPr>
          </w:p>
        </w:tc>
        <w:tc>
          <w:tcPr>
            <w:tcW w:w="2548" w:type="pct"/>
            <w:vAlign w:val="center"/>
          </w:tcPr>
          <w:p w:rsidR="0000080E" w:rsidRPr="00C9026A" w:rsidRDefault="0000080E" w:rsidP="00A57A35">
            <w:pPr>
              <w:pStyle w:val="BodyText"/>
              <w:spacing w:after="0"/>
              <w:jc w:val="left"/>
              <w:rPr>
                <w:sz w:val="20"/>
                <w:lang w:val="en-GB"/>
              </w:rPr>
            </w:pPr>
            <w:r w:rsidRPr="00C9026A">
              <w:rPr>
                <w:sz w:val="20"/>
                <w:lang w:val="en-GB" w:eastAsia="en-GB"/>
              </w:rPr>
              <w:t>Exposure</w:t>
            </w:r>
            <w:r w:rsidRPr="00C9026A">
              <w:rPr>
                <w:sz w:val="20"/>
                <w:lang w:val="en-GB"/>
              </w:rPr>
              <w:t xml:space="preserve"> pathways</w:t>
            </w:r>
          </w:p>
        </w:tc>
      </w:tr>
      <w:tr w:rsidR="0000080E" w:rsidRPr="00C9026A" w:rsidTr="005A5155">
        <w:tc>
          <w:tcPr>
            <w:tcW w:w="2452" w:type="pct"/>
            <w:gridSpan w:val="2"/>
            <w:vMerge/>
            <w:vAlign w:val="center"/>
          </w:tcPr>
          <w:p w:rsidR="0000080E" w:rsidRPr="00C9026A" w:rsidRDefault="0000080E" w:rsidP="00A57A35">
            <w:pPr>
              <w:pStyle w:val="BodyText"/>
              <w:overflowPunct w:val="0"/>
              <w:autoSpaceDE w:val="0"/>
              <w:autoSpaceDN w:val="0"/>
              <w:adjustRightInd w:val="0"/>
              <w:spacing w:after="0"/>
              <w:jc w:val="left"/>
              <w:textAlignment w:val="baseline"/>
              <w:rPr>
                <w:sz w:val="20"/>
                <w:lang w:val="en-GB" w:eastAsia="en-GB"/>
              </w:rPr>
            </w:pPr>
          </w:p>
        </w:tc>
        <w:tc>
          <w:tcPr>
            <w:tcW w:w="2548" w:type="pct"/>
            <w:vAlign w:val="center"/>
          </w:tcPr>
          <w:p w:rsidR="0000080E" w:rsidRPr="00C9026A" w:rsidRDefault="0000080E" w:rsidP="00A57A35">
            <w:pPr>
              <w:pStyle w:val="BodyText"/>
              <w:spacing w:after="0"/>
              <w:jc w:val="left"/>
              <w:rPr>
                <w:sz w:val="20"/>
                <w:lang w:val="en-GB" w:eastAsia="en-GB"/>
              </w:rPr>
            </w:pPr>
            <w:r w:rsidRPr="00C9026A">
              <w:rPr>
                <w:sz w:val="20"/>
                <w:lang w:val="en-GB" w:eastAsia="en-GB"/>
              </w:rPr>
              <w:t>Land use</w:t>
            </w:r>
            <w:r w:rsidR="006961E9">
              <w:rPr>
                <w:sz w:val="20"/>
                <w:lang w:val="en-GB" w:eastAsia="en-GB"/>
              </w:rPr>
              <w:t xml:space="preserve"> and other activities </w:t>
            </w:r>
            <w:r w:rsidRPr="00C9026A">
              <w:rPr>
                <w:sz w:val="20"/>
                <w:lang w:val="en-GB" w:eastAsia="en-GB"/>
              </w:rPr>
              <w:t>(</w:t>
            </w:r>
            <w:r w:rsidR="006961E9">
              <w:rPr>
                <w:sz w:val="20"/>
                <w:lang w:val="en-GB" w:eastAsia="en-GB"/>
              </w:rPr>
              <w:t xml:space="preserve">for example </w:t>
            </w:r>
            <w:r w:rsidRPr="00C9026A">
              <w:rPr>
                <w:sz w:val="20"/>
                <w:lang w:val="en-GB" w:eastAsia="en-GB"/>
              </w:rPr>
              <w:t>agriculture</w:t>
            </w:r>
            <w:r w:rsidR="006961E9">
              <w:rPr>
                <w:sz w:val="20"/>
                <w:lang w:val="en-GB" w:eastAsia="en-GB"/>
              </w:rPr>
              <w:t>, food processing, other industries</w:t>
            </w:r>
            <w:r w:rsidRPr="00C9026A">
              <w:rPr>
                <w:sz w:val="20"/>
                <w:lang w:val="en-GB" w:eastAsia="en-GB"/>
              </w:rPr>
              <w:t xml:space="preserve">) </w:t>
            </w:r>
          </w:p>
        </w:tc>
      </w:tr>
      <w:tr w:rsidR="0000080E" w:rsidRPr="00C9026A" w:rsidTr="005A5155">
        <w:tc>
          <w:tcPr>
            <w:tcW w:w="2452" w:type="pct"/>
            <w:gridSpan w:val="2"/>
            <w:vMerge/>
            <w:vAlign w:val="center"/>
          </w:tcPr>
          <w:p w:rsidR="0000080E" w:rsidRPr="00C9026A" w:rsidRDefault="0000080E" w:rsidP="00A57A35">
            <w:pPr>
              <w:pStyle w:val="BodyText"/>
              <w:overflowPunct w:val="0"/>
              <w:autoSpaceDE w:val="0"/>
              <w:autoSpaceDN w:val="0"/>
              <w:adjustRightInd w:val="0"/>
              <w:spacing w:after="0"/>
              <w:jc w:val="left"/>
              <w:textAlignment w:val="baseline"/>
              <w:rPr>
                <w:sz w:val="20"/>
                <w:lang w:val="en-GB" w:eastAsia="en-GB"/>
              </w:rPr>
            </w:pPr>
          </w:p>
        </w:tc>
        <w:tc>
          <w:tcPr>
            <w:tcW w:w="2548" w:type="pct"/>
            <w:vAlign w:val="center"/>
          </w:tcPr>
          <w:p w:rsidR="0000080E" w:rsidRPr="00C9026A" w:rsidRDefault="0000080E" w:rsidP="00F94158">
            <w:pPr>
              <w:pStyle w:val="BodyText"/>
              <w:spacing w:after="0"/>
              <w:jc w:val="left"/>
              <w:rPr>
                <w:sz w:val="20"/>
                <w:lang w:val="en-GB" w:eastAsia="en-GB"/>
              </w:rPr>
            </w:pPr>
            <w:r w:rsidRPr="00C9026A">
              <w:rPr>
                <w:sz w:val="20"/>
                <w:lang w:val="en-GB" w:eastAsia="en-GB"/>
              </w:rPr>
              <w:t>Characteristics</w:t>
            </w:r>
            <w:r w:rsidRPr="00C9026A">
              <w:rPr>
                <w:sz w:val="20"/>
                <w:lang w:val="en-GB"/>
              </w:rPr>
              <w:t xml:space="preserve"> of other installations in the vicinity and possible natural and </w:t>
            </w:r>
            <w:r w:rsidR="00F94158">
              <w:rPr>
                <w:sz w:val="20"/>
                <w:lang w:val="en-GB"/>
              </w:rPr>
              <w:t>human induced</w:t>
            </w:r>
            <w:r w:rsidRPr="00C9026A">
              <w:rPr>
                <w:sz w:val="20"/>
                <w:lang w:val="en-GB"/>
              </w:rPr>
              <w:t xml:space="preserve"> external events (for example, earthquakes, </w:t>
            </w:r>
            <w:r w:rsidR="006961E9">
              <w:rPr>
                <w:sz w:val="20"/>
                <w:lang w:val="en-GB"/>
              </w:rPr>
              <w:t xml:space="preserve">flooding, </w:t>
            </w:r>
            <w:r w:rsidRPr="00C9026A">
              <w:rPr>
                <w:sz w:val="20"/>
                <w:lang w:val="en-GB"/>
              </w:rPr>
              <w:t>industrial accidents</w:t>
            </w:r>
            <w:r w:rsidR="006961E9">
              <w:rPr>
                <w:sz w:val="20"/>
                <w:lang w:val="en-GB"/>
              </w:rPr>
              <w:t>, transport accidents</w:t>
            </w:r>
            <w:r w:rsidRPr="00C9026A">
              <w:rPr>
                <w:sz w:val="20"/>
                <w:lang w:val="en-GB"/>
              </w:rPr>
              <w:t>)</w:t>
            </w:r>
          </w:p>
        </w:tc>
      </w:tr>
      <w:tr w:rsidR="0000080E" w:rsidRPr="00C9026A" w:rsidTr="005A5155">
        <w:trPr>
          <w:trHeight w:val="293"/>
        </w:trPr>
        <w:tc>
          <w:tcPr>
            <w:tcW w:w="2452" w:type="pct"/>
            <w:gridSpan w:val="2"/>
            <w:vMerge w:val="restart"/>
            <w:tcBorders>
              <w:top w:val="single" w:sz="4" w:space="0" w:color="auto"/>
              <w:bottom w:val="single" w:sz="4" w:space="0" w:color="auto"/>
            </w:tcBorders>
            <w:vAlign w:val="center"/>
          </w:tcPr>
          <w:p w:rsidR="0000080E" w:rsidRPr="00C9026A" w:rsidRDefault="0000080E" w:rsidP="00A57A35">
            <w:pPr>
              <w:pStyle w:val="BodyText"/>
              <w:spacing w:after="0"/>
              <w:jc w:val="left"/>
              <w:rPr>
                <w:sz w:val="20"/>
                <w:lang w:val="en-GB" w:eastAsia="en-GB"/>
              </w:rPr>
            </w:pPr>
            <w:r w:rsidRPr="00C9026A">
              <w:rPr>
                <w:sz w:val="20"/>
                <w:lang w:val="en-GB" w:eastAsia="en-GB"/>
              </w:rPr>
              <w:t xml:space="preserve">Characteristics of </w:t>
            </w:r>
            <w:r w:rsidR="0066245A">
              <w:rPr>
                <w:sz w:val="20"/>
                <w:lang w:val="en-GB" w:eastAsia="en-GB"/>
              </w:rPr>
              <w:t xml:space="preserve">the </w:t>
            </w:r>
            <w:r w:rsidRPr="00C9026A">
              <w:rPr>
                <w:sz w:val="20"/>
                <w:lang w:val="en-GB" w:eastAsia="en-GB"/>
              </w:rPr>
              <w:t>authorization process for the particular activity or facility</w:t>
            </w:r>
          </w:p>
        </w:tc>
        <w:tc>
          <w:tcPr>
            <w:tcW w:w="2548" w:type="pct"/>
            <w:vAlign w:val="center"/>
          </w:tcPr>
          <w:p w:rsidR="0000080E" w:rsidRPr="00C9026A" w:rsidRDefault="0000080E" w:rsidP="00CC38DB">
            <w:pPr>
              <w:pStyle w:val="BodyText"/>
              <w:spacing w:after="0"/>
              <w:jc w:val="left"/>
              <w:rPr>
                <w:sz w:val="20"/>
                <w:lang w:val="en-GB"/>
              </w:rPr>
            </w:pPr>
            <w:r w:rsidRPr="00C9026A">
              <w:rPr>
                <w:sz w:val="20"/>
                <w:lang w:val="en-GB" w:eastAsia="en-GB"/>
              </w:rPr>
              <w:t>Requirement</w:t>
            </w:r>
            <w:r w:rsidR="0066245A">
              <w:rPr>
                <w:sz w:val="20"/>
                <w:lang w:val="en-GB" w:eastAsia="en-GB"/>
              </w:rPr>
              <w:t>s</w:t>
            </w:r>
            <w:r w:rsidRPr="00C9026A">
              <w:rPr>
                <w:sz w:val="20"/>
                <w:lang w:val="en-GB"/>
              </w:rPr>
              <w:t xml:space="preserve"> o</w:t>
            </w:r>
            <w:r w:rsidR="0051597A">
              <w:rPr>
                <w:sz w:val="20"/>
                <w:lang w:val="en-GB"/>
              </w:rPr>
              <w:t xml:space="preserve">r </w:t>
            </w:r>
            <w:r w:rsidRPr="00C9026A">
              <w:rPr>
                <w:sz w:val="20"/>
                <w:lang w:val="en-GB"/>
              </w:rPr>
              <w:t xml:space="preserve"> regulations (licensing requirements)</w:t>
            </w:r>
          </w:p>
        </w:tc>
      </w:tr>
      <w:tr w:rsidR="0000080E" w:rsidRPr="00C9026A" w:rsidTr="005A5155">
        <w:trPr>
          <w:trHeight w:val="284"/>
        </w:trPr>
        <w:tc>
          <w:tcPr>
            <w:tcW w:w="2452" w:type="pct"/>
            <w:gridSpan w:val="2"/>
            <w:vMerge/>
            <w:tcBorders>
              <w:top w:val="single" w:sz="4" w:space="0" w:color="auto"/>
              <w:bottom w:val="single" w:sz="4" w:space="0" w:color="auto"/>
            </w:tcBorders>
            <w:vAlign w:val="center"/>
          </w:tcPr>
          <w:p w:rsidR="0000080E" w:rsidRPr="00C9026A" w:rsidRDefault="0000080E" w:rsidP="00A57A35">
            <w:pPr>
              <w:pStyle w:val="BodyText"/>
              <w:overflowPunct w:val="0"/>
              <w:autoSpaceDE w:val="0"/>
              <w:autoSpaceDN w:val="0"/>
              <w:adjustRightInd w:val="0"/>
              <w:spacing w:after="0"/>
              <w:jc w:val="left"/>
              <w:textAlignment w:val="baseline"/>
              <w:rPr>
                <w:sz w:val="20"/>
                <w:lang w:val="en-GB" w:eastAsia="en-GB"/>
              </w:rPr>
            </w:pPr>
          </w:p>
        </w:tc>
        <w:tc>
          <w:tcPr>
            <w:tcW w:w="2548" w:type="pct"/>
            <w:vAlign w:val="center"/>
          </w:tcPr>
          <w:p w:rsidR="0000080E" w:rsidRPr="00C9026A" w:rsidRDefault="0000080E" w:rsidP="00A57A35">
            <w:pPr>
              <w:pStyle w:val="BodyText"/>
              <w:spacing w:after="0"/>
              <w:jc w:val="left"/>
              <w:rPr>
                <w:sz w:val="20"/>
                <w:lang w:val="en-GB"/>
              </w:rPr>
            </w:pPr>
            <w:r w:rsidRPr="00C9026A">
              <w:rPr>
                <w:sz w:val="20"/>
                <w:lang w:val="en-GB"/>
              </w:rPr>
              <w:t>Stage of the authorization process</w:t>
            </w:r>
          </w:p>
        </w:tc>
      </w:tr>
    </w:tbl>
    <w:p w:rsidR="0093305F" w:rsidRDefault="0093305F" w:rsidP="00A57A35">
      <w:pPr>
        <w:pStyle w:val="BodyText"/>
        <w:rPr>
          <w:lang w:val="en-GB"/>
        </w:rPr>
      </w:pPr>
    </w:p>
    <w:p w:rsidR="0015347D" w:rsidRPr="00206C7C" w:rsidRDefault="0015347D" w:rsidP="00A57A35">
      <w:pPr>
        <w:pStyle w:val="Heading4"/>
        <w:ind w:left="0"/>
      </w:pPr>
      <w:r>
        <w:lastRenderedPageBreak/>
        <w:t>For facilities or activities</w:t>
      </w:r>
      <w:r w:rsidR="000811E4">
        <w:t xml:space="preserve"> with</w:t>
      </w:r>
      <w:r>
        <w:t xml:space="preserve"> </w:t>
      </w:r>
      <w:r w:rsidR="000811E4">
        <w:t>relatively standardized practices</w:t>
      </w:r>
      <w:r w:rsidR="00C1268F">
        <w:t>,</w:t>
      </w:r>
      <w:r w:rsidR="000811E4">
        <w:t xml:space="preserve"> </w:t>
      </w:r>
      <w:r w:rsidR="00EC6D97">
        <w:t xml:space="preserve">small </w:t>
      </w:r>
      <w:r w:rsidR="00F94158">
        <w:t xml:space="preserve">inventories of </w:t>
      </w:r>
      <w:r>
        <w:t>radio</w:t>
      </w:r>
      <w:r w:rsidR="00C1268F">
        <w:t>nuclide</w:t>
      </w:r>
      <w:r w:rsidR="00F94158">
        <w:t>s</w:t>
      </w:r>
      <w:r>
        <w:t xml:space="preserve"> and </w:t>
      </w:r>
      <w:r w:rsidR="00C1268F">
        <w:t xml:space="preserve">a </w:t>
      </w:r>
      <w:r>
        <w:t xml:space="preserve">low potential </w:t>
      </w:r>
      <w:r w:rsidR="000811E4">
        <w:t xml:space="preserve">for accidental releases </w:t>
      </w:r>
      <w:r>
        <w:t xml:space="preserve">to </w:t>
      </w:r>
      <w:r w:rsidR="000811E4">
        <w:t>the environment</w:t>
      </w:r>
      <w:r w:rsidR="00EC6D97">
        <w:t>,</w:t>
      </w:r>
      <w:r w:rsidR="0051687F">
        <w:t xml:space="preserve"> but which still can produce </w:t>
      </w:r>
      <w:r w:rsidR="00EC6D97">
        <w:t>some</w:t>
      </w:r>
      <w:r w:rsidR="0051687F">
        <w:t xml:space="preserve"> impact on </w:t>
      </w:r>
      <w:r w:rsidR="00F94158">
        <w:t xml:space="preserve">the </w:t>
      </w:r>
      <w:r w:rsidR="0051687F">
        <w:t>public and the environment</w:t>
      </w:r>
      <w:r w:rsidR="00F94158">
        <w:t>,</w:t>
      </w:r>
      <w:r w:rsidR="00A4244F">
        <w:t xml:space="preserve"> </w:t>
      </w:r>
      <w:r w:rsidR="000811E4">
        <w:t xml:space="preserve">for example, </w:t>
      </w:r>
      <w:r w:rsidR="001928D9">
        <w:t xml:space="preserve">a </w:t>
      </w:r>
      <w:r w:rsidR="000811E4">
        <w:t xml:space="preserve">hospital with </w:t>
      </w:r>
      <w:r w:rsidR="001928D9">
        <w:t xml:space="preserve">a </w:t>
      </w:r>
      <w:r w:rsidR="000811E4">
        <w:t>nuclear medicine department</w:t>
      </w:r>
      <w:r w:rsidR="00F94158">
        <w:t>,</w:t>
      </w:r>
      <w:r w:rsidR="00A4244F">
        <w:t xml:space="preserve"> </w:t>
      </w:r>
      <w:r w:rsidR="000811E4">
        <w:t xml:space="preserve">the regulatory body </w:t>
      </w:r>
      <w:r w:rsidR="00B54C68">
        <w:t xml:space="preserve">may </w:t>
      </w:r>
      <w:r w:rsidR="0051687F">
        <w:t xml:space="preserve">provide generic guidance identifying </w:t>
      </w:r>
      <w:r w:rsidR="000811E4">
        <w:t xml:space="preserve">the necessary elements </w:t>
      </w:r>
      <w:r w:rsidR="00F94158">
        <w:t xml:space="preserve">that </w:t>
      </w:r>
      <w:r w:rsidR="000811E4">
        <w:t>should be included in the radiological environmental impact assessment</w:t>
      </w:r>
      <w:r w:rsidR="00C1268F">
        <w:t>.</w:t>
      </w:r>
    </w:p>
    <w:p w:rsidR="00C76603" w:rsidRPr="00C9026A" w:rsidRDefault="00A11C74" w:rsidP="00A57A35">
      <w:pPr>
        <w:pStyle w:val="Heading4"/>
        <w:ind w:left="0"/>
      </w:pPr>
      <w:r w:rsidRPr="00C9026A">
        <w:t xml:space="preserve">For </w:t>
      </w:r>
      <w:r w:rsidR="00C76603" w:rsidRPr="00C9026A">
        <w:t xml:space="preserve">nuclear </w:t>
      </w:r>
      <w:r w:rsidR="00EA5480" w:rsidRPr="00C9026A">
        <w:t>installations</w:t>
      </w:r>
      <w:r w:rsidR="00F94158">
        <w:t>,</w:t>
      </w:r>
      <w:r w:rsidR="00A4244F">
        <w:t xml:space="preserve"> </w:t>
      </w:r>
      <w:r w:rsidR="00CD33A5" w:rsidRPr="00C9026A">
        <w:t xml:space="preserve">for example nuclear </w:t>
      </w:r>
      <w:r w:rsidR="00C76603" w:rsidRPr="00C9026A">
        <w:t xml:space="preserve">power plants and </w:t>
      </w:r>
      <w:r w:rsidR="00F94158">
        <w:t xml:space="preserve">nuclear fuel </w:t>
      </w:r>
      <w:r w:rsidR="00C76603" w:rsidRPr="00C9026A">
        <w:t>reprocessing facilities</w:t>
      </w:r>
      <w:r w:rsidR="00F94158">
        <w:t>,</w:t>
      </w:r>
      <w:r w:rsidR="00A4244F">
        <w:t xml:space="preserve"> </w:t>
      </w:r>
      <w:r w:rsidR="00C76603" w:rsidRPr="00C9026A">
        <w:t>there are likely to be a number of stages in the authorization process</w:t>
      </w:r>
      <w:r w:rsidR="00EA5480" w:rsidRPr="00C9026A">
        <w:t xml:space="preserve"> [</w:t>
      </w:r>
      <w:r w:rsidR="0014379A">
        <w:t>3</w:t>
      </w:r>
      <w:r w:rsidR="00C53F4B">
        <w:t>3</w:t>
      </w:r>
      <w:r w:rsidR="00EA5480" w:rsidRPr="00C9026A">
        <w:t>]</w:t>
      </w:r>
      <w:r w:rsidR="00C76603" w:rsidRPr="00C9026A">
        <w:t>. During th</w:t>
      </w:r>
      <w:r w:rsidR="003139BE">
        <w:t>e</w:t>
      </w:r>
      <w:r w:rsidR="00C76603" w:rsidRPr="00C9026A">
        <w:t>se stages</w:t>
      </w:r>
      <w:r w:rsidR="00F94158">
        <w:t>,</w:t>
      </w:r>
      <w:r w:rsidR="00C76603" w:rsidRPr="00C9026A">
        <w:t xml:space="preserve"> the </w:t>
      </w:r>
      <w:r w:rsidR="00B97EFD" w:rsidRPr="00C9026A">
        <w:t xml:space="preserve">radiological environmental impact </w:t>
      </w:r>
      <w:r w:rsidR="00C76603" w:rsidRPr="00C9026A">
        <w:t xml:space="preserve">assessment </w:t>
      </w:r>
      <w:r w:rsidR="00CD33A5" w:rsidRPr="00C9026A">
        <w:t xml:space="preserve">may </w:t>
      </w:r>
      <w:r w:rsidR="00C76603" w:rsidRPr="00C9026A">
        <w:t xml:space="preserve">be updated </w:t>
      </w:r>
      <w:r w:rsidR="00CD33A5" w:rsidRPr="00C9026A">
        <w:t>as</w:t>
      </w:r>
      <w:r w:rsidR="00C76603" w:rsidRPr="00C9026A">
        <w:t xml:space="preserve"> more specific data </w:t>
      </w:r>
      <w:r w:rsidR="008519C6">
        <w:t>are</w:t>
      </w:r>
      <w:r w:rsidR="00C76603" w:rsidRPr="00C9026A">
        <w:t xml:space="preserve"> obtained</w:t>
      </w:r>
      <w:r w:rsidR="00E86054" w:rsidRPr="00C9026A">
        <w:t xml:space="preserve">; the applicant or the </w:t>
      </w:r>
      <w:r w:rsidR="00407A2D">
        <w:t>operating organization of the</w:t>
      </w:r>
      <w:r w:rsidR="00E86054" w:rsidRPr="00C9026A">
        <w:t xml:space="preserve"> installation should ensure that </w:t>
      </w:r>
      <w:r w:rsidR="00407A2D">
        <w:t xml:space="preserve">the updates of the results </w:t>
      </w:r>
      <w:r w:rsidR="00F94158">
        <w:t xml:space="preserve">of the radiological environmental impact assessment </w:t>
      </w:r>
      <w:r w:rsidR="00407A2D">
        <w:t>are</w:t>
      </w:r>
      <w:r w:rsidR="00E86054" w:rsidRPr="00C9026A">
        <w:t xml:space="preserve"> provided at e</w:t>
      </w:r>
      <w:r w:rsidR="003139BE">
        <w:t>ach</w:t>
      </w:r>
      <w:r w:rsidR="00E86054" w:rsidRPr="00C9026A">
        <w:t xml:space="preserve"> different stage, for consideration </w:t>
      </w:r>
      <w:r w:rsidR="003139BE">
        <w:t>by</w:t>
      </w:r>
      <w:r w:rsidR="00E86054" w:rsidRPr="00C9026A">
        <w:t xml:space="preserve"> the regulatory body.</w:t>
      </w:r>
    </w:p>
    <w:p w:rsidR="00135023" w:rsidRPr="00C9026A" w:rsidRDefault="00003D8E" w:rsidP="00A57A35">
      <w:pPr>
        <w:pStyle w:val="Heading4"/>
        <w:ind w:left="0"/>
      </w:pPr>
      <w:r w:rsidRPr="00C9026A">
        <w:t xml:space="preserve">Figure 1 </w:t>
      </w:r>
      <w:r w:rsidR="008519C6">
        <w:t>ha</w:t>
      </w:r>
      <w:r w:rsidR="004137B5">
        <w:t xml:space="preserve">s </w:t>
      </w:r>
      <w:r w:rsidR="008519C6">
        <w:t xml:space="preserve">been </w:t>
      </w:r>
      <w:r w:rsidR="00D16014" w:rsidRPr="00C9026A">
        <w:t>adapted</w:t>
      </w:r>
      <w:r w:rsidR="00F94158">
        <w:t xml:space="preserve"> and modified</w:t>
      </w:r>
      <w:r w:rsidR="00D16014" w:rsidRPr="00C9026A">
        <w:t xml:space="preserve"> f</w:t>
      </w:r>
      <w:r w:rsidR="00A11C74" w:rsidRPr="00C9026A">
        <w:t>rom</w:t>
      </w:r>
      <w:r w:rsidR="00D16014" w:rsidRPr="00C9026A">
        <w:t xml:space="preserve"> </w:t>
      </w:r>
      <w:r w:rsidR="00F94158">
        <w:t>f</w:t>
      </w:r>
      <w:r w:rsidR="004137B5">
        <w:t xml:space="preserve">igure 1 in SSG-12 </w:t>
      </w:r>
      <w:r w:rsidR="00D16014" w:rsidRPr="00C9026A">
        <w:t>[</w:t>
      </w:r>
      <w:r w:rsidR="0014379A">
        <w:t>3</w:t>
      </w:r>
      <w:r w:rsidR="00C53F4B">
        <w:t>3</w:t>
      </w:r>
      <w:r w:rsidR="00D16014" w:rsidRPr="00C9026A">
        <w:t>]</w:t>
      </w:r>
      <w:r w:rsidR="004137B5">
        <w:t xml:space="preserve"> and</w:t>
      </w:r>
      <w:r w:rsidR="00D16014" w:rsidRPr="00C9026A">
        <w:t xml:space="preserve"> </w:t>
      </w:r>
      <w:r w:rsidR="00F94158">
        <w:t xml:space="preserve">it </w:t>
      </w:r>
      <w:r w:rsidRPr="00C9026A">
        <w:t xml:space="preserve">presents </w:t>
      </w:r>
      <w:r w:rsidR="00243B6D" w:rsidRPr="00C9026A">
        <w:t xml:space="preserve">schematically the </w:t>
      </w:r>
      <w:r w:rsidRPr="00C9026A">
        <w:t xml:space="preserve">stages in the lifetime of a nuclear </w:t>
      </w:r>
      <w:r w:rsidR="00EA5480" w:rsidRPr="00C9026A">
        <w:t>installation</w:t>
      </w:r>
      <w:r w:rsidR="001536D6" w:rsidRPr="00C9026A">
        <w:t xml:space="preserve">. </w:t>
      </w:r>
      <w:r w:rsidR="008519C6">
        <w:rPr>
          <w:szCs w:val="24"/>
        </w:rPr>
        <w:t>T</w:t>
      </w:r>
      <w:r w:rsidR="00AA4F61" w:rsidRPr="00C9026A">
        <w:rPr>
          <w:szCs w:val="24"/>
        </w:rPr>
        <w:t xml:space="preserve">he </w:t>
      </w:r>
      <w:r w:rsidR="00C9789D">
        <w:rPr>
          <w:szCs w:val="24"/>
        </w:rPr>
        <w:t xml:space="preserve">radiological environmental impact </w:t>
      </w:r>
      <w:r w:rsidR="00AA4F61" w:rsidRPr="00C9026A">
        <w:rPr>
          <w:szCs w:val="24"/>
        </w:rPr>
        <w:t xml:space="preserve">assessments conducted </w:t>
      </w:r>
      <w:r w:rsidR="00F94158">
        <w:rPr>
          <w:szCs w:val="24"/>
        </w:rPr>
        <w:t>prior</w:t>
      </w:r>
      <w:r w:rsidR="00F94158" w:rsidRPr="00C9026A">
        <w:rPr>
          <w:szCs w:val="24"/>
        </w:rPr>
        <w:t xml:space="preserve"> </w:t>
      </w:r>
      <w:r w:rsidR="00AA4F61" w:rsidRPr="00C9026A">
        <w:rPr>
          <w:szCs w:val="24"/>
        </w:rPr>
        <w:t xml:space="preserve">to and during the operation of a nuclear </w:t>
      </w:r>
      <w:r w:rsidR="00EA5480" w:rsidRPr="00C9026A">
        <w:rPr>
          <w:szCs w:val="24"/>
        </w:rPr>
        <w:t xml:space="preserve">installation </w:t>
      </w:r>
      <w:r w:rsidR="00C9789D">
        <w:rPr>
          <w:szCs w:val="24"/>
        </w:rPr>
        <w:t>will</w:t>
      </w:r>
      <w:r w:rsidR="00C9789D" w:rsidRPr="00C9026A">
        <w:rPr>
          <w:szCs w:val="24"/>
        </w:rPr>
        <w:t xml:space="preserve"> </w:t>
      </w:r>
      <w:r w:rsidR="008519C6">
        <w:rPr>
          <w:szCs w:val="24"/>
        </w:rPr>
        <w:t xml:space="preserve">all </w:t>
      </w:r>
      <w:r w:rsidR="00C9789D">
        <w:rPr>
          <w:szCs w:val="24"/>
        </w:rPr>
        <w:t xml:space="preserve">be </w:t>
      </w:r>
      <w:r w:rsidR="008200FB" w:rsidRPr="00C9026A">
        <w:rPr>
          <w:szCs w:val="24"/>
        </w:rPr>
        <w:t>very similar</w:t>
      </w:r>
      <w:r w:rsidR="008519C6">
        <w:rPr>
          <w:szCs w:val="24"/>
        </w:rPr>
        <w:t xml:space="preserve">, although they </w:t>
      </w:r>
      <w:r w:rsidR="00C9789D">
        <w:rPr>
          <w:szCs w:val="24"/>
        </w:rPr>
        <w:t xml:space="preserve">will </w:t>
      </w:r>
      <w:r w:rsidR="00AA4F61" w:rsidRPr="00C9026A">
        <w:rPr>
          <w:szCs w:val="24"/>
        </w:rPr>
        <w:t>incorporat</w:t>
      </w:r>
      <w:r w:rsidR="008519C6">
        <w:rPr>
          <w:szCs w:val="24"/>
        </w:rPr>
        <w:t>e</w:t>
      </w:r>
      <w:r w:rsidR="00055931">
        <w:rPr>
          <w:szCs w:val="24"/>
        </w:rPr>
        <w:t xml:space="preserve"> successively</w:t>
      </w:r>
      <w:r w:rsidR="00AA4F61" w:rsidRPr="00C9026A">
        <w:rPr>
          <w:szCs w:val="24"/>
        </w:rPr>
        <w:t xml:space="preserve"> more detail and</w:t>
      </w:r>
      <w:r w:rsidR="00EA5480" w:rsidRPr="00C9026A">
        <w:rPr>
          <w:szCs w:val="24"/>
        </w:rPr>
        <w:t xml:space="preserve"> specific </w:t>
      </w:r>
      <w:r w:rsidR="008D7BDA" w:rsidRPr="00C9026A">
        <w:rPr>
          <w:szCs w:val="24"/>
        </w:rPr>
        <w:t xml:space="preserve">data </w:t>
      </w:r>
      <w:r w:rsidR="00AA4F61" w:rsidRPr="00C9026A">
        <w:rPr>
          <w:szCs w:val="24"/>
        </w:rPr>
        <w:t>to reduce the level of uncertainty</w:t>
      </w:r>
      <w:r w:rsidR="008519C6">
        <w:rPr>
          <w:szCs w:val="24"/>
        </w:rPr>
        <w:t>,</w:t>
      </w:r>
      <w:r w:rsidR="008200FB" w:rsidRPr="00C9026A">
        <w:rPr>
          <w:szCs w:val="24"/>
        </w:rPr>
        <w:t xml:space="preserve"> where possible</w:t>
      </w:r>
      <w:r w:rsidR="008519C6">
        <w:rPr>
          <w:szCs w:val="24"/>
        </w:rPr>
        <w:t>,</w:t>
      </w:r>
      <w:r w:rsidR="000F33FA">
        <w:rPr>
          <w:szCs w:val="24"/>
        </w:rPr>
        <w:t xml:space="preserve"> </w:t>
      </w:r>
      <w:r w:rsidR="00AA4F61" w:rsidRPr="00C9026A">
        <w:rPr>
          <w:szCs w:val="24"/>
        </w:rPr>
        <w:t xml:space="preserve">and </w:t>
      </w:r>
      <w:r w:rsidR="008519C6">
        <w:rPr>
          <w:szCs w:val="24"/>
        </w:rPr>
        <w:t xml:space="preserve">a </w:t>
      </w:r>
      <w:r w:rsidR="00AA4F61" w:rsidRPr="00C9026A">
        <w:rPr>
          <w:szCs w:val="24"/>
        </w:rPr>
        <w:t xml:space="preserve">review </w:t>
      </w:r>
      <w:r w:rsidR="008519C6">
        <w:rPr>
          <w:szCs w:val="24"/>
        </w:rPr>
        <w:t xml:space="preserve">of </w:t>
      </w:r>
      <w:r w:rsidR="00AA4F61" w:rsidRPr="00C9026A">
        <w:rPr>
          <w:szCs w:val="24"/>
        </w:rPr>
        <w:t xml:space="preserve">the models and assumptions </w:t>
      </w:r>
      <w:r w:rsidR="008519C6">
        <w:rPr>
          <w:szCs w:val="24"/>
        </w:rPr>
        <w:t xml:space="preserve">used, </w:t>
      </w:r>
      <w:r w:rsidR="00AA4F61" w:rsidRPr="00C9026A">
        <w:rPr>
          <w:szCs w:val="24"/>
        </w:rPr>
        <w:t xml:space="preserve">when this is deemed necessary. </w:t>
      </w:r>
      <w:r w:rsidR="00801C41" w:rsidRPr="00C9026A">
        <w:rPr>
          <w:szCs w:val="24"/>
        </w:rPr>
        <w:t xml:space="preserve">The </w:t>
      </w:r>
      <w:r w:rsidR="00AA4F61" w:rsidRPr="00C9026A">
        <w:rPr>
          <w:szCs w:val="24"/>
        </w:rPr>
        <w:t xml:space="preserve">vertical </w:t>
      </w:r>
      <w:r w:rsidR="00801C41" w:rsidRPr="00C9026A">
        <w:rPr>
          <w:szCs w:val="24"/>
        </w:rPr>
        <w:t xml:space="preserve">arrows </w:t>
      </w:r>
      <w:r w:rsidR="00AA4F61" w:rsidRPr="00C9026A">
        <w:rPr>
          <w:szCs w:val="24"/>
        </w:rPr>
        <w:t xml:space="preserve">in full </w:t>
      </w:r>
      <w:r w:rsidR="00055931">
        <w:rPr>
          <w:szCs w:val="24"/>
        </w:rPr>
        <w:t xml:space="preserve">in Fig. 1 </w:t>
      </w:r>
      <w:r w:rsidR="00801C41" w:rsidRPr="00C9026A">
        <w:rPr>
          <w:szCs w:val="24"/>
        </w:rPr>
        <w:t xml:space="preserve">indicate the </w:t>
      </w:r>
      <w:r w:rsidR="00055931">
        <w:rPr>
          <w:szCs w:val="24"/>
        </w:rPr>
        <w:t>point</w:t>
      </w:r>
      <w:r w:rsidR="00055931" w:rsidRPr="00C9026A">
        <w:rPr>
          <w:szCs w:val="24"/>
        </w:rPr>
        <w:t xml:space="preserve"> </w:t>
      </w:r>
      <w:r w:rsidR="00801C41" w:rsidRPr="00C9026A">
        <w:rPr>
          <w:szCs w:val="24"/>
        </w:rPr>
        <w:t xml:space="preserve">at which the </w:t>
      </w:r>
      <w:r w:rsidR="00055931">
        <w:rPr>
          <w:szCs w:val="24"/>
        </w:rPr>
        <w:t xml:space="preserve">radiological environmental impact </w:t>
      </w:r>
      <w:r w:rsidR="00801C41" w:rsidRPr="00C9026A">
        <w:rPr>
          <w:szCs w:val="24"/>
        </w:rPr>
        <w:t xml:space="preserve">assessment may be </w:t>
      </w:r>
      <w:r w:rsidR="0051597A">
        <w:rPr>
          <w:szCs w:val="24"/>
        </w:rPr>
        <w:t>submitted</w:t>
      </w:r>
      <w:r w:rsidR="00055931">
        <w:rPr>
          <w:szCs w:val="24"/>
        </w:rPr>
        <w:t xml:space="preserve"> to</w:t>
      </w:r>
      <w:r w:rsidR="00AA4F61" w:rsidRPr="00C9026A">
        <w:rPr>
          <w:szCs w:val="24"/>
        </w:rPr>
        <w:t xml:space="preserve"> the regulatory body </w:t>
      </w:r>
      <w:r w:rsidR="0051597A">
        <w:rPr>
          <w:szCs w:val="24"/>
        </w:rPr>
        <w:t xml:space="preserve">for discussion </w:t>
      </w:r>
      <w:r w:rsidR="00AA4F61" w:rsidRPr="00C9026A">
        <w:rPr>
          <w:szCs w:val="24"/>
        </w:rPr>
        <w:t>and</w:t>
      </w:r>
      <w:r w:rsidR="001D5F5A">
        <w:rPr>
          <w:szCs w:val="24"/>
        </w:rPr>
        <w:t>, finally,</w:t>
      </w:r>
      <w:r w:rsidR="00AA4F61" w:rsidRPr="00C9026A">
        <w:rPr>
          <w:szCs w:val="24"/>
        </w:rPr>
        <w:t xml:space="preserve"> submitted for approval</w:t>
      </w:r>
      <w:r w:rsidR="008519C6">
        <w:rPr>
          <w:szCs w:val="24"/>
        </w:rPr>
        <w:t xml:space="preserve">, </w:t>
      </w:r>
      <w:r w:rsidR="008519C6" w:rsidRPr="00C9026A">
        <w:rPr>
          <w:szCs w:val="24"/>
        </w:rPr>
        <w:t>pr</w:t>
      </w:r>
      <w:r w:rsidR="008519C6">
        <w:rPr>
          <w:szCs w:val="24"/>
        </w:rPr>
        <w:t>ior</w:t>
      </w:r>
      <w:r w:rsidR="008519C6" w:rsidRPr="00C9026A">
        <w:rPr>
          <w:szCs w:val="24"/>
        </w:rPr>
        <w:t xml:space="preserve"> to </w:t>
      </w:r>
      <w:r w:rsidR="008519C6">
        <w:rPr>
          <w:szCs w:val="24"/>
        </w:rPr>
        <w:t xml:space="preserve">the start of </w:t>
      </w:r>
      <w:r w:rsidR="008519C6" w:rsidRPr="00C9026A">
        <w:rPr>
          <w:szCs w:val="24"/>
        </w:rPr>
        <w:t>operation</w:t>
      </w:r>
      <w:r w:rsidR="008519C6">
        <w:rPr>
          <w:szCs w:val="24"/>
        </w:rPr>
        <w:t xml:space="preserve"> of the facility</w:t>
      </w:r>
      <w:r w:rsidR="005900E4">
        <w:rPr>
          <w:szCs w:val="24"/>
        </w:rPr>
        <w:t xml:space="preserve"> or the </w:t>
      </w:r>
      <w:r w:rsidR="0051597A">
        <w:rPr>
          <w:szCs w:val="24"/>
        </w:rPr>
        <w:t xml:space="preserve">start of </w:t>
      </w:r>
      <w:r w:rsidR="005900E4">
        <w:rPr>
          <w:szCs w:val="24"/>
        </w:rPr>
        <w:t>decommissioning</w:t>
      </w:r>
      <w:r w:rsidR="00AA4F61" w:rsidRPr="00C9026A">
        <w:rPr>
          <w:szCs w:val="24"/>
        </w:rPr>
        <w:t>. The vertical dashed lines indicate where a</w:t>
      </w:r>
      <w:r w:rsidR="00055931">
        <w:rPr>
          <w:szCs w:val="24"/>
        </w:rPr>
        <w:t>n</w:t>
      </w:r>
      <w:r w:rsidR="00554AEF" w:rsidRPr="00C9026A">
        <w:rPr>
          <w:szCs w:val="24"/>
        </w:rPr>
        <w:t xml:space="preserve"> </w:t>
      </w:r>
      <w:r w:rsidR="00055931">
        <w:rPr>
          <w:szCs w:val="24"/>
        </w:rPr>
        <w:t>updated</w:t>
      </w:r>
      <w:r w:rsidR="00055931" w:rsidRPr="00C9026A">
        <w:rPr>
          <w:szCs w:val="24"/>
        </w:rPr>
        <w:t xml:space="preserve"> </w:t>
      </w:r>
      <w:r w:rsidR="00AA4F61" w:rsidRPr="00C9026A">
        <w:rPr>
          <w:szCs w:val="24"/>
        </w:rPr>
        <w:t>assessment may be submitted</w:t>
      </w:r>
      <w:r w:rsidR="00E86054" w:rsidRPr="00C9026A">
        <w:rPr>
          <w:szCs w:val="24"/>
        </w:rPr>
        <w:t xml:space="preserve"> to the regulatory body</w:t>
      </w:r>
      <w:r w:rsidR="00AA4F61" w:rsidRPr="00C9026A">
        <w:rPr>
          <w:szCs w:val="24"/>
        </w:rPr>
        <w:t xml:space="preserve"> if </w:t>
      </w:r>
      <w:r w:rsidR="002B40B2">
        <w:rPr>
          <w:szCs w:val="24"/>
        </w:rPr>
        <w:t xml:space="preserve">there are </w:t>
      </w:r>
      <w:r w:rsidR="00AA4F61" w:rsidRPr="00C9026A">
        <w:rPr>
          <w:szCs w:val="24"/>
        </w:rPr>
        <w:t xml:space="preserve">significant changes </w:t>
      </w:r>
      <w:r w:rsidR="001D5F5A">
        <w:rPr>
          <w:szCs w:val="24"/>
        </w:rPr>
        <w:t xml:space="preserve">in the </w:t>
      </w:r>
      <w:r w:rsidR="002B40B2">
        <w:rPr>
          <w:szCs w:val="24"/>
        </w:rPr>
        <w:t xml:space="preserve">postulated </w:t>
      </w:r>
      <w:r w:rsidR="001D5F5A">
        <w:rPr>
          <w:szCs w:val="24"/>
        </w:rPr>
        <w:t xml:space="preserve">level of releases or the </w:t>
      </w:r>
      <w:r w:rsidR="002B40B2">
        <w:rPr>
          <w:szCs w:val="24"/>
        </w:rPr>
        <w:t xml:space="preserve">potential </w:t>
      </w:r>
      <w:r w:rsidR="001D5F5A">
        <w:rPr>
          <w:szCs w:val="24"/>
        </w:rPr>
        <w:t xml:space="preserve">exposure scenarios </w:t>
      </w:r>
      <w:r w:rsidR="002B40B2">
        <w:rPr>
          <w:szCs w:val="24"/>
        </w:rPr>
        <w:t>in</w:t>
      </w:r>
      <w:r w:rsidR="002B40B2" w:rsidRPr="00C9026A">
        <w:rPr>
          <w:szCs w:val="24"/>
        </w:rPr>
        <w:t xml:space="preserve"> </w:t>
      </w:r>
      <w:r w:rsidR="00AA4F61" w:rsidRPr="00C9026A">
        <w:rPr>
          <w:szCs w:val="24"/>
        </w:rPr>
        <w:t>the operational stage. The</w:t>
      </w:r>
      <w:r w:rsidR="008654A7" w:rsidRPr="00C9026A">
        <w:rPr>
          <w:szCs w:val="24"/>
        </w:rPr>
        <w:t xml:space="preserve"> horizontal arrow indicates the evolution of time</w:t>
      </w:r>
      <w:r w:rsidR="00801C41" w:rsidRPr="00C9026A">
        <w:rPr>
          <w:szCs w:val="24"/>
        </w:rPr>
        <w:t>.</w:t>
      </w:r>
    </w:p>
    <w:tbl>
      <w:tblPr>
        <w:tblW w:w="0" w:type="auto"/>
        <w:tblLayout w:type="fixed"/>
        <w:tblLook w:val="0000" w:firstRow="0" w:lastRow="0" w:firstColumn="0" w:lastColumn="0" w:noHBand="0" w:noVBand="0"/>
      </w:tblPr>
      <w:tblGrid>
        <w:gridCol w:w="9287"/>
      </w:tblGrid>
      <w:tr w:rsidR="008106C9" w:rsidRPr="00C9026A" w:rsidTr="008106C9">
        <w:trPr>
          <w:cantSplit/>
        </w:trPr>
        <w:tc>
          <w:tcPr>
            <w:tcW w:w="9287" w:type="dxa"/>
            <w:vAlign w:val="center"/>
          </w:tcPr>
          <w:p w:rsidR="008106C9" w:rsidRPr="00C9026A" w:rsidRDefault="00EB665A" w:rsidP="00A57A35">
            <w:pPr>
              <w:pStyle w:val="BodyText"/>
              <w:overflowPunct w:val="0"/>
              <w:autoSpaceDE w:val="0"/>
              <w:autoSpaceDN w:val="0"/>
              <w:adjustRightInd w:val="0"/>
              <w:spacing w:before="240"/>
              <w:jc w:val="center"/>
              <w:textAlignment w:val="baseline"/>
              <w:rPr>
                <w:lang w:val="en-GB"/>
              </w:rPr>
            </w:pPr>
            <w:r>
              <w:rPr>
                <w:noProof/>
                <w:lang w:val="en-GB" w:eastAsia="en-GB"/>
              </w:rPr>
              <w:drawing>
                <wp:inline distT="0" distB="0" distL="0" distR="0" wp14:anchorId="3ACE02D1" wp14:editId="0C4EE52B">
                  <wp:extent cx="5048250" cy="3045342"/>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0286" cy="3046570"/>
                          </a:xfrm>
                          <a:prstGeom prst="rect">
                            <a:avLst/>
                          </a:prstGeom>
                          <a:noFill/>
                        </pic:spPr>
                      </pic:pic>
                    </a:graphicData>
                  </a:graphic>
                </wp:inline>
              </w:drawing>
            </w:r>
          </w:p>
          <w:p w:rsidR="00770F4D" w:rsidRPr="00C9026A" w:rsidRDefault="00770F4D" w:rsidP="00C9789D">
            <w:pPr>
              <w:pStyle w:val="BodyText"/>
              <w:overflowPunct w:val="0"/>
              <w:autoSpaceDE w:val="0"/>
              <w:autoSpaceDN w:val="0"/>
              <w:adjustRightInd w:val="0"/>
              <w:spacing w:before="240"/>
              <w:textAlignment w:val="baseline"/>
              <w:rPr>
                <w:lang w:val="en-GB"/>
              </w:rPr>
            </w:pPr>
            <w:r w:rsidRPr="00C9026A">
              <w:rPr>
                <w:i/>
                <w:szCs w:val="22"/>
                <w:lang w:val="en-GB"/>
              </w:rPr>
              <w:t xml:space="preserve">FIG. </w:t>
            </w:r>
            <w:r w:rsidRPr="00C9026A">
              <w:rPr>
                <w:i/>
                <w:szCs w:val="22"/>
                <w:lang w:val="en-GB"/>
              </w:rPr>
              <w:fldChar w:fldCharType="begin"/>
            </w:r>
            <w:r w:rsidRPr="00C9026A">
              <w:rPr>
                <w:i/>
                <w:szCs w:val="22"/>
                <w:lang w:val="en-GB"/>
              </w:rPr>
              <w:instrText xml:space="preserve"> SEQ Figure \* MERGEFORMAT </w:instrText>
            </w:r>
            <w:r w:rsidRPr="00C9026A">
              <w:rPr>
                <w:i/>
                <w:szCs w:val="22"/>
                <w:lang w:val="en-GB"/>
              </w:rPr>
              <w:fldChar w:fldCharType="separate"/>
            </w:r>
            <w:r w:rsidR="005E3463">
              <w:rPr>
                <w:i/>
                <w:noProof/>
                <w:szCs w:val="22"/>
                <w:lang w:val="en-GB"/>
              </w:rPr>
              <w:t>1</w:t>
            </w:r>
            <w:r w:rsidRPr="00C9026A">
              <w:rPr>
                <w:i/>
                <w:szCs w:val="22"/>
                <w:lang w:val="en-GB"/>
              </w:rPr>
              <w:fldChar w:fldCharType="end"/>
            </w:r>
            <w:r w:rsidRPr="00C9026A">
              <w:rPr>
                <w:i/>
                <w:szCs w:val="22"/>
                <w:lang w:val="en-GB"/>
              </w:rPr>
              <w:t xml:space="preserve">. Stages in the lifetime of a nuclear installation where a prospective </w:t>
            </w:r>
            <w:r w:rsidR="00C9789D">
              <w:rPr>
                <w:i/>
                <w:szCs w:val="22"/>
                <w:lang w:val="en-GB"/>
              </w:rPr>
              <w:t xml:space="preserve">radiological environmental impact </w:t>
            </w:r>
            <w:r w:rsidRPr="00C9026A">
              <w:rPr>
                <w:i/>
                <w:szCs w:val="22"/>
                <w:lang w:val="en-GB"/>
              </w:rPr>
              <w:t xml:space="preserve">assessment might </w:t>
            </w:r>
            <w:r w:rsidR="00C9789D">
              <w:rPr>
                <w:i/>
                <w:szCs w:val="22"/>
                <w:lang w:val="en-GB"/>
              </w:rPr>
              <w:t>provide</w:t>
            </w:r>
            <w:r w:rsidR="00C9789D" w:rsidRPr="00C9026A">
              <w:rPr>
                <w:i/>
                <w:szCs w:val="22"/>
                <w:lang w:val="en-GB"/>
              </w:rPr>
              <w:t xml:space="preserve"> </w:t>
            </w:r>
            <w:r w:rsidRPr="00C9026A">
              <w:rPr>
                <w:i/>
                <w:szCs w:val="22"/>
                <w:lang w:val="en-GB"/>
              </w:rPr>
              <w:t xml:space="preserve">input into the authorization process. </w:t>
            </w:r>
          </w:p>
        </w:tc>
      </w:tr>
    </w:tbl>
    <w:p w:rsidR="00602C69" w:rsidRPr="00C9026A" w:rsidRDefault="002B5C8B" w:rsidP="00A57A35">
      <w:pPr>
        <w:pStyle w:val="Heading4"/>
        <w:ind w:left="0"/>
      </w:pPr>
      <w:r w:rsidRPr="00C9026A">
        <w:lastRenderedPageBreak/>
        <w:t>An initial</w:t>
      </w:r>
      <w:r w:rsidR="00055931">
        <w:t xml:space="preserve"> radiological environmental impact</w:t>
      </w:r>
      <w:r w:rsidRPr="00C9026A">
        <w:t xml:space="preserve"> </w:t>
      </w:r>
      <w:r w:rsidR="00B012B0" w:rsidRPr="006961E9">
        <w:rPr>
          <w:lang w:val="en-US"/>
        </w:rPr>
        <w:t>assessment</w:t>
      </w:r>
      <w:r w:rsidR="00055931">
        <w:rPr>
          <w:lang w:val="en-US"/>
        </w:rPr>
        <w:t xml:space="preserve"> that</w:t>
      </w:r>
      <w:r w:rsidR="00381148">
        <w:rPr>
          <w:lang w:val="en-US"/>
        </w:rPr>
        <w:t xml:space="preserve"> makes </w:t>
      </w:r>
      <w:r w:rsidR="00B012B0" w:rsidRPr="006961E9">
        <w:rPr>
          <w:lang w:val="en-US"/>
        </w:rPr>
        <w:t xml:space="preserve">use of generic data </w:t>
      </w:r>
      <w:r w:rsidR="00055931">
        <w:rPr>
          <w:lang w:val="en-US"/>
        </w:rPr>
        <w:t>should</w:t>
      </w:r>
      <w:r w:rsidR="00055931" w:rsidRPr="006961E9">
        <w:rPr>
          <w:lang w:val="en-US"/>
        </w:rPr>
        <w:t xml:space="preserve"> </w:t>
      </w:r>
      <w:r w:rsidR="00B012B0" w:rsidRPr="006961E9">
        <w:rPr>
          <w:lang w:val="en-US"/>
        </w:rPr>
        <w:t xml:space="preserve">be conducted during the stage of siting and site evaluation to identify potential regions or sites for the facility or activity. </w:t>
      </w:r>
      <w:r w:rsidR="00B012B0">
        <w:rPr>
          <w:lang w:val="en-US"/>
        </w:rPr>
        <w:t xml:space="preserve">This assessment </w:t>
      </w:r>
      <w:r w:rsidR="00B012B0" w:rsidRPr="006961E9">
        <w:rPr>
          <w:lang w:val="en-US"/>
        </w:rPr>
        <w:t xml:space="preserve">should include site </w:t>
      </w:r>
      <w:r w:rsidR="0051597A">
        <w:rPr>
          <w:lang w:val="en-US"/>
        </w:rPr>
        <w:t xml:space="preserve">characteristics </w:t>
      </w:r>
      <w:r w:rsidR="00B012B0" w:rsidRPr="006961E9">
        <w:rPr>
          <w:lang w:val="en-US"/>
        </w:rPr>
        <w:t xml:space="preserve">and regional characteristics that could </w:t>
      </w:r>
      <w:r w:rsidR="0077665E">
        <w:rPr>
          <w:lang w:val="en-US"/>
        </w:rPr>
        <w:t>affect</w:t>
      </w:r>
      <w:r w:rsidR="0077665E" w:rsidRPr="006961E9">
        <w:rPr>
          <w:lang w:val="en-US"/>
        </w:rPr>
        <w:t xml:space="preserve"> </w:t>
      </w:r>
      <w:r w:rsidR="00B012B0" w:rsidRPr="006961E9">
        <w:rPr>
          <w:lang w:val="en-US"/>
        </w:rPr>
        <w:t xml:space="preserve">safety, </w:t>
      </w:r>
      <w:r w:rsidR="005B7180">
        <w:rPr>
          <w:lang w:val="en-US"/>
        </w:rPr>
        <w:t xml:space="preserve">the exposure </w:t>
      </w:r>
      <w:r w:rsidR="00055931">
        <w:rPr>
          <w:lang w:val="en-US"/>
        </w:rPr>
        <w:t>of</w:t>
      </w:r>
      <w:r w:rsidR="005B7180">
        <w:rPr>
          <w:lang w:val="en-US"/>
        </w:rPr>
        <w:t xml:space="preserve"> people, </w:t>
      </w:r>
      <w:r w:rsidR="00B012B0" w:rsidRPr="006961E9">
        <w:rPr>
          <w:lang w:val="en-US"/>
        </w:rPr>
        <w:t xml:space="preserve">current and </w:t>
      </w:r>
      <w:r w:rsidR="0077665E">
        <w:rPr>
          <w:lang w:val="en-US"/>
        </w:rPr>
        <w:t>future</w:t>
      </w:r>
      <w:r w:rsidR="0077665E" w:rsidRPr="006961E9">
        <w:rPr>
          <w:lang w:val="en-US"/>
        </w:rPr>
        <w:t xml:space="preserve"> </w:t>
      </w:r>
      <w:r w:rsidR="00B012B0" w:rsidRPr="006961E9">
        <w:rPr>
          <w:lang w:val="en-US"/>
        </w:rPr>
        <w:t xml:space="preserve">land use, </w:t>
      </w:r>
      <w:r w:rsidR="00055931">
        <w:rPr>
          <w:lang w:val="en-US"/>
        </w:rPr>
        <w:t xml:space="preserve">considerations of </w:t>
      </w:r>
      <w:r w:rsidR="00B012B0" w:rsidRPr="006961E9">
        <w:rPr>
          <w:lang w:val="en-US"/>
        </w:rPr>
        <w:t>cultural significance</w:t>
      </w:r>
      <w:r w:rsidR="00055931">
        <w:rPr>
          <w:lang w:val="en-US"/>
        </w:rPr>
        <w:t xml:space="preserve"> and</w:t>
      </w:r>
      <w:r w:rsidR="00B012B0" w:rsidRPr="006961E9">
        <w:rPr>
          <w:lang w:val="en-US"/>
        </w:rPr>
        <w:t xml:space="preserve"> economic significance, and demographic considerations. </w:t>
      </w:r>
      <w:r w:rsidR="0051597A">
        <w:rPr>
          <w:lang w:val="en-US"/>
        </w:rPr>
        <w:t>At</w:t>
      </w:r>
      <w:r w:rsidR="0051597A" w:rsidRPr="006961E9">
        <w:rPr>
          <w:lang w:val="en-US"/>
        </w:rPr>
        <w:t xml:space="preserve"> </w:t>
      </w:r>
      <w:r w:rsidR="00B012B0" w:rsidRPr="006961E9">
        <w:rPr>
          <w:lang w:val="en-US"/>
        </w:rPr>
        <w:t xml:space="preserve">this stage, different designs </w:t>
      </w:r>
      <w:r w:rsidR="00055931">
        <w:rPr>
          <w:lang w:val="en-US"/>
        </w:rPr>
        <w:t>of the facility may</w:t>
      </w:r>
      <w:r w:rsidR="00B012B0" w:rsidRPr="006961E9">
        <w:rPr>
          <w:lang w:val="en-US"/>
        </w:rPr>
        <w:t xml:space="preserve"> still </w:t>
      </w:r>
      <w:r w:rsidR="00055931">
        <w:rPr>
          <w:lang w:val="en-US"/>
        </w:rPr>
        <w:t xml:space="preserve">be </w:t>
      </w:r>
      <w:r w:rsidR="00B012B0" w:rsidRPr="006961E9">
        <w:rPr>
          <w:lang w:val="en-US"/>
        </w:rPr>
        <w:t>under scrutiny</w:t>
      </w:r>
      <w:r w:rsidR="00240A8C" w:rsidRPr="00240A8C">
        <w:t xml:space="preserve"> </w:t>
      </w:r>
      <w:r w:rsidR="00240A8C" w:rsidRPr="00240A8C">
        <w:rPr>
          <w:lang w:val="en-US"/>
        </w:rPr>
        <w:t xml:space="preserve">and </w:t>
      </w:r>
      <w:r w:rsidR="00055931">
        <w:rPr>
          <w:lang w:val="en-US"/>
        </w:rPr>
        <w:t xml:space="preserve">the </w:t>
      </w:r>
      <w:r w:rsidR="00240A8C" w:rsidRPr="00240A8C">
        <w:rPr>
          <w:lang w:val="en-US"/>
        </w:rPr>
        <w:t xml:space="preserve">information available on the systems and </w:t>
      </w:r>
      <w:r w:rsidR="003424B0">
        <w:rPr>
          <w:lang w:val="en-US"/>
        </w:rPr>
        <w:t xml:space="preserve">safety </w:t>
      </w:r>
      <w:r w:rsidR="00240A8C" w:rsidRPr="00240A8C">
        <w:rPr>
          <w:lang w:val="en-US"/>
        </w:rPr>
        <w:t>analyses of the design</w:t>
      </w:r>
      <w:r w:rsidR="0077665E" w:rsidRPr="0077665E">
        <w:rPr>
          <w:lang w:val="en-US"/>
        </w:rPr>
        <w:t xml:space="preserve"> </w:t>
      </w:r>
      <w:r w:rsidR="0077665E">
        <w:rPr>
          <w:lang w:val="en-US"/>
        </w:rPr>
        <w:t xml:space="preserve">may be </w:t>
      </w:r>
      <w:r w:rsidR="0077665E" w:rsidRPr="00240A8C">
        <w:rPr>
          <w:lang w:val="en-US"/>
        </w:rPr>
        <w:t>limited</w:t>
      </w:r>
      <w:r w:rsidR="002913E9" w:rsidRPr="00C9026A">
        <w:t>.</w:t>
      </w:r>
    </w:p>
    <w:p w:rsidR="00602C69" w:rsidRPr="00C9026A" w:rsidRDefault="002913E9" w:rsidP="003A4BA7">
      <w:pPr>
        <w:pStyle w:val="Heading4"/>
        <w:ind w:left="0"/>
      </w:pPr>
      <w:r w:rsidRPr="00C9026A">
        <w:t xml:space="preserve">Once a site or a number of sites </w:t>
      </w:r>
      <w:r w:rsidR="0094496A">
        <w:t>ha</w:t>
      </w:r>
      <w:r w:rsidR="0077665E">
        <w:t>ve</w:t>
      </w:r>
      <w:r w:rsidR="0094496A">
        <w:t xml:space="preserve"> been </w:t>
      </w:r>
      <w:r w:rsidR="00252460">
        <w:t xml:space="preserve">shortlisted </w:t>
      </w:r>
      <w:r w:rsidRPr="00C9026A">
        <w:t xml:space="preserve">and </w:t>
      </w:r>
      <w:r w:rsidR="003424B0" w:rsidRPr="00C9026A">
        <w:t xml:space="preserve">the </w:t>
      </w:r>
      <w:r w:rsidR="003424B0">
        <w:t>design</w:t>
      </w:r>
      <w:r w:rsidR="0077665E">
        <w:t xml:space="preserve"> </w:t>
      </w:r>
      <w:r w:rsidRPr="00C9026A">
        <w:t xml:space="preserve">of </w:t>
      </w:r>
      <w:r w:rsidR="0077665E">
        <w:t>the facility</w:t>
      </w:r>
      <w:r w:rsidRPr="00C9026A">
        <w:t xml:space="preserve"> is </w:t>
      </w:r>
      <w:r w:rsidR="0077665E">
        <w:t xml:space="preserve">more clearly </w:t>
      </w:r>
      <w:r w:rsidRPr="00C9026A">
        <w:t>defined</w:t>
      </w:r>
      <w:r w:rsidR="00055931">
        <w:t>,</w:t>
      </w:r>
      <w:r w:rsidRPr="00C9026A">
        <w:t xml:space="preserve"> a preliminary </w:t>
      </w:r>
      <w:r w:rsidR="00055931">
        <w:t>radiological environmental impact</w:t>
      </w:r>
      <w:r w:rsidR="00055931" w:rsidRPr="00C9026A">
        <w:t xml:space="preserve"> </w:t>
      </w:r>
      <w:r w:rsidRPr="00C9026A">
        <w:t>assessment for th</w:t>
      </w:r>
      <w:r w:rsidR="001D1382">
        <w:t>e</w:t>
      </w:r>
      <w:r w:rsidRPr="00C9026A">
        <w:t xml:space="preserve"> particular location</w:t>
      </w:r>
      <w:r w:rsidR="00E86054" w:rsidRPr="00C9026A">
        <w:t>(</w:t>
      </w:r>
      <w:r w:rsidRPr="00C9026A">
        <w:t>s</w:t>
      </w:r>
      <w:r w:rsidR="00E86054" w:rsidRPr="00C9026A">
        <w:t>)</w:t>
      </w:r>
      <w:r w:rsidRPr="00C9026A">
        <w:t xml:space="preserve"> </w:t>
      </w:r>
      <w:r w:rsidR="0094496A">
        <w:t xml:space="preserve">should be </w:t>
      </w:r>
      <w:r w:rsidR="00055931">
        <w:t>carried out</w:t>
      </w:r>
      <w:r w:rsidR="00055931" w:rsidRPr="00C9026A">
        <w:t xml:space="preserve"> </w:t>
      </w:r>
      <w:r w:rsidRPr="00C9026A">
        <w:t xml:space="preserve">using available </w:t>
      </w:r>
      <w:r w:rsidR="0094496A">
        <w:t>site</w:t>
      </w:r>
      <w:r w:rsidR="00055931">
        <w:t xml:space="preserve"> </w:t>
      </w:r>
      <w:r w:rsidR="0094496A">
        <w:t>specific data</w:t>
      </w:r>
      <w:r w:rsidRPr="00C9026A">
        <w:t>. In general, during the construction period more information rel</w:t>
      </w:r>
      <w:r w:rsidR="00602C69" w:rsidRPr="00C9026A">
        <w:t xml:space="preserve">evant for the assessment </w:t>
      </w:r>
      <w:r w:rsidR="00E10832">
        <w:t>should be</w:t>
      </w:r>
      <w:r w:rsidR="00E10832" w:rsidRPr="00C9026A">
        <w:t xml:space="preserve"> </w:t>
      </w:r>
      <w:r w:rsidR="00602C69" w:rsidRPr="00C9026A">
        <w:t>collected, including</w:t>
      </w:r>
      <w:r w:rsidR="00055931">
        <w:t>,</w:t>
      </w:r>
      <w:r w:rsidR="0094496A">
        <w:t> </w:t>
      </w:r>
      <w:r w:rsidR="008200FB" w:rsidRPr="00C9026A">
        <w:t>where this is deemed necessary</w:t>
      </w:r>
      <w:r w:rsidR="00055931">
        <w:t>,</w:t>
      </w:r>
      <w:r w:rsidR="008200FB" w:rsidRPr="00C9026A">
        <w:t xml:space="preserve"> </w:t>
      </w:r>
      <w:r w:rsidR="00602C69" w:rsidRPr="00C9026A">
        <w:t xml:space="preserve">the results of </w:t>
      </w:r>
      <w:r w:rsidR="0077665E">
        <w:t xml:space="preserve">environmental </w:t>
      </w:r>
      <w:r w:rsidR="003424B0">
        <w:t>measurements</w:t>
      </w:r>
      <w:r w:rsidR="0077665E">
        <w:t xml:space="preserve"> </w:t>
      </w:r>
      <w:r w:rsidR="00055931" w:rsidRPr="00C9026A">
        <w:t>and</w:t>
      </w:r>
      <w:r w:rsidR="00AC5611">
        <w:t xml:space="preserve"> </w:t>
      </w:r>
      <w:r w:rsidR="00383DF3">
        <w:t xml:space="preserve">results from surveys </w:t>
      </w:r>
      <w:r w:rsidR="00383DF3" w:rsidRPr="00383DF3">
        <w:t>on living habits and conditions</w:t>
      </w:r>
      <w:r w:rsidR="00055931" w:rsidRPr="00C9026A">
        <w:t xml:space="preserve"> </w:t>
      </w:r>
      <w:r w:rsidR="00055931">
        <w:t>carried out at and around</w:t>
      </w:r>
      <w:r w:rsidR="0077665E">
        <w:t xml:space="preserve"> the site</w:t>
      </w:r>
      <w:r w:rsidR="00602C69" w:rsidRPr="00C9026A">
        <w:t>. The assessment</w:t>
      </w:r>
      <w:r w:rsidR="00DA700B">
        <w:t xml:space="preserve"> </w:t>
      </w:r>
      <w:r w:rsidR="00602C69" w:rsidRPr="00C9026A">
        <w:t xml:space="preserve">should </w:t>
      </w:r>
      <w:r w:rsidR="00DA700B">
        <w:t xml:space="preserve">be refined as the project </w:t>
      </w:r>
      <w:r w:rsidR="00602C69" w:rsidRPr="00C9026A">
        <w:t>evolve</w:t>
      </w:r>
      <w:r w:rsidR="00DA700B">
        <w:t>s and more information becomes available,</w:t>
      </w:r>
      <w:r w:rsidR="00602C69" w:rsidRPr="00C9026A">
        <w:t xml:space="preserve"> in order to be able to produce a </w:t>
      </w:r>
      <w:r w:rsidR="00055931">
        <w:t xml:space="preserve">well substantiated </w:t>
      </w:r>
      <w:r w:rsidR="00602C69" w:rsidRPr="00C9026A">
        <w:t xml:space="preserve">final </w:t>
      </w:r>
      <w:r w:rsidR="00055931">
        <w:t>radiological environmental impact</w:t>
      </w:r>
      <w:r w:rsidR="00055931" w:rsidRPr="00C9026A">
        <w:t xml:space="preserve"> </w:t>
      </w:r>
      <w:r w:rsidR="00602C69" w:rsidRPr="00C9026A">
        <w:t xml:space="preserve">assessment at some point in the commissioning stage, before </w:t>
      </w:r>
      <w:r w:rsidR="00DC1FAA" w:rsidRPr="00C9026A">
        <w:t xml:space="preserve">the </w:t>
      </w:r>
      <w:r w:rsidR="0077665E">
        <w:t xml:space="preserve">operating organization submits its final application for </w:t>
      </w:r>
      <w:r w:rsidR="00602C69" w:rsidRPr="00C9026A">
        <w:t>authoriz</w:t>
      </w:r>
      <w:r w:rsidR="00DC1FAA" w:rsidRPr="00C9026A">
        <w:t>ation to the</w:t>
      </w:r>
      <w:r w:rsidR="00002CBF" w:rsidRPr="00C9026A">
        <w:t xml:space="preserve"> regulatory body</w:t>
      </w:r>
      <w:r w:rsidR="00602C69" w:rsidRPr="00C9026A">
        <w:t>.</w:t>
      </w:r>
      <w:r w:rsidR="009B094F" w:rsidRPr="009B094F">
        <w:t xml:space="preserve"> </w:t>
      </w:r>
      <w:r w:rsidR="00055931">
        <w:t xml:space="preserve">SSG-16 </w:t>
      </w:r>
      <w:r w:rsidR="009B094F" w:rsidRPr="009B094F">
        <w:t>[</w:t>
      </w:r>
      <w:r w:rsidR="0014379A">
        <w:t>2</w:t>
      </w:r>
      <w:r w:rsidR="00C53F4B">
        <w:t>2</w:t>
      </w:r>
      <w:r w:rsidR="009B094F" w:rsidRPr="009B094F">
        <w:t xml:space="preserve">] </w:t>
      </w:r>
      <w:r w:rsidR="00055931">
        <w:t xml:space="preserve">provides guidance on the submission and updating of </w:t>
      </w:r>
      <w:r w:rsidR="001D1382">
        <w:t>a</w:t>
      </w:r>
      <w:r w:rsidR="00EA23C2">
        <w:t xml:space="preserve"> </w:t>
      </w:r>
      <w:r w:rsidR="009B094F" w:rsidRPr="009B094F">
        <w:t>radiological environmental impact assessment in the framework of establishing the safety infrastructure for a nuclear power programme</w:t>
      </w:r>
      <w:r w:rsidR="009B094F">
        <w:t>.</w:t>
      </w:r>
    </w:p>
    <w:p w:rsidR="002B5C8B" w:rsidRPr="00C9026A" w:rsidRDefault="006918F6" w:rsidP="00A57A35">
      <w:pPr>
        <w:pStyle w:val="Heading4"/>
        <w:ind w:left="0"/>
      </w:pPr>
      <w:r w:rsidRPr="00C9026A">
        <w:t>The radiological environmental impact assessment performed b</w:t>
      </w:r>
      <w:r w:rsidR="00602C69" w:rsidRPr="00C9026A">
        <w:t xml:space="preserve">efore </w:t>
      </w:r>
      <w:r w:rsidR="00EA23C2">
        <w:t xml:space="preserve">the </w:t>
      </w:r>
      <w:r w:rsidR="00602C69" w:rsidRPr="00C9026A">
        <w:t>start</w:t>
      </w:r>
      <w:r w:rsidR="00442CE6">
        <w:t xml:space="preserve"> </w:t>
      </w:r>
      <w:r w:rsidR="00EA23C2">
        <w:t xml:space="preserve">of </w:t>
      </w:r>
      <w:r w:rsidR="00602C69" w:rsidRPr="00C9026A">
        <w:t xml:space="preserve">the operation of a facility or </w:t>
      </w:r>
      <w:r w:rsidR="00581915" w:rsidRPr="00C9026A">
        <w:t xml:space="preserve">conducting </w:t>
      </w:r>
      <w:r w:rsidR="00602C69" w:rsidRPr="00C9026A">
        <w:t xml:space="preserve">an activity </w:t>
      </w:r>
      <w:r w:rsidRPr="00C9026A">
        <w:t xml:space="preserve">should be used as </w:t>
      </w:r>
      <w:r w:rsidR="00450125">
        <w:t xml:space="preserve">one of the </w:t>
      </w:r>
      <w:r w:rsidRPr="00C9026A">
        <w:t>input</w:t>
      </w:r>
      <w:r w:rsidR="00450125">
        <w:t>s</w:t>
      </w:r>
      <w:r w:rsidRPr="00C9026A">
        <w:t xml:space="preserve"> </w:t>
      </w:r>
      <w:r w:rsidR="00602C69" w:rsidRPr="00C9026A">
        <w:t>to determine</w:t>
      </w:r>
      <w:r w:rsidRPr="00C9026A">
        <w:t xml:space="preserve"> </w:t>
      </w:r>
      <w:r w:rsidR="00EA23C2" w:rsidRPr="00C9026A">
        <w:t xml:space="preserve">authorized discharge limits </w:t>
      </w:r>
      <w:r w:rsidR="00EA23C2">
        <w:t xml:space="preserve">and any other </w:t>
      </w:r>
      <w:r w:rsidRPr="00C9026A">
        <w:t xml:space="preserve">operational </w:t>
      </w:r>
      <w:r w:rsidR="00055931">
        <w:t>quantities</w:t>
      </w:r>
      <w:r w:rsidRPr="00C9026A">
        <w:t xml:space="preserve"> relat</w:t>
      </w:r>
      <w:r w:rsidR="00055931">
        <w:t>ing</w:t>
      </w:r>
      <w:r w:rsidRPr="00C9026A">
        <w:t xml:space="preserve"> to protection</w:t>
      </w:r>
      <w:r w:rsidR="00055931">
        <w:t xml:space="preserve"> of the public</w:t>
      </w:r>
      <w:r w:rsidR="00602C69" w:rsidRPr="00C9026A">
        <w:t xml:space="preserve">. </w:t>
      </w:r>
      <w:r w:rsidR="00581915" w:rsidRPr="00C9026A">
        <w:t>Guidance on e</w:t>
      </w:r>
      <w:r w:rsidR="00602C69" w:rsidRPr="00C9026A">
        <w:t xml:space="preserve">stablishment of </w:t>
      </w:r>
      <w:r w:rsidRPr="00C9026A">
        <w:t xml:space="preserve">authorized </w:t>
      </w:r>
      <w:r w:rsidR="00602C69" w:rsidRPr="00C9026A">
        <w:t xml:space="preserve">discharge limits is </w:t>
      </w:r>
      <w:r w:rsidR="00581915" w:rsidRPr="00C9026A">
        <w:t>presented in</w:t>
      </w:r>
      <w:r w:rsidR="00602C69" w:rsidRPr="00C9026A">
        <w:t xml:space="preserve"> </w:t>
      </w:r>
      <w:r w:rsidR="00055931">
        <w:t>DS442</w:t>
      </w:r>
      <w:r w:rsidRPr="00C9026A">
        <w:t xml:space="preserve"> </w:t>
      </w:r>
      <w:r w:rsidR="00602C69" w:rsidRPr="00C9026A">
        <w:t>[</w:t>
      </w:r>
      <w:r w:rsidR="0014379A">
        <w:t>9</w:t>
      </w:r>
      <w:r w:rsidR="00602C69" w:rsidRPr="00C9026A">
        <w:t>].</w:t>
      </w:r>
    </w:p>
    <w:p w:rsidR="00675D52" w:rsidRPr="00675D52" w:rsidRDefault="008D6C91" w:rsidP="00A57A35">
      <w:pPr>
        <w:pStyle w:val="Heading4"/>
        <w:ind w:left="0"/>
      </w:pPr>
      <w:r w:rsidRPr="00C9026A">
        <w:t>F</w:t>
      </w:r>
      <w:r w:rsidR="00C76603" w:rsidRPr="00C9026A">
        <w:t>or facilities already in operation</w:t>
      </w:r>
      <w:r w:rsidRPr="00C9026A">
        <w:t xml:space="preserve"> and activities being conducted</w:t>
      </w:r>
      <w:r w:rsidR="00055931">
        <w:t>,</w:t>
      </w:r>
      <w:r w:rsidR="005C32B6">
        <w:t xml:space="preserve"> </w:t>
      </w:r>
      <w:r w:rsidR="00E86054" w:rsidRPr="00C9026A">
        <w:t xml:space="preserve">the </w:t>
      </w:r>
      <w:r w:rsidR="002E6C42" w:rsidRPr="00C9026A">
        <w:t>safety assessment</w:t>
      </w:r>
      <w:r w:rsidR="00DC1FAA" w:rsidRPr="00C9026A">
        <w:t xml:space="preserve"> </w:t>
      </w:r>
      <w:r w:rsidR="003D6BF3">
        <w:t xml:space="preserve">should be </w:t>
      </w:r>
      <w:r w:rsidR="00C76603" w:rsidRPr="00C9026A">
        <w:t>periodic</w:t>
      </w:r>
      <w:r w:rsidR="005C32B6">
        <w:t>al</w:t>
      </w:r>
      <w:r w:rsidR="003D6BF3">
        <w:t>ly</w:t>
      </w:r>
      <w:r w:rsidR="005C32B6">
        <w:t xml:space="preserve"> </w:t>
      </w:r>
      <w:r w:rsidR="00C76603" w:rsidRPr="00C9026A">
        <w:t>review</w:t>
      </w:r>
      <w:r w:rsidR="003D6BF3">
        <w:t>ed and updated at predefined intervals, in accordance with regulatory requirements</w:t>
      </w:r>
      <w:r w:rsidR="00C76603" w:rsidRPr="00C9026A">
        <w:t xml:space="preserve"> [</w:t>
      </w:r>
      <w:r w:rsidR="002E182F" w:rsidRPr="00C9026A">
        <w:t>5</w:t>
      </w:r>
      <w:r w:rsidR="00C76603" w:rsidRPr="00C9026A">
        <w:t xml:space="preserve">]; this </w:t>
      </w:r>
      <w:r w:rsidR="002E6C42" w:rsidRPr="00C9026A">
        <w:t xml:space="preserve">review </w:t>
      </w:r>
      <w:r w:rsidR="00AB7A26" w:rsidRPr="00C9026A">
        <w:t xml:space="preserve">should </w:t>
      </w:r>
      <w:r w:rsidR="00C76603" w:rsidRPr="00C9026A">
        <w:t xml:space="preserve">include the </w:t>
      </w:r>
      <w:r w:rsidRPr="00C9026A">
        <w:t xml:space="preserve">consideration </w:t>
      </w:r>
      <w:r w:rsidR="00C76603" w:rsidRPr="00C9026A">
        <w:t xml:space="preserve">of </w:t>
      </w:r>
      <w:r w:rsidR="00CC1389" w:rsidRPr="00C9026A">
        <w:t xml:space="preserve">possible </w:t>
      </w:r>
      <w:r w:rsidR="00EA5480" w:rsidRPr="00C9026A">
        <w:t xml:space="preserve">changes in </w:t>
      </w:r>
      <w:r w:rsidR="00B97EFD" w:rsidRPr="00C9026A">
        <w:t xml:space="preserve">the assumptions used to perform </w:t>
      </w:r>
      <w:r w:rsidR="00C76603" w:rsidRPr="00C9026A">
        <w:t xml:space="preserve">the </w:t>
      </w:r>
      <w:r w:rsidR="0004533F" w:rsidRPr="00C9026A">
        <w:t xml:space="preserve">radiological </w:t>
      </w:r>
      <w:r w:rsidRPr="00C9026A">
        <w:t xml:space="preserve">environmental </w:t>
      </w:r>
      <w:r w:rsidR="0074347C" w:rsidRPr="00C9026A">
        <w:t xml:space="preserve">impact </w:t>
      </w:r>
      <w:r w:rsidR="00AB7A26" w:rsidRPr="00C9026A">
        <w:t>assessment</w:t>
      </w:r>
      <w:r w:rsidR="00450125">
        <w:t xml:space="preserve"> and the results of source </w:t>
      </w:r>
      <w:r w:rsidR="00810D76">
        <w:t xml:space="preserve">monitoring </w:t>
      </w:r>
      <w:r w:rsidR="00450125">
        <w:t>and environmental monitoring programmes conducted during operation</w:t>
      </w:r>
      <w:r w:rsidR="00C76603" w:rsidRPr="00C9026A">
        <w:t xml:space="preserve">. The </w:t>
      </w:r>
      <w:r w:rsidRPr="00C9026A">
        <w:t xml:space="preserve">radiological environmental impact </w:t>
      </w:r>
      <w:r w:rsidR="00C76603" w:rsidRPr="00C9026A">
        <w:t xml:space="preserve">assessment </w:t>
      </w:r>
      <w:r w:rsidRPr="00C9026A">
        <w:t>may</w:t>
      </w:r>
      <w:r w:rsidR="00C76603" w:rsidRPr="00C9026A">
        <w:t xml:space="preserve"> </w:t>
      </w:r>
      <w:r w:rsidRPr="00C9026A">
        <w:t xml:space="preserve">need to </w:t>
      </w:r>
      <w:r w:rsidR="00C76603" w:rsidRPr="00C9026A">
        <w:t>be re</w:t>
      </w:r>
      <w:r w:rsidR="003B01DC">
        <w:t>vised</w:t>
      </w:r>
      <w:r w:rsidR="00C76603" w:rsidRPr="00C9026A">
        <w:t xml:space="preserve"> if there are significant changes </w:t>
      </w:r>
      <w:r w:rsidRPr="00C9026A">
        <w:t xml:space="preserve">in </w:t>
      </w:r>
      <w:r w:rsidR="00B94A7F" w:rsidRPr="00C9026A">
        <w:t xml:space="preserve">characteristics </w:t>
      </w:r>
      <w:r w:rsidR="00B94A7F">
        <w:t xml:space="preserve">of </w:t>
      </w:r>
      <w:r w:rsidRPr="00C9026A">
        <w:t>the facility or activity</w:t>
      </w:r>
      <w:r w:rsidR="00B94A7F">
        <w:t xml:space="preserve"> o</w:t>
      </w:r>
      <w:r w:rsidRPr="00C9026A">
        <w:t xml:space="preserve">r </w:t>
      </w:r>
      <w:r w:rsidR="0004533F" w:rsidRPr="00C9026A">
        <w:t xml:space="preserve">in the </w:t>
      </w:r>
      <w:r w:rsidR="00B94A7F" w:rsidRPr="00C9026A">
        <w:t xml:space="preserve">characteristics </w:t>
      </w:r>
      <w:r w:rsidR="00B94A7F">
        <w:t xml:space="preserve">of the </w:t>
      </w:r>
      <w:r w:rsidR="0004533F" w:rsidRPr="00C9026A">
        <w:t xml:space="preserve">location </w:t>
      </w:r>
      <w:r w:rsidR="00FA14D1" w:rsidRPr="00C9026A">
        <w:t>(see Table 1)</w:t>
      </w:r>
      <w:r w:rsidR="00135023" w:rsidRPr="00C9026A">
        <w:rPr>
          <w:szCs w:val="24"/>
        </w:rPr>
        <w:t>.</w:t>
      </w:r>
    </w:p>
    <w:p w:rsidR="003B01DC" w:rsidRPr="00206C7C" w:rsidRDefault="003B01DC" w:rsidP="00A57A35">
      <w:pPr>
        <w:pStyle w:val="Heading4"/>
        <w:ind w:left="0"/>
      </w:pPr>
      <w:r>
        <w:rPr>
          <w:szCs w:val="24"/>
        </w:rPr>
        <w:t xml:space="preserve"> A</w:t>
      </w:r>
      <w:r w:rsidRPr="00206C7C">
        <w:rPr>
          <w:szCs w:val="24"/>
        </w:rPr>
        <w:t xml:space="preserve"> prospective radiological environmental impact assessment</w:t>
      </w:r>
      <w:r>
        <w:rPr>
          <w:szCs w:val="24"/>
        </w:rPr>
        <w:t xml:space="preserve"> carried out for a new installation </w:t>
      </w:r>
      <w:r w:rsidRPr="00206C7C">
        <w:rPr>
          <w:szCs w:val="24"/>
        </w:rPr>
        <w:t>should</w:t>
      </w:r>
      <w:r>
        <w:rPr>
          <w:szCs w:val="24"/>
        </w:rPr>
        <w:t xml:space="preserve"> take account of the contribution to public exposures </w:t>
      </w:r>
      <w:r w:rsidR="00810D76">
        <w:rPr>
          <w:szCs w:val="24"/>
        </w:rPr>
        <w:t>due to</w:t>
      </w:r>
      <w:r w:rsidR="00B65064">
        <w:rPr>
          <w:szCs w:val="24"/>
        </w:rPr>
        <w:t xml:space="preserve"> </w:t>
      </w:r>
      <w:r>
        <w:rPr>
          <w:szCs w:val="24"/>
        </w:rPr>
        <w:t xml:space="preserve">other facilities already operating or planned to be constructed at the site </w:t>
      </w:r>
      <w:r w:rsidR="00ED692A">
        <w:rPr>
          <w:szCs w:val="24"/>
        </w:rPr>
        <w:t xml:space="preserve">or the vicinity of the site </w:t>
      </w:r>
      <w:r>
        <w:rPr>
          <w:szCs w:val="24"/>
        </w:rPr>
        <w:t>under consideration.</w:t>
      </w:r>
    </w:p>
    <w:p w:rsidR="00C53F4B" w:rsidRDefault="00B56739" w:rsidP="00A57A35">
      <w:pPr>
        <w:pStyle w:val="Heading4"/>
        <w:ind w:left="0"/>
      </w:pPr>
      <w:r>
        <w:t>Prior to the conduct of decommissioning actions</w:t>
      </w:r>
      <w:r w:rsidR="00B65064">
        <w:t>,</w:t>
      </w:r>
      <w:r>
        <w:t xml:space="preserve"> for certain </w:t>
      </w:r>
      <w:r w:rsidR="00B35728">
        <w:t>facilities and activities such as nuclear installations, radioactive waste management facilities and uranium mining and milling facilities</w:t>
      </w:r>
      <w:r>
        <w:t xml:space="preserve">, </w:t>
      </w:r>
      <w:r w:rsidR="00602C69" w:rsidRPr="00C9026A">
        <w:t xml:space="preserve">a </w:t>
      </w:r>
      <w:r>
        <w:t xml:space="preserve">prospective </w:t>
      </w:r>
      <w:r w:rsidR="0077366E" w:rsidRPr="00C9026A">
        <w:t xml:space="preserve">radiological </w:t>
      </w:r>
      <w:r w:rsidR="00BC3315" w:rsidRPr="00C9026A">
        <w:t xml:space="preserve">environmental </w:t>
      </w:r>
      <w:r w:rsidR="0077366E" w:rsidRPr="00C9026A">
        <w:t xml:space="preserve">impact </w:t>
      </w:r>
      <w:r w:rsidR="00602C69" w:rsidRPr="00C9026A">
        <w:t xml:space="preserve">assessment </w:t>
      </w:r>
      <w:r w:rsidR="00B65064">
        <w:t xml:space="preserve">should be conducted </w:t>
      </w:r>
      <w:r w:rsidR="006C79D1">
        <w:t>for planning purpose</w:t>
      </w:r>
      <w:r w:rsidR="00B65064">
        <w:t>s</w:t>
      </w:r>
      <w:r w:rsidR="006C79D1">
        <w:t xml:space="preserve"> [</w:t>
      </w:r>
      <w:r w:rsidR="0014379A">
        <w:t>3</w:t>
      </w:r>
      <w:r w:rsidR="00C53F4B">
        <w:t>4</w:t>
      </w:r>
      <w:r w:rsidR="006C79D1">
        <w:t>]</w:t>
      </w:r>
      <w:r w:rsidR="00602C69" w:rsidRPr="00C9026A">
        <w:t xml:space="preserve">. </w:t>
      </w:r>
    </w:p>
    <w:p w:rsidR="00D10A47" w:rsidRDefault="00B56739" w:rsidP="00A57A35">
      <w:pPr>
        <w:pStyle w:val="Heading4"/>
        <w:ind w:left="0"/>
      </w:pPr>
      <w:r w:rsidRPr="00B56739">
        <w:t>Before release of a site from regulatory control</w:t>
      </w:r>
      <w:r>
        <w:t xml:space="preserve"> after decommissioning</w:t>
      </w:r>
      <w:r w:rsidRPr="00B56739">
        <w:t xml:space="preserve">, a review of the radiological environmental impact assessment could be necessary, </w:t>
      </w:r>
      <w:r w:rsidR="00810D76">
        <w:t>depending on</w:t>
      </w:r>
      <w:r w:rsidR="00B65064" w:rsidRPr="00B56739">
        <w:t xml:space="preserve"> </w:t>
      </w:r>
      <w:r w:rsidRPr="00B56739">
        <w:t xml:space="preserve">the final radiological </w:t>
      </w:r>
      <w:r w:rsidR="00AE3A33">
        <w:t>conditions</w:t>
      </w:r>
      <w:r w:rsidR="00AE3A33" w:rsidRPr="00B56739">
        <w:t xml:space="preserve"> </w:t>
      </w:r>
      <w:r w:rsidRPr="00B56739">
        <w:t xml:space="preserve">of the former facility. </w:t>
      </w:r>
      <w:r w:rsidR="00602C69" w:rsidRPr="00C9026A">
        <w:t xml:space="preserve">However, </w:t>
      </w:r>
      <w:r w:rsidR="00403ECB" w:rsidRPr="00C9026A">
        <w:t xml:space="preserve">for most </w:t>
      </w:r>
      <w:r w:rsidR="00BA6D7C" w:rsidRPr="00C9026A">
        <w:t>facilities and</w:t>
      </w:r>
      <w:r w:rsidR="00BA6D7C">
        <w:t xml:space="preserve"> </w:t>
      </w:r>
      <w:r w:rsidR="00403ECB" w:rsidRPr="00C9026A">
        <w:t>activities</w:t>
      </w:r>
      <w:r w:rsidR="00B006F0" w:rsidRPr="00B006F0">
        <w:t xml:space="preserve"> </w:t>
      </w:r>
      <w:r w:rsidR="00B006F0" w:rsidRPr="00C9026A">
        <w:t>after decommission</w:t>
      </w:r>
      <w:r w:rsidR="00B006F0">
        <w:t>ing</w:t>
      </w:r>
      <w:r w:rsidR="00403ECB" w:rsidRPr="00C9026A">
        <w:t>,</w:t>
      </w:r>
      <w:r w:rsidR="00602C69" w:rsidRPr="00C9026A">
        <w:t xml:space="preserve"> </w:t>
      </w:r>
      <w:r w:rsidR="0077366E" w:rsidRPr="00C9026A">
        <w:t>typically</w:t>
      </w:r>
      <w:r w:rsidR="00AE3A33">
        <w:t>,</w:t>
      </w:r>
      <w:r w:rsidR="0077366E" w:rsidRPr="00C9026A">
        <w:t xml:space="preserve"> </w:t>
      </w:r>
      <w:r w:rsidR="00BA76C2">
        <w:t xml:space="preserve">exposures </w:t>
      </w:r>
      <w:r w:rsidR="00F45A1B">
        <w:t xml:space="preserve">expected to occur </w:t>
      </w:r>
      <w:r w:rsidR="00B006F0">
        <w:t xml:space="preserve">and </w:t>
      </w:r>
      <w:r w:rsidR="00602C69" w:rsidRPr="00C9026A">
        <w:t xml:space="preserve">potential exposures </w:t>
      </w:r>
      <w:r w:rsidR="00B65064">
        <w:t xml:space="preserve">will be </w:t>
      </w:r>
      <w:r w:rsidR="00BA76C2">
        <w:lastRenderedPageBreak/>
        <w:t xml:space="preserve">negligible </w:t>
      </w:r>
      <w:r w:rsidR="00BC5A0B">
        <w:t xml:space="preserve">or </w:t>
      </w:r>
      <w:r w:rsidR="003A4BA7">
        <w:t>non-</w:t>
      </w:r>
      <w:r w:rsidR="00BC5A0B">
        <w:t xml:space="preserve">existent, </w:t>
      </w:r>
      <w:r w:rsidR="00602C69" w:rsidRPr="00C9026A">
        <w:t>and the methods</w:t>
      </w:r>
      <w:r w:rsidR="00107FF5">
        <w:t xml:space="preserve"> used to</w:t>
      </w:r>
      <w:r w:rsidR="0077366E" w:rsidRPr="00C9026A">
        <w:t xml:space="preserve"> estimat</w:t>
      </w:r>
      <w:r w:rsidR="00BA76C2">
        <w:t xml:space="preserve">e </w:t>
      </w:r>
      <w:r w:rsidR="00B006F0">
        <w:t xml:space="preserve">those </w:t>
      </w:r>
      <w:r w:rsidR="00BA76C2">
        <w:t>exposures</w:t>
      </w:r>
      <w:r w:rsidR="00BC5A0B">
        <w:t xml:space="preserve"> </w:t>
      </w:r>
      <w:r w:rsidR="00602C69" w:rsidRPr="00C9026A">
        <w:t xml:space="preserve">and </w:t>
      </w:r>
      <w:r w:rsidR="00D17B66">
        <w:t xml:space="preserve">determine </w:t>
      </w:r>
      <w:r w:rsidR="00BA76C2">
        <w:t xml:space="preserve">the </w:t>
      </w:r>
      <w:r w:rsidR="00D17B66">
        <w:t xml:space="preserve">associated </w:t>
      </w:r>
      <w:r w:rsidR="00ED692A">
        <w:t xml:space="preserve">radiological </w:t>
      </w:r>
      <w:r w:rsidR="00602C69" w:rsidRPr="00C9026A">
        <w:t xml:space="preserve">criteria </w:t>
      </w:r>
      <w:r w:rsidR="00D17B66">
        <w:t>will</w:t>
      </w:r>
      <w:r w:rsidR="00602C69" w:rsidRPr="00C9026A">
        <w:t xml:space="preserve"> differ</w:t>
      </w:r>
      <w:r w:rsidR="00BA76C2">
        <w:t>.</w:t>
      </w:r>
      <w:r w:rsidR="00BC5A0B">
        <w:t xml:space="preserve"> For example</w:t>
      </w:r>
      <w:r w:rsidR="00C53F4B">
        <w:t>,</w:t>
      </w:r>
      <w:r w:rsidR="00BC5A0B">
        <w:t xml:space="preserve"> </w:t>
      </w:r>
      <w:r w:rsidR="00C53F4B">
        <w:t xml:space="preserve">in </w:t>
      </w:r>
      <w:r w:rsidR="00BC5A0B">
        <w:t>the estimation of exposures more relevance</w:t>
      </w:r>
      <w:r w:rsidR="00C53F4B">
        <w:t xml:space="preserve"> should be given</w:t>
      </w:r>
      <w:r w:rsidR="00BC5A0B">
        <w:t xml:space="preserve"> to </w:t>
      </w:r>
      <w:r w:rsidR="001B2D2A">
        <w:t xml:space="preserve">the results of a final </w:t>
      </w:r>
      <w:r w:rsidR="00BC5A0B">
        <w:t xml:space="preserve">environmental </w:t>
      </w:r>
      <w:r w:rsidR="001B2D2A">
        <w:t>survey</w:t>
      </w:r>
      <w:r w:rsidR="00BC5A0B">
        <w:t xml:space="preserve">, and the radiological criteria </w:t>
      </w:r>
      <w:r w:rsidR="00F36575">
        <w:t>could</w:t>
      </w:r>
      <w:r w:rsidR="001B2D2A">
        <w:t xml:space="preserve"> be the release criteria for unrestricted use after decommissioning</w:t>
      </w:r>
      <w:r w:rsidR="00971618">
        <w:t>,</w:t>
      </w:r>
      <w:r w:rsidR="001B2D2A">
        <w:t xml:space="preserve"> as set by the regulatory body [</w:t>
      </w:r>
      <w:r w:rsidR="00C53F4B">
        <w:t>35</w:t>
      </w:r>
      <w:r w:rsidR="001B2D2A">
        <w:t>].</w:t>
      </w:r>
      <w:r w:rsidR="00BC5A0B">
        <w:t xml:space="preserve"> </w:t>
      </w:r>
    </w:p>
    <w:p w:rsidR="00C76603" w:rsidRPr="00C9026A" w:rsidRDefault="00403ECB" w:rsidP="00A57A35">
      <w:pPr>
        <w:pStyle w:val="Heading4"/>
        <w:ind w:left="0"/>
      </w:pPr>
      <w:r w:rsidRPr="00C9026A">
        <w:t xml:space="preserve">A particular situation </w:t>
      </w:r>
      <w:r w:rsidR="001B23E0">
        <w:t xml:space="preserve">may arise </w:t>
      </w:r>
      <w:r w:rsidR="001B23E0" w:rsidRPr="00C9026A">
        <w:t xml:space="preserve">after decommissioning </w:t>
      </w:r>
      <w:r w:rsidRPr="00C9026A">
        <w:t xml:space="preserve">of </w:t>
      </w:r>
      <w:r w:rsidR="00AC213E" w:rsidRPr="00C9026A">
        <w:t xml:space="preserve">some </w:t>
      </w:r>
      <w:r w:rsidR="001B23E0" w:rsidRPr="00C9026A">
        <w:t xml:space="preserve">facilities and </w:t>
      </w:r>
      <w:r w:rsidR="00AC213E" w:rsidRPr="00C9026A">
        <w:t>activities</w:t>
      </w:r>
      <w:r w:rsidR="00EA23C2">
        <w:t xml:space="preserve"> that extend over</w:t>
      </w:r>
      <w:r w:rsidR="00EA23C2" w:rsidRPr="00C9026A">
        <w:t xml:space="preserve"> </w:t>
      </w:r>
      <w:r w:rsidR="00AC213E" w:rsidRPr="00C9026A">
        <w:t>large areas</w:t>
      </w:r>
      <w:r w:rsidR="00B86032">
        <w:t>,</w:t>
      </w:r>
      <w:r w:rsidR="00EA23C2">
        <w:t xml:space="preserve"> such as </w:t>
      </w:r>
      <w:r w:rsidRPr="00C9026A">
        <w:t>uranium min</w:t>
      </w:r>
      <w:r w:rsidR="00EA23C2">
        <w:t>es</w:t>
      </w:r>
      <w:r w:rsidRPr="00C9026A">
        <w:t xml:space="preserve"> and mill</w:t>
      </w:r>
      <w:r w:rsidR="00EA23C2">
        <w:t>s</w:t>
      </w:r>
      <w:r w:rsidRPr="00C9026A">
        <w:t xml:space="preserve">, where </w:t>
      </w:r>
      <w:r w:rsidR="00D17B66">
        <w:t xml:space="preserve">the </w:t>
      </w:r>
      <w:r w:rsidR="001B2D2A">
        <w:t xml:space="preserve">residual </w:t>
      </w:r>
      <w:r w:rsidRPr="00C9026A">
        <w:t>source term</w:t>
      </w:r>
      <w:r w:rsidR="001B23E0">
        <w:t xml:space="preserve"> may not </w:t>
      </w:r>
      <w:r w:rsidR="00124AE0">
        <w:t xml:space="preserve">be </w:t>
      </w:r>
      <w:r w:rsidR="001B23E0">
        <w:t xml:space="preserve">negligible </w:t>
      </w:r>
      <w:r w:rsidRPr="00C9026A">
        <w:t xml:space="preserve">and </w:t>
      </w:r>
      <w:r w:rsidR="001B2D2A">
        <w:t xml:space="preserve">radiological </w:t>
      </w:r>
      <w:r w:rsidRPr="00C9026A">
        <w:t xml:space="preserve">impact </w:t>
      </w:r>
      <w:r w:rsidR="00D17B66">
        <w:t>on</w:t>
      </w:r>
      <w:r w:rsidR="00D17B66" w:rsidRPr="00C9026A">
        <w:t xml:space="preserve"> </w:t>
      </w:r>
      <w:r w:rsidR="00C53F4B">
        <w:t xml:space="preserve">the </w:t>
      </w:r>
      <w:r w:rsidR="001B2D2A">
        <w:t xml:space="preserve">public and </w:t>
      </w:r>
      <w:r w:rsidRPr="00C9026A">
        <w:t xml:space="preserve">the environment </w:t>
      </w:r>
      <w:r w:rsidR="00D17B66">
        <w:t>is</w:t>
      </w:r>
      <w:r w:rsidR="001B23E0">
        <w:t xml:space="preserve"> expected</w:t>
      </w:r>
      <w:r w:rsidR="00EA23C2">
        <w:t xml:space="preserve"> after the facility</w:t>
      </w:r>
      <w:r w:rsidR="00B86032">
        <w:t xml:space="preserve"> or activity</w:t>
      </w:r>
      <w:r w:rsidR="00EA23C2">
        <w:t xml:space="preserve"> has closed down</w:t>
      </w:r>
      <w:r w:rsidRPr="00C9026A">
        <w:t xml:space="preserve">. </w:t>
      </w:r>
      <w:r w:rsidR="00105292" w:rsidRPr="00105292">
        <w:t xml:space="preserve">The </w:t>
      </w:r>
      <w:r w:rsidR="00105292">
        <w:t xml:space="preserve">radiological environmental impact </w:t>
      </w:r>
      <w:r w:rsidR="00105292" w:rsidRPr="00105292">
        <w:t xml:space="preserve">assessments for </w:t>
      </w:r>
      <w:r w:rsidR="00107FF5">
        <w:t>such</w:t>
      </w:r>
      <w:r w:rsidR="00105292">
        <w:t xml:space="preserve"> situations s</w:t>
      </w:r>
      <w:r w:rsidR="00105292" w:rsidRPr="00105292">
        <w:t xml:space="preserve">hould </w:t>
      </w:r>
      <w:r w:rsidR="00105292">
        <w:t xml:space="preserve">be conducted on </w:t>
      </w:r>
      <w:r w:rsidR="00105292" w:rsidRPr="00105292">
        <w:t>a case</w:t>
      </w:r>
      <w:r w:rsidR="00D17B66">
        <w:t xml:space="preserve"> </w:t>
      </w:r>
      <w:r w:rsidR="00105292" w:rsidRPr="00105292">
        <w:t>by</w:t>
      </w:r>
      <w:r w:rsidR="00D17B66">
        <w:t xml:space="preserve"> </w:t>
      </w:r>
      <w:r w:rsidR="00105292" w:rsidRPr="00105292">
        <w:t>case basis</w:t>
      </w:r>
      <w:r w:rsidR="00105292">
        <w:t>,</w:t>
      </w:r>
      <w:r w:rsidR="00105292" w:rsidRPr="00105292">
        <w:t xml:space="preserve"> </w:t>
      </w:r>
      <w:r w:rsidR="00D17B66">
        <w:t xml:space="preserve">should </w:t>
      </w:r>
      <w:r w:rsidR="00105292" w:rsidRPr="00105292">
        <w:t xml:space="preserve">take account of the particular characteristics of the </w:t>
      </w:r>
      <w:r w:rsidR="00105292">
        <w:t xml:space="preserve">source term and </w:t>
      </w:r>
      <w:r w:rsidR="00D17B66">
        <w:t xml:space="preserve">should </w:t>
      </w:r>
      <w:r w:rsidR="00105292" w:rsidRPr="00105292">
        <w:t>us</w:t>
      </w:r>
      <w:r w:rsidR="00D24CC5">
        <w:t>e</w:t>
      </w:r>
      <w:r w:rsidR="00105292">
        <w:t xml:space="preserve"> </w:t>
      </w:r>
      <w:r w:rsidR="00971618">
        <w:t xml:space="preserve">the results of a final survey, including </w:t>
      </w:r>
      <w:r w:rsidR="00105292">
        <w:t xml:space="preserve">radiological environmental </w:t>
      </w:r>
      <w:r w:rsidR="00105292" w:rsidRPr="00105292">
        <w:t>monitoring data</w:t>
      </w:r>
      <w:r w:rsidRPr="00C9026A">
        <w:t>.</w:t>
      </w:r>
      <w:r w:rsidR="001B2D2A">
        <w:t xml:space="preserve"> </w:t>
      </w:r>
      <w:r w:rsidR="00971618">
        <w:t>The regulatory</w:t>
      </w:r>
      <w:r w:rsidR="001F5AD7">
        <w:t xml:space="preserve"> body</w:t>
      </w:r>
      <w:r w:rsidR="00971618">
        <w:t xml:space="preserve"> should consider the need to define limitations on the use of the land, based on radiological release criteria for restricted use,</w:t>
      </w:r>
      <w:r w:rsidR="00C53F4B">
        <w:t xml:space="preserve"> and to</w:t>
      </w:r>
      <w:r w:rsidR="00971618">
        <w:t xml:space="preserve"> identify responsible entities and </w:t>
      </w:r>
      <w:r w:rsidR="00C53F4B">
        <w:t xml:space="preserve">specify arrangements for </w:t>
      </w:r>
      <w:r w:rsidR="00971618">
        <w:t xml:space="preserve">institutional control </w:t>
      </w:r>
      <w:r w:rsidR="00971618" w:rsidRPr="00971618">
        <w:t>[</w:t>
      </w:r>
      <w:r w:rsidR="00C53F4B">
        <w:t>35</w:t>
      </w:r>
      <w:r w:rsidR="00971618" w:rsidRPr="00971618">
        <w:t>]</w:t>
      </w:r>
      <w:r w:rsidR="00971618">
        <w:t>.</w:t>
      </w:r>
    </w:p>
    <w:p w:rsidR="007B1691" w:rsidRPr="00C9026A" w:rsidRDefault="00662A46" w:rsidP="00A57A35">
      <w:pPr>
        <w:pStyle w:val="Heading2"/>
        <w:rPr>
          <w:lang w:val="en-GB"/>
        </w:rPr>
      </w:pPr>
      <w:bookmarkStart w:id="44" w:name="_Toc447613477"/>
      <w:bookmarkStart w:id="45" w:name="_Toc450204000"/>
      <w:r w:rsidRPr="00C9026A">
        <w:rPr>
          <w:lang w:val="en-GB"/>
        </w:rPr>
        <w:t xml:space="preserve">Assessment </w:t>
      </w:r>
      <w:r w:rsidR="00B65E7A" w:rsidRPr="00C9026A">
        <w:rPr>
          <w:lang w:val="en-GB"/>
        </w:rPr>
        <w:t>as part of</w:t>
      </w:r>
      <w:r w:rsidRPr="00C9026A">
        <w:rPr>
          <w:lang w:val="en-GB"/>
        </w:rPr>
        <w:t xml:space="preserve"> a</w:t>
      </w:r>
      <w:r w:rsidR="00474777" w:rsidRPr="00C9026A">
        <w:rPr>
          <w:lang w:val="en-GB"/>
        </w:rPr>
        <w:t xml:space="preserve"> </w:t>
      </w:r>
      <w:r w:rsidR="00263ADA" w:rsidRPr="00C9026A">
        <w:rPr>
          <w:lang w:val="en-GB"/>
        </w:rPr>
        <w:t xml:space="preserve">governmental </w:t>
      </w:r>
      <w:r w:rsidR="002A20CD" w:rsidRPr="00C9026A">
        <w:rPr>
          <w:lang w:val="en-GB"/>
        </w:rPr>
        <w:t>decision</w:t>
      </w:r>
      <w:r w:rsidR="00A43935">
        <w:rPr>
          <w:lang w:val="en-GB"/>
        </w:rPr>
        <w:t xml:space="preserve"> </w:t>
      </w:r>
      <w:r w:rsidR="00263ADA" w:rsidRPr="00C9026A">
        <w:rPr>
          <w:lang w:val="en-GB"/>
        </w:rPr>
        <w:t>making</w:t>
      </w:r>
      <w:r w:rsidR="002A20CD" w:rsidRPr="00C9026A">
        <w:rPr>
          <w:lang w:val="en-GB"/>
        </w:rPr>
        <w:t xml:space="preserve"> process</w:t>
      </w:r>
      <w:bookmarkEnd w:id="44"/>
      <w:bookmarkEnd w:id="45"/>
    </w:p>
    <w:p w:rsidR="002B2BF0" w:rsidRPr="00C9026A" w:rsidRDefault="00C16B35" w:rsidP="00A57A35">
      <w:pPr>
        <w:pStyle w:val="Heading4"/>
        <w:ind w:left="0"/>
      </w:pPr>
      <w:r w:rsidRPr="00C9026A">
        <w:t>A</w:t>
      </w:r>
      <w:r w:rsidR="00263ADA" w:rsidRPr="00C9026A">
        <w:t xml:space="preserve"> radiological environmental impact</w:t>
      </w:r>
      <w:r w:rsidRPr="00C9026A">
        <w:t xml:space="preserve"> assessment </w:t>
      </w:r>
      <w:r w:rsidR="00F95984" w:rsidRPr="00C9026A">
        <w:t>is</w:t>
      </w:r>
      <w:r w:rsidRPr="00C9026A">
        <w:t xml:space="preserve"> required as part of </w:t>
      </w:r>
      <w:r w:rsidR="00841C52" w:rsidRPr="00C9026A">
        <w:t xml:space="preserve">a </w:t>
      </w:r>
      <w:r w:rsidR="00263ADA" w:rsidRPr="00C9026A">
        <w:t>governmental decision</w:t>
      </w:r>
      <w:r w:rsidR="00107FF5">
        <w:t xml:space="preserve"> </w:t>
      </w:r>
      <w:r w:rsidR="00263ADA" w:rsidRPr="00C9026A">
        <w:t xml:space="preserve">making process </w:t>
      </w:r>
      <w:r w:rsidR="006E06F4" w:rsidRPr="00C9026A">
        <w:t xml:space="preserve">for certain facilities and </w:t>
      </w:r>
      <w:r w:rsidR="00D0603D" w:rsidRPr="00C9026A">
        <w:t>activities</w:t>
      </w:r>
      <w:r w:rsidR="00D0603D" w:rsidRPr="00C9026A" w:rsidDel="00263ADA">
        <w:t>,</w:t>
      </w:r>
      <w:r w:rsidR="00111D3F" w:rsidRPr="00C9026A">
        <w:t xml:space="preserve"> </w:t>
      </w:r>
      <w:r w:rsidR="00F95984" w:rsidRPr="00C9026A">
        <w:t>and may be included</w:t>
      </w:r>
      <w:r w:rsidR="006E06F4" w:rsidRPr="00C9026A">
        <w:t>,</w:t>
      </w:r>
      <w:r w:rsidR="003E7203" w:rsidRPr="00C9026A">
        <w:t xml:space="preserve"> </w:t>
      </w:r>
      <w:r w:rsidR="00111D3F" w:rsidRPr="00C9026A">
        <w:t>for example</w:t>
      </w:r>
      <w:r w:rsidR="006E06F4" w:rsidRPr="00C9026A">
        <w:t>,</w:t>
      </w:r>
      <w:r w:rsidR="00111D3F" w:rsidRPr="00C9026A">
        <w:t xml:space="preserve"> within an </w:t>
      </w:r>
      <w:r w:rsidR="00D17B66">
        <w:t>environmental impact assessment</w:t>
      </w:r>
      <w:r w:rsidR="00D17B66" w:rsidRPr="00C9026A">
        <w:t xml:space="preserve"> </w:t>
      </w:r>
      <w:r w:rsidR="00DC1FAA" w:rsidRPr="00C9026A">
        <w:t>process.</w:t>
      </w:r>
      <w:r w:rsidR="00C16A64" w:rsidRPr="00C9026A">
        <w:t xml:space="preserve"> </w:t>
      </w:r>
      <w:r w:rsidR="006243ED" w:rsidRPr="00C9026A">
        <w:t xml:space="preserve">The </w:t>
      </w:r>
      <w:r w:rsidR="001D5E9A" w:rsidRPr="00C9026A">
        <w:t xml:space="preserve">facilities </w:t>
      </w:r>
      <w:r w:rsidR="006243ED" w:rsidRPr="00C9026A">
        <w:t xml:space="preserve">and </w:t>
      </w:r>
      <w:r w:rsidR="001D5E9A" w:rsidRPr="00C9026A">
        <w:t xml:space="preserve">activities </w:t>
      </w:r>
      <w:r w:rsidR="00D17B66">
        <w:t>for which</w:t>
      </w:r>
      <w:r w:rsidR="00D17B66" w:rsidRPr="00C9026A">
        <w:t xml:space="preserve"> </w:t>
      </w:r>
      <w:r w:rsidR="00613FC7" w:rsidRPr="00C9026A">
        <w:t>a</w:t>
      </w:r>
      <w:r w:rsidR="009A249F" w:rsidRPr="009A249F">
        <w:t xml:space="preserve"> radiological environmental impact assessment </w:t>
      </w:r>
      <w:r w:rsidR="00D17B66">
        <w:t>is required as part of</w:t>
      </w:r>
      <w:r w:rsidR="009A249F">
        <w:t xml:space="preserve"> a </w:t>
      </w:r>
      <w:r w:rsidR="009A249F" w:rsidRPr="009A249F">
        <w:t>governmental decision</w:t>
      </w:r>
      <w:r w:rsidR="00107FF5">
        <w:t xml:space="preserve"> </w:t>
      </w:r>
      <w:r w:rsidR="009A249F" w:rsidRPr="009A249F">
        <w:t>making process</w:t>
      </w:r>
      <w:r w:rsidR="00990F70" w:rsidRPr="00C9026A">
        <w:t xml:space="preserve">, </w:t>
      </w:r>
      <w:r w:rsidR="006E06F4" w:rsidRPr="00C9026A">
        <w:t xml:space="preserve">and </w:t>
      </w:r>
      <w:r w:rsidR="00D17B66">
        <w:t>the</w:t>
      </w:r>
      <w:r w:rsidR="00D17B66" w:rsidRPr="00C9026A">
        <w:t xml:space="preserve"> </w:t>
      </w:r>
      <w:r w:rsidR="006E06F4" w:rsidRPr="00C9026A">
        <w:t>level of complexity</w:t>
      </w:r>
      <w:r w:rsidR="00D17B66">
        <w:t xml:space="preserve"> of the </w:t>
      </w:r>
      <w:r w:rsidR="00D17B66" w:rsidRPr="009A249F">
        <w:t>radiological environmental impact assessment</w:t>
      </w:r>
      <w:r w:rsidR="001D5E9A" w:rsidRPr="00C9026A">
        <w:t>,</w:t>
      </w:r>
      <w:r w:rsidR="006E06F4" w:rsidRPr="00C9026A">
        <w:t xml:space="preserve"> </w:t>
      </w:r>
      <w:r w:rsidR="006243ED" w:rsidRPr="00C9026A">
        <w:t xml:space="preserve">should be defined by the government </w:t>
      </w:r>
      <w:r w:rsidR="009A249F">
        <w:t>with assistance of</w:t>
      </w:r>
      <w:r w:rsidR="006243ED" w:rsidRPr="00C9026A">
        <w:t xml:space="preserve"> </w:t>
      </w:r>
      <w:r w:rsidR="009A249F">
        <w:t xml:space="preserve">the </w:t>
      </w:r>
      <w:r w:rsidR="006243ED" w:rsidRPr="00C9026A">
        <w:t>regulatory body</w:t>
      </w:r>
      <w:r w:rsidR="009A249F">
        <w:t>,</w:t>
      </w:r>
      <w:r w:rsidR="006243ED" w:rsidRPr="00C9026A">
        <w:t xml:space="preserve"> </w:t>
      </w:r>
      <w:r w:rsidR="002B2BF0" w:rsidRPr="00C9026A">
        <w:t xml:space="preserve">on the basis of the </w:t>
      </w:r>
      <w:r w:rsidR="00C070FE">
        <w:t>l</w:t>
      </w:r>
      <w:r w:rsidR="00C070FE" w:rsidRPr="00C070FE">
        <w:t xml:space="preserve">evel of </w:t>
      </w:r>
      <w:r w:rsidR="00B86032">
        <w:t xml:space="preserve">risk due to </w:t>
      </w:r>
      <w:r w:rsidR="00107FF5">
        <w:t>exposure</w:t>
      </w:r>
      <w:r w:rsidR="00971618">
        <w:t>s</w:t>
      </w:r>
      <w:r w:rsidR="00107FF5">
        <w:t xml:space="preserve"> </w:t>
      </w:r>
      <w:r w:rsidR="00C070FE" w:rsidRPr="00C070FE">
        <w:t>expected</w:t>
      </w:r>
      <w:r w:rsidR="00107FF5">
        <w:t xml:space="preserve"> to occur in</w:t>
      </w:r>
      <w:r w:rsidR="00C070FE" w:rsidRPr="00C070FE">
        <w:t xml:space="preserve"> normal operation </w:t>
      </w:r>
      <w:r w:rsidR="00B86032">
        <w:t>and</w:t>
      </w:r>
      <w:r w:rsidR="00C070FE" w:rsidRPr="00C070FE">
        <w:t xml:space="preserve"> from potential exposures</w:t>
      </w:r>
      <w:r w:rsidR="00B86032">
        <w:t>,</w:t>
      </w:r>
      <w:r w:rsidR="00C070FE">
        <w:t xml:space="preserve"> and other factors </w:t>
      </w:r>
      <w:r w:rsidR="00D17B66">
        <w:t>set out</w:t>
      </w:r>
      <w:r w:rsidR="00BD1FF4">
        <w:t xml:space="preserve"> </w:t>
      </w:r>
      <w:r w:rsidR="00C070FE">
        <w:t xml:space="preserve">in </w:t>
      </w:r>
      <w:r w:rsidR="006243ED" w:rsidRPr="00C9026A">
        <w:t>Table</w:t>
      </w:r>
      <w:r w:rsidR="0004749B" w:rsidRPr="00C9026A">
        <w:t> </w:t>
      </w:r>
      <w:r w:rsidR="006243ED" w:rsidRPr="00C9026A">
        <w:t>1.</w:t>
      </w:r>
      <w:r w:rsidR="003A1D97" w:rsidRPr="003A1D97">
        <w:t xml:space="preserve"> An </w:t>
      </w:r>
      <w:r w:rsidR="00D17B66">
        <w:t>environmental impact assessment</w:t>
      </w:r>
      <w:r w:rsidR="00D17B66" w:rsidRPr="003A1D97">
        <w:t xml:space="preserve"> </w:t>
      </w:r>
      <w:r w:rsidR="003A1D97" w:rsidRPr="003A1D97">
        <w:t xml:space="preserve">should normally be </w:t>
      </w:r>
      <w:r w:rsidR="00D17B66">
        <w:t>conducted</w:t>
      </w:r>
      <w:r w:rsidR="00D17B66" w:rsidRPr="003A1D97">
        <w:t xml:space="preserve"> </w:t>
      </w:r>
      <w:r w:rsidR="00D17B66">
        <w:t xml:space="preserve">in </w:t>
      </w:r>
      <w:r w:rsidR="00107FF5">
        <w:t>the initial phase</w:t>
      </w:r>
      <w:r w:rsidR="00D17B66">
        <w:t xml:space="preserve"> of the development of</w:t>
      </w:r>
      <w:r w:rsidR="003A1D97" w:rsidRPr="003A1D97">
        <w:t xml:space="preserve"> a nuclear power programme </w:t>
      </w:r>
      <w:r w:rsidR="008359DB">
        <w:t xml:space="preserve">(see SSG-16 </w:t>
      </w:r>
      <w:r w:rsidR="003A1D97" w:rsidRPr="003A1D97">
        <w:t>[</w:t>
      </w:r>
      <w:r w:rsidR="0014379A">
        <w:t>2</w:t>
      </w:r>
      <w:r w:rsidR="00C53F4B">
        <w:t>2</w:t>
      </w:r>
      <w:r w:rsidR="003A1D97" w:rsidRPr="003A1D97">
        <w:t>]</w:t>
      </w:r>
      <w:r w:rsidR="008359DB">
        <w:t>)</w:t>
      </w:r>
      <w:r w:rsidR="003A1D97" w:rsidRPr="003A1D97">
        <w:t>.</w:t>
      </w:r>
    </w:p>
    <w:p w:rsidR="00613FC7" w:rsidRPr="00C9026A" w:rsidRDefault="00613FC7" w:rsidP="00AD79B0">
      <w:pPr>
        <w:pStyle w:val="Heading4"/>
        <w:ind w:left="0"/>
      </w:pPr>
      <w:r w:rsidRPr="00C9026A">
        <w:t xml:space="preserve">The government or the regulatory </w:t>
      </w:r>
      <w:r w:rsidR="00434A0F">
        <w:t xml:space="preserve">body </w:t>
      </w:r>
      <w:r w:rsidR="002B2BF0" w:rsidRPr="00C9026A">
        <w:t>should</w:t>
      </w:r>
      <w:r w:rsidRPr="00C9026A">
        <w:t xml:space="preserve"> </w:t>
      </w:r>
      <w:r w:rsidR="00AD79B0">
        <w:t>set the</w:t>
      </w:r>
      <w:r w:rsidR="00AD79B0" w:rsidRPr="00C9026A">
        <w:t xml:space="preserve"> </w:t>
      </w:r>
      <w:r w:rsidRPr="00C9026A">
        <w:t xml:space="preserve">thresholds or criteria </w:t>
      </w:r>
      <w:r w:rsidR="00AD79B0">
        <w:t>for exemption from the requirement for a</w:t>
      </w:r>
      <w:r w:rsidR="00097FC5">
        <w:t xml:space="preserve"> radiological</w:t>
      </w:r>
      <w:r w:rsidR="00AD79B0">
        <w:t xml:space="preserve"> environmental impact assessment </w:t>
      </w:r>
      <w:r w:rsidRPr="00C9026A">
        <w:t>at a level such that</w:t>
      </w:r>
      <w:r w:rsidR="002B2BF0" w:rsidRPr="00C9026A">
        <w:t xml:space="preserve"> </w:t>
      </w:r>
      <w:r w:rsidRPr="00C9026A">
        <w:t>all</w:t>
      </w:r>
      <w:r w:rsidR="002B2BF0" w:rsidRPr="00C9026A">
        <w:t xml:space="preserve"> </w:t>
      </w:r>
      <w:r w:rsidRPr="00C9026A">
        <w:t xml:space="preserve">projects of a certain type </w:t>
      </w:r>
      <w:r w:rsidR="002B2BF0" w:rsidRPr="00C9026A">
        <w:t>of facilit</w:t>
      </w:r>
      <w:r w:rsidR="00AD79B0">
        <w:t>y</w:t>
      </w:r>
      <w:r w:rsidR="002B2BF0" w:rsidRPr="00C9026A">
        <w:t xml:space="preserve"> or activit</w:t>
      </w:r>
      <w:r w:rsidR="00AD79B0">
        <w:t>y</w:t>
      </w:r>
      <w:r w:rsidR="002B2BF0" w:rsidRPr="00C9026A">
        <w:t xml:space="preserve"> </w:t>
      </w:r>
      <w:r w:rsidRPr="00C9026A">
        <w:t xml:space="preserve">would be exempted </w:t>
      </w:r>
      <w:r w:rsidR="00AD79B0">
        <w:t xml:space="preserve">if no </w:t>
      </w:r>
      <w:r w:rsidR="00097FC5">
        <w:t xml:space="preserve">radiological </w:t>
      </w:r>
      <w:r w:rsidR="00A21D3F" w:rsidRPr="00C9026A">
        <w:t>impact</w:t>
      </w:r>
      <w:r w:rsidR="007E4E9B" w:rsidRPr="00C9026A">
        <w:t xml:space="preserve"> </w:t>
      </w:r>
      <w:r w:rsidR="00A21D3F" w:rsidRPr="00C9026A">
        <w:t xml:space="preserve">is expected either for normal </w:t>
      </w:r>
      <w:r w:rsidR="009B1D08" w:rsidRPr="00C9026A">
        <w:t xml:space="preserve">operation </w:t>
      </w:r>
      <w:r w:rsidR="00A21D3F" w:rsidRPr="00C9026A">
        <w:t xml:space="preserve">or </w:t>
      </w:r>
      <w:r w:rsidR="00516018">
        <w:t xml:space="preserve">for </w:t>
      </w:r>
      <w:r w:rsidR="00A21D3F" w:rsidRPr="00C9026A">
        <w:t>accident</w:t>
      </w:r>
      <w:r w:rsidR="00AD79B0">
        <w:t xml:space="preserve"> conditions</w:t>
      </w:r>
      <w:r w:rsidR="009A249F" w:rsidRPr="00C9026A">
        <w:rPr>
          <w:rStyle w:val="FootnoteReference"/>
        </w:rPr>
        <w:footnoteReference w:id="16"/>
      </w:r>
      <w:r w:rsidR="002B2BF0" w:rsidRPr="00C9026A">
        <w:t>.</w:t>
      </w:r>
      <w:r w:rsidR="001B23E0">
        <w:t xml:space="preserve"> </w:t>
      </w:r>
      <w:r w:rsidR="00BC03E9">
        <w:t>Alternatively</w:t>
      </w:r>
      <w:r w:rsidR="001B23E0">
        <w:t xml:space="preserve">, if </w:t>
      </w:r>
      <w:r w:rsidR="00AD79B0">
        <w:t>the</w:t>
      </w:r>
      <w:r w:rsidR="00BC03E9">
        <w:t xml:space="preserve"> regulations </w:t>
      </w:r>
      <w:r w:rsidR="00AD79B0">
        <w:t xml:space="preserve">specify that </w:t>
      </w:r>
      <w:r w:rsidR="001B23E0">
        <w:t>a</w:t>
      </w:r>
      <w:r w:rsidR="00097FC5">
        <w:t xml:space="preserve"> radiological</w:t>
      </w:r>
      <w:r w:rsidR="001B23E0">
        <w:t xml:space="preserve"> </w:t>
      </w:r>
      <w:r w:rsidR="00D17B66">
        <w:t>environmental impact assessment</w:t>
      </w:r>
      <w:r w:rsidR="00A4244F">
        <w:t xml:space="preserve"> </w:t>
      </w:r>
      <w:r w:rsidR="001B23E0">
        <w:t xml:space="preserve">is required in all cases, </w:t>
      </w:r>
      <w:r w:rsidR="00097FC5">
        <w:t xml:space="preserve">the assessment </w:t>
      </w:r>
      <w:r w:rsidR="001B23E0">
        <w:t xml:space="preserve">should start with a very simple conservative </w:t>
      </w:r>
      <w:r w:rsidR="00097FC5">
        <w:t xml:space="preserve">methodology </w:t>
      </w:r>
      <w:r w:rsidR="001B23E0">
        <w:t>followed by increasing level</w:t>
      </w:r>
      <w:r w:rsidR="00107FF5">
        <w:t>s</w:t>
      </w:r>
      <w:r w:rsidR="001B23E0">
        <w:t xml:space="preserve"> of complexity as necessary</w:t>
      </w:r>
      <w:r w:rsidR="00BC03E9">
        <w:t xml:space="preserve"> to reach to a defensible conclusion. This approach </w:t>
      </w:r>
      <w:r w:rsidR="00AD79B0">
        <w:t xml:space="preserve">will </w:t>
      </w:r>
      <w:r w:rsidR="00BC03E9">
        <w:t>ensure</w:t>
      </w:r>
      <w:r w:rsidR="00AD79B0">
        <w:t xml:space="preserve"> a</w:t>
      </w:r>
      <w:r w:rsidR="00BC03E9">
        <w:t xml:space="preserve"> high level of transparency and is consistent with the concept of a graded approach.</w:t>
      </w:r>
    </w:p>
    <w:p w:rsidR="009F083C" w:rsidRPr="00C9026A" w:rsidRDefault="002B2BF0" w:rsidP="00A57A35">
      <w:pPr>
        <w:pStyle w:val="Heading4"/>
        <w:ind w:left="0"/>
      </w:pPr>
      <w:r w:rsidRPr="00C9026A">
        <w:t>A</w:t>
      </w:r>
      <w:r w:rsidR="00C16A64" w:rsidRPr="00C9026A">
        <w:t xml:space="preserve"> </w:t>
      </w:r>
      <w:r w:rsidR="001B1692" w:rsidRPr="00C9026A">
        <w:t xml:space="preserve">radiological </w:t>
      </w:r>
      <w:r w:rsidRPr="00C9026A">
        <w:t xml:space="preserve">environmental </w:t>
      </w:r>
      <w:r w:rsidR="001B1692" w:rsidRPr="00C9026A">
        <w:t xml:space="preserve">impact </w:t>
      </w:r>
      <w:r w:rsidR="00C16A64" w:rsidRPr="00C9026A">
        <w:t xml:space="preserve">assessment </w:t>
      </w:r>
      <w:r w:rsidR="00A44B42" w:rsidRPr="00C9026A">
        <w:t xml:space="preserve">done </w:t>
      </w:r>
      <w:r w:rsidR="00AD79B0">
        <w:t>as part of</w:t>
      </w:r>
      <w:r w:rsidR="00AD79B0" w:rsidRPr="00C9026A">
        <w:t xml:space="preserve"> </w:t>
      </w:r>
      <w:r w:rsidR="006945DE">
        <w:t xml:space="preserve">a </w:t>
      </w:r>
      <w:r w:rsidR="009A249F">
        <w:t>governmental decision</w:t>
      </w:r>
      <w:r w:rsidR="00AD79B0">
        <w:t xml:space="preserve"> </w:t>
      </w:r>
      <w:r w:rsidR="009A249F">
        <w:t>making</w:t>
      </w:r>
      <w:r w:rsidR="00A9539E" w:rsidRPr="00C9026A">
        <w:t xml:space="preserve"> p</w:t>
      </w:r>
      <w:r w:rsidR="001B1692" w:rsidRPr="00C9026A">
        <w:t xml:space="preserve">rocess </w:t>
      </w:r>
      <w:r w:rsidR="00F95984" w:rsidRPr="00C9026A">
        <w:t xml:space="preserve">is normally done at </w:t>
      </w:r>
      <w:r w:rsidR="006945DE">
        <w:t xml:space="preserve">the </w:t>
      </w:r>
      <w:r w:rsidR="00F95984" w:rsidRPr="00C9026A">
        <w:t xml:space="preserve">early stages of development </w:t>
      </w:r>
      <w:r w:rsidR="00AD79B0">
        <w:t xml:space="preserve">of the project </w:t>
      </w:r>
      <w:r w:rsidR="00F95984" w:rsidRPr="00C9026A">
        <w:t>and</w:t>
      </w:r>
      <w:r w:rsidR="00D0603D" w:rsidRPr="00C9026A">
        <w:t>,</w:t>
      </w:r>
      <w:r w:rsidR="00A44B42" w:rsidRPr="00C9026A">
        <w:t xml:space="preserve"> typically</w:t>
      </w:r>
      <w:r w:rsidR="00D0603D" w:rsidRPr="00C9026A">
        <w:t>,</w:t>
      </w:r>
      <w:r w:rsidR="00A44B42" w:rsidRPr="00C9026A">
        <w:t xml:space="preserve"> has a lower level of detail</w:t>
      </w:r>
      <w:r w:rsidR="00DC1FAA" w:rsidRPr="00C9026A">
        <w:t xml:space="preserve"> and uses less specific data</w:t>
      </w:r>
      <w:r w:rsidR="00A44B42" w:rsidRPr="00C9026A">
        <w:t xml:space="preserve"> than a </w:t>
      </w:r>
      <w:r w:rsidR="00AD79B0" w:rsidRPr="00C9026A">
        <w:t xml:space="preserve">radiological </w:t>
      </w:r>
      <w:r w:rsidR="00AD79B0" w:rsidRPr="00C9026A">
        <w:lastRenderedPageBreak/>
        <w:t xml:space="preserve">environmental impact </w:t>
      </w:r>
      <w:r w:rsidR="00A44B42" w:rsidRPr="00C9026A">
        <w:t xml:space="preserve">assessment </w:t>
      </w:r>
      <w:r w:rsidR="00DC1FAA" w:rsidRPr="00C9026A">
        <w:t xml:space="preserve">conducted </w:t>
      </w:r>
      <w:r w:rsidR="00AD79B0">
        <w:t>as part of</w:t>
      </w:r>
      <w:r w:rsidR="00AD79B0" w:rsidRPr="00C9026A">
        <w:t xml:space="preserve"> </w:t>
      </w:r>
      <w:r w:rsidR="00A44B42" w:rsidRPr="00C9026A">
        <w:t>a</w:t>
      </w:r>
      <w:r w:rsidR="008C02DF">
        <w:t>n</w:t>
      </w:r>
      <w:r w:rsidR="00A44B42" w:rsidRPr="00C9026A">
        <w:t xml:space="preserve"> authorization process</w:t>
      </w:r>
      <w:r w:rsidR="00AD79B0">
        <w:t>;</w:t>
      </w:r>
      <w:r w:rsidR="006945DE">
        <w:t xml:space="preserve"> </w:t>
      </w:r>
      <w:r w:rsidR="00AD79B0">
        <w:t>however, both radiological environmental impact assessment</w:t>
      </w:r>
      <w:r w:rsidR="00107FF5">
        <w:t>s</w:t>
      </w:r>
      <w:r w:rsidR="00AD79B0">
        <w:t xml:space="preserve"> should be</w:t>
      </w:r>
      <w:r w:rsidR="00852180" w:rsidRPr="00C9026A">
        <w:t xml:space="preserve"> consistent</w:t>
      </w:r>
      <w:r w:rsidR="006945DE">
        <w:t xml:space="preserve"> with </w:t>
      </w:r>
      <w:r w:rsidR="00AD79B0">
        <w:t>one another</w:t>
      </w:r>
      <w:r w:rsidR="00852180" w:rsidRPr="00C9026A">
        <w:t>.</w:t>
      </w:r>
      <w:r w:rsidR="002936FF" w:rsidRPr="00C9026A">
        <w:t xml:space="preserve"> </w:t>
      </w:r>
    </w:p>
    <w:p w:rsidR="007B1691" w:rsidRPr="00C9026A" w:rsidRDefault="007B1691" w:rsidP="00A57A35">
      <w:pPr>
        <w:pStyle w:val="Heading4"/>
        <w:ind w:left="0"/>
      </w:pPr>
      <w:r w:rsidRPr="00C9026A">
        <w:t xml:space="preserve">For some types of </w:t>
      </w:r>
      <w:r w:rsidR="0070217C" w:rsidRPr="00C9026A">
        <w:t>facilit</w:t>
      </w:r>
      <w:r w:rsidR="00AD79B0">
        <w:t>y</w:t>
      </w:r>
      <w:r w:rsidR="006004CA">
        <w:t xml:space="preserve"> or activit</w:t>
      </w:r>
      <w:r w:rsidR="00AD79B0">
        <w:t>y</w:t>
      </w:r>
      <w:r w:rsidRPr="00C9026A">
        <w:t>, for example hospitals</w:t>
      </w:r>
      <w:r w:rsidR="006004CA">
        <w:t xml:space="preserve"> using radionuclides for diagnosis</w:t>
      </w:r>
      <w:r w:rsidRPr="00C9026A">
        <w:t xml:space="preserve"> </w:t>
      </w:r>
      <w:r w:rsidR="00C53F4B">
        <w:t xml:space="preserve">only </w:t>
      </w:r>
      <w:r w:rsidRPr="00C9026A">
        <w:t xml:space="preserve">or </w:t>
      </w:r>
      <w:r w:rsidR="006004CA">
        <w:t xml:space="preserve">research </w:t>
      </w:r>
      <w:r w:rsidRPr="00C9026A">
        <w:t>laboratories</w:t>
      </w:r>
      <w:r w:rsidR="006004CA">
        <w:t xml:space="preserve"> using small amounts of radionuclides</w:t>
      </w:r>
      <w:r w:rsidRPr="00C9026A">
        <w:t>, there may be no requirem</w:t>
      </w:r>
      <w:r w:rsidR="009F083C" w:rsidRPr="00C9026A">
        <w:t>ent for a</w:t>
      </w:r>
      <w:r w:rsidRPr="00C9026A">
        <w:t xml:space="preserve"> </w:t>
      </w:r>
      <w:r w:rsidR="00841C52" w:rsidRPr="00C9026A">
        <w:t xml:space="preserve">detailed </w:t>
      </w:r>
      <w:r w:rsidR="009F083C" w:rsidRPr="00C9026A">
        <w:t xml:space="preserve">radiological </w:t>
      </w:r>
      <w:r w:rsidR="008257D4" w:rsidRPr="00C9026A">
        <w:t xml:space="preserve">environmental </w:t>
      </w:r>
      <w:r w:rsidR="00AD79B0">
        <w:t xml:space="preserve">impact </w:t>
      </w:r>
      <w:r w:rsidR="009F083C" w:rsidRPr="00C9026A">
        <w:t>assessment</w:t>
      </w:r>
      <w:r w:rsidR="002936FF" w:rsidRPr="00C9026A">
        <w:t xml:space="preserve"> </w:t>
      </w:r>
      <w:r w:rsidR="00AD79B0">
        <w:t>to be carried out as part of</w:t>
      </w:r>
      <w:r w:rsidR="00AD79B0" w:rsidRPr="00C9026A">
        <w:t xml:space="preserve"> </w:t>
      </w:r>
      <w:r w:rsidR="00266087" w:rsidRPr="00C9026A">
        <w:t xml:space="preserve">a </w:t>
      </w:r>
      <w:r w:rsidR="00A21D3F" w:rsidRPr="00C9026A">
        <w:t xml:space="preserve">governmental </w:t>
      </w:r>
      <w:r w:rsidR="00266087" w:rsidRPr="00C9026A">
        <w:t>decision</w:t>
      </w:r>
      <w:r w:rsidR="00AD79B0">
        <w:t xml:space="preserve"> </w:t>
      </w:r>
      <w:r w:rsidR="00A21D3F" w:rsidRPr="00C9026A">
        <w:t>making</w:t>
      </w:r>
      <w:r w:rsidR="00266087" w:rsidRPr="00C9026A">
        <w:t xml:space="preserve"> process, </w:t>
      </w:r>
      <w:r w:rsidRPr="00C9026A">
        <w:t xml:space="preserve">because </w:t>
      </w:r>
      <w:r w:rsidR="00AD79B0">
        <w:t xml:space="preserve">no </w:t>
      </w:r>
      <w:r w:rsidRPr="00C9026A">
        <w:t xml:space="preserve">significant impact to the environment is expected </w:t>
      </w:r>
      <w:r w:rsidR="00507874" w:rsidRPr="00C9026A">
        <w:t>either</w:t>
      </w:r>
      <w:r w:rsidR="000772EC" w:rsidRPr="00C9026A">
        <w:t xml:space="preserve"> for </w:t>
      </w:r>
      <w:r w:rsidR="006945DE">
        <w:t xml:space="preserve">discharges during </w:t>
      </w:r>
      <w:r w:rsidR="000772EC" w:rsidRPr="00C9026A">
        <w:t xml:space="preserve">normal </w:t>
      </w:r>
      <w:r w:rsidR="006945DE">
        <w:t xml:space="preserve">operation </w:t>
      </w:r>
      <w:r w:rsidR="00507874" w:rsidRPr="00C9026A">
        <w:t>or</w:t>
      </w:r>
      <w:r w:rsidRPr="00C9026A">
        <w:t xml:space="preserve"> </w:t>
      </w:r>
      <w:r w:rsidR="00AD79B0">
        <w:t xml:space="preserve">for </w:t>
      </w:r>
      <w:r w:rsidRPr="00C9026A">
        <w:t>accident</w:t>
      </w:r>
      <w:r w:rsidR="009B1D08" w:rsidRPr="00C9026A">
        <w:t>al</w:t>
      </w:r>
      <w:r w:rsidRPr="00C9026A">
        <w:t xml:space="preserve"> </w:t>
      </w:r>
      <w:r w:rsidR="006945DE">
        <w:t>releases</w:t>
      </w:r>
      <w:r w:rsidR="009B1D08" w:rsidRPr="00C9026A">
        <w:t>; h</w:t>
      </w:r>
      <w:r w:rsidRPr="00C9026A">
        <w:t xml:space="preserve">owever, </w:t>
      </w:r>
      <w:r w:rsidR="00AD79B0">
        <w:t xml:space="preserve">the </w:t>
      </w:r>
      <w:r w:rsidRPr="00C9026A">
        <w:t xml:space="preserve">national </w:t>
      </w:r>
      <w:r w:rsidR="00C16A64" w:rsidRPr="00C9026A">
        <w:t>competent authorit</w:t>
      </w:r>
      <w:r w:rsidR="00AD79B0">
        <w:t>y</w:t>
      </w:r>
      <w:r w:rsidRPr="00C9026A">
        <w:t xml:space="preserve"> may establish </w:t>
      </w:r>
      <w:r w:rsidR="00AD79B0">
        <w:t>its</w:t>
      </w:r>
      <w:r w:rsidR="00AD79B0" w:rsidRPr="00C9026A">
        <w:t xml:space="preserve"> </w:t>
      </w:r>
      <w:r w:rsidRPr="00C9026A">
        <w:t xml:space="preserve">own requirements </w:t>
      </w:r>
      <w:r w:rsidR="00AD79B0">
        <w:t>for the</w:t>
      </w:r>
      <w:r w:rsidR="00AD79B0" w:rsidRPr="00C9026A">
        <w:t xml:space="preserve"> </w:t>
      </w:r>
      <w:r w:rsidRPr="00C9026A">
        <w:t xml:space="preserve">need </w:t>
      </w:r>
      <w:r w:rsidR="00AD79B0">
        <w:t>for</w:t>
      </w:r>
      <w:r w:rsidR="00521CD2" w:rsidRPr="00C9026A">
        <w:t xml:space="preserve"> </w:t>
      </w:r>
      <w:r w:rsidRPr="00C9026A">
        <w:t xml:space="preserve">a </w:t>
      </w:r>
      <w:r w:rsidR="00AD79B0" w:rsidRPr="00C9026A">
        <w:t xml:space="preserve">radiological environmental </w:t>
      </w:r>
      <w:r w:rsidR="00AD79B0">
        <w:t xml:space="preserve">impact </w:t>
      </w:r>
      <w:r w:rsidR="00841C52" w:rsidRPr="00C9026A">
        <w:t>assessment</w:t>
      </w:r>
      <w:r w:rsidR="00AD79B0">
        <w:t xml:space="preserve"> for such activities and facilities</w:t>
      </w:r>
      <w:r w:rsidRPr="00C9026A">
        <w:t>.</w:t>
      </w:r>
    </w:p>
    <w:p w:rsidR="007B1691" w:rsidRPr="00C9026A" w:rsidRDefault="00A21D3F" w:rsidP="00A57A35">
      <w:pPr>
        <w:pStyle w:val="Heading4"/>
        <w:ind w:left="0"/>
      </w:pPr>
      <w:r w:rsidRPr="00C9026A">
        <w:t>A</w:t>
      </w:r>
      <w:r w:rsidR="008257D4" w:rsidRPr="00C9026A">
        <w:t xml:space="preserve"> radiological environmental impact</w:t>
      </w:r>
      <w:r w:rsidR="009F083C" w:rsidRPr="00C9026A">
        <w:t xml:space="preserve"> </w:t>
      </w:r>
      <w:r w:rsidR="00841C52" w:rsidRPr="00C9026A">
        <w:t xml:space="preserve">assessment </w:t>
      </w:r>
      <w:r w:rsidR="00AD79B0">
        <w:t>as part of</w:t>
      </w:r>
      <w:r w:rsidR="00AD79B0" w:rsidRPr="00C9026A">
        <w:t xml:space="preserve"> </w:t>
      </w:r>
      <w:r w:rsidR="00841C52" w:rsidRPr="00C9026A">
        <w:t xml:space="preserve">a </w:t>
      </w:r>
      <w:r w:rsidRPr="00C9026A">
        <w:t>governmental decision</w:t>
      </w:r>
      <w:r w:rsidR="00AD79B0">
        <w:t xml:space="preserve"> </w:t>
      </w:r>
      <w:r w:rsidRPr="00C9026A">
        <w:t xml:space="preserve">making </w:t>
      </w:r>
      <w:r w:rsidR="00841C52" w:rsidRPr="00C9026A">
        <w:t>process</w:t>
      </w:r>
      <w:r w:rsidR="009F083C" w:rsidRPr="00C9026A">
        <w:t xml:space="preserve"> </w:t>
      </w:r>
      <w:r w:rsidR="00AD79B0">
        <w:t>may be carried out in</w:t>
      </w:r>
      <w:r w:rsidR="009F083C" w:rsidRPr="00C9026A">
        <w:t xml:space="preserve"> a single </w:t>
      </w:r>
      <w:r w:rsidR="00AD79B0">
        <w:t xml:space="preserve">phase </w:t>
      </w:r>
      <w:r w:rsidR="009F083C" w:rsidRPr="00C9026A">
        <w:t xml:space="preserve">or </w:t>
      </w:r>
      <w:r w:rsidR="00AD79B0">
        <w:t xml:space="preserve">in </w:t>
      </w:r>
      <w:r w:rsidR="009F083C" w:rsidRPr="00C9026A">
        <w:t xml:space="preserve">multiple phases. </w:t>
      </w:r>
      <w:r w:rsidR="00841C52" w:rsidRPr="00C9026A">
        <w:t>T</w:t>
      </w:r>
      <w:r w:rsidR="002936FF" w:rsidRPr="00C9026A">
        <w:t>he</w:t>
      </w:r>
      <w:r w:rsidR="007B1691" w:rsidRPr="00C9026A">
        <w:t xml:space="preserve"> initial </w:t>
      </w:r>
      <w:r w:rsidR="002936FF" w:rsidRPr="00C9026A">
        <w:t>assessment</w:t>
      </w:r>
      <w:r w:rsidR="007B1691" w:rsidRPr="00C9026A">
        <w:t xml:space="preserve"> may be relatively descriptive in nature and based on generic data and </w:t>
      </w:r>
      <w:r w:rsidR="00EF004B">
        <w:t>cautious</w:t>
      </w:r>
      <w:r w:rsidR="00EF004B" w:rsidRPr="00C9026A">
        <w:t xml:space="preserve"> </w:t>
      </w:r>
      <w:r w:rsidR="007B1691" w:rsidRPr="00C9026A">
        <w:t>assumptions</w:t>
      </w:r>
      <w:r w:rsidR="009F083C" w:rsidRPr="00C9026A">
        <w:t xml:space="preserve">, whilst </w:t>
      </w:r>
      <w:r w:rsidR="00F94803" w:rsidRPr="00C9026A">
        <w:t xml:space="preserve">further assessment may include more realistic </w:t>
      </w:r>
      <w:r w:rsidR="009B1D08" w:rsidRPr="00C9026A">
        <w:t xml:space="preserve">models </w:t>
      </w:r>
      <w:r w:rsidR="00F94803" w:rsidRPr="00C9026A">
        <w:t>and site</w:t>
      </w:r>
      <w:r w:rsidR="00AD79B0">
        <w:t xml:space="preserve"> </w:t>
      </w:r>
      <w:r w:rsidR="00F94803" w:rsidRPr="00C9026A">
        <w:t>specific information</w:t>
      </w:r>
      <w:r w:rsidR="007B1691" w:rsidRPr="00C9026A">
        <w:t xml:space="preserve">. </w:t>
      </w:r>
      <w:r w:rsidR="00F94803" w:rsidRPr="00C9026A">
        <w:t>G</w:t>
      </w:r>
      <w:r w:rsidR="007B1691" w:rsidRPr="00C9026A">
        <w:t>eneric</w:t>
      </w:r>
      <w:r w:rsidR="00FF73C0" w:rsidRPr="00C9026A">
        <w:t xml:space="preserve"> assessments</w:t>
      </w:r>
      <w:r w:rsidR="007B1691" w:rsidRPr="00C9026A">
        <w:t xml:space="preserve"> for similar facilities already in operation </w:t>
      </w:r>
      <w:r w:rsidR="006945DE">
        <w:t>at</w:t>
      </w:r>
      <w:r w:rsidR="007B1691" w:rsidRPr="00C9026A">
        <w:t xml:space="preserve"> </w:t>
      </w:r>
      <w:r w:rsidR="006945DE">
        <w:t>other</w:t>
      </w:r>
      <w:r w:rsidR="007B1691" w:rsidRPr="00C9026A">
        <w:t xml:space="preserve"> sites can provide useful information</w:t>
      </w:r>
      <w:r w:rsidR="00E43D7C" w:rsidRPr="00C9026A">
        <w:t>.</w:t>
      </w:r>
    </w:p>
    <w:p w:rsidR="00C16B35" w:rsidRPr="00C9026A" w:rsidRDefault="00573F14" w:rsidP="00A57A35">
      <w:pPr>
        <w:pStyle w:val="Heading2"/>
        <w:rPr>
          <w:lang w:val="en-GB"/>
        </w:rPr>
      </w:pPr>
      <w:bookmarkStart w:id="46" w:name="_Toc447613478"/>
      <w:bookmarkStart w:id="47" w:name="_Toc450204001"/>
      <w:r w:rsidRPr="00C9026A">
        <w:rPr>
          <w:lang w:val="en-GB"/>
        </w:rPr>
        <w:t>Assessments for other purposes</w:t>
      </w:r>
      <w:bookmarkEnd w:id="46"/>
      <w:bookmarkEnd w:id="47"/>
    </w:p>
    <w:p w:rsidR="00B4168E" w:rsidRPr="00C9026A" w:rsidRDefault="00AD79B0" w:rsidP="00A57A35">
      <w:pPr>
        <w:pStyle w:val="Heading4"/>
        <w:ind w:left="0"/>
      </w:pPr>
      <w:r>
        <w:t xml:space="preserve">The </w:t>
      </w:r>
      <w:r w:rsidR="003E362C" w:rsidRPr="00C9026A">
        <w:t xml:space="preserve">operator </w:t>
      </w:r>
      <w:r>
        <w:t xml:space="preserve">of a facility or </w:t>
      </w:r>
      <w:r w:rsidR="006552CA">
        <w:t xml:space="preserve">an </w:t>
      </w:r>
      <w:r>
        <w:t xml:space="preserve">activity </w:t>
      </w:r>
      <w:r w:rsidR="00980B17" w:rsidRPr="00C9026A">
        <w:t>can conduct a</w:t>
      </w:r>
      <w:r w:rsidR="0070217C" w:rsidRPr="00C9026A">
        <w:t xml:space="preserve"> </w:t>
      </w:r>
      <w:r w:rsidR="00114D5B" w:rsidRPr="00C9026A">
        <w:t xml:space="preserve">radiological environmental impact assessment </w:t>
      </w:r>
      <w:r w:rsidR="00490D05" w:rsidRPr="00C9026A">
        <w:t>with the objective of introducing improvements in the safety systems of</w:t>
      </w:r>
      <w:r w:rsidR="00B47A08" w:rsidRPr="00C9026A">
        <w:t xml:space="preserve"> </w:t>
      </w:r>
      <w:r w:rsidR="006552CA">
        <w:t>the</w:t>
      </w:r>
      <w:r w:rsidR="006552CA" w:rsidRPr="00C9026A">
        <w:t xml:space="preserve"> </w:t>
      </w:r>
      <w:r w:rsidR="00B47A08" w:rsidRPr="00C9026A">
        <w:t>facility</w:t>
      </w:r>
      <w:r w:rsidR="00490D05" w:rsidRPr="00C9026A">
        <w:t xml:space="preserve"> or activity</w:t>
      </w:r>
      <w:r w:rsidR="006B33DC" w:rsidRPr="00C9026A">
        <w:t xml:space="preserve">. </w:t>
      </w:r>
      <w:r w:rsidR="00980B17" w:rsidRPr="00C9026A">
        <w:t>F</w:t>
      </w:r>
      <w:r w:rsidR="00B47A08" w:rsidRPr="00C9026A">
        <w:t>or example</w:t>
      </w:r>
      <w:r w:rsidR="006B33DC" w:rsidRPr="00C9026A">
        <w:t>,</w:t>
      </w:r>
      <w:r w:rsidR="00B47A08" w:rsidRPr="00C9026A">
        <w:t xml:space="preserve"> </w:t>
      </w:r>
      <w:r w:rsidR="00980B17" w:rsidRPr="00C9026A">
        <w:t>as part of a process to evaluate the safety performance</w:t>
      </w:r>
      <w:r w:rsidR="003F5919" w:rsidRPr="00C9026A">
        <w:t xml:space="preserve"> of a</w:t>
      </w:r>
      <w:r w:rsidR="00490D05" w:rsidRPr="00C9026A">
        <w:t xml:space="preserve"> facility or a</w:t>
      </w:r>
      <w:r w:rsidR="003F5919" w:rsidRPr="00C9026A">
        <w:t>n activ</w:t>
      </w:r>
      <w:r w:rsidR="00490D05" w:rsidRPr="00C9026A">
        <w:t>ity</w:t>
      </w:r>
      <w:r w:rsidR="003F5919" w:rsidRPr="00C9026A">
        <w:t xml:space="preserve">, </w:t>
      </w:r>
      <w:r w:rsidR="006552CA">
        <w:t>the</w:t>
      </w:r>
      <w:r w:rsidR="006552CA" w:rsidRPr="00C9026A">
        <w:t xml:space="preserve"> </w:t>
      </w:r>
      <w:r w:rsidR="003F5919" w:rsidRPr="00C9026A">
        <w:t>operator can evaluate the</w:t>
      </w:r>
      <w:r w:rsidR="003649DB" w:rsidRPr="00C9026A">
        <w:t xml:space="preserve"> </w:t>
      </w:r>
      <w:r w:rsidR="007220F5">
        <w:t xml:space="preserve">efficiency of the </w:t>
      </w:r>
      <w:r w:rsidR="003649DB" w:rsidRPr="00C9026A">
        <w:t>system</w:t>
      </w:r>
      <w:r w:rsidR="00B47A08" w:rsidRPr="00C9026A">
        <w:t>s</w:t>
      </w:r>
      <w:r w:rsidR="003649DB" w:rsidRPr="00C9026A">
        <w:t xml:space="preserve"> to reduce radioactive </w:t>
      </w:r>
      <w:r w:rsidR="006945DE">
        <w:t>discharges</w:t>
      </w:r>
      <w:r w:rsidR="003649DB" w:rsidRPr="00C9026A">
        <w:t xml:space="preserve"> to the environment</w:t>
      </w:r>
      <w:r w:rsidR="00B47A08" w:rsidRPr="00C9026A">
        <w:t xml:space="preserve"> (e.</w:t>
      </w:r>
      <w:r w:rsidR="006945DE">
        <w:t>g.</w:t>
      </w:r>
      <w:r w:rsidR="00B47A08" w:rsidRPr="00C9026A">
        <w:t xml:space="preserve"> </w:t>
      </w:r>
      <w:r w:rsidR="00AD7497" w:rsidRPr="00C9026A">
        <w:t xml:space="preserve">aerosol </w:t>
      </w:r>
      <w:r w:rsidR="00B47A08" w:rsidRPr="00C9026A">
        <w:t>filters or decay tanks</w:t>
      </w:r>
      <w:r w:rsidR="006945DE">
        <w:t xml:space="preserve"> used during normal operation</w:t>
      </w:r>
      <w:r w:rsidR="00B47A08" w:rsidRPr="00C9026A">
        <w:t xml:space="preserve">) or </w:t>
      </w:r>
      <w:r w:rsidR="007A1ABA" w:rsidRPr="00C9026A">
        <w:t xml:space="preserve">the </w:t>
      </w:r>
      <w:r w:rsidR="00B47A08" w:rsidRPr="00C9026A">
        <w:t xml:space="preserve">systems to </w:t>
      </w:r>
      <w:r w:rsidR="006552CA">
        <w:t xml:space="preserve">reduce </w:t>
      </w:r>
      <w:r w:rsidR="00B47A08" w:rsidRPr="00C9026A">
        <w:t xml:space="preserve">releases </w:t>
      </w:r>
      <w:r w:rsidR="006552CA">
        <w:t>in</w:t>
      </w:r>
      <w:r w:rsidR="006552CA" w:rsidRPr="00C9026A">
        <w:t xml:space="preserve"> </w:t>
      </w:r>
      <w:r w:rsidR="006552CA">
        <w:t xml:space="preserve">an </w:t>
      </w:r>
      <w:r w:rsidR="00B47A08" w:rsidRPr="00C9026A">
        <w:t>accident</w:t>
      </w:r>
      <w:r w:rsidR="006B33DC" w:rsidRPr="00C9026A">
        <w:t xml:space="preserve"> (e.</w:t>
      </w:r>
      <w:r w:rsidR="006945DE">
        <w:t>g.</w:t>
      </w:r>
      <w:r w:rsidR="006B33DC" w:rsidRPr="00C9026A">
        <w:t xml:space="preserve"> emergency filters)</w:t>
      </w:r>
      <w:r w:rsidR="003649DB" w:rsidRPr="00C9026A">
        <w:t xml:space="preserve">. </w:t>
      </w:r>
      <w:r w:rsidR="00516018">
        <w:t>For</w:t>
      </w:r>
      <w:r w:rsidR="00136C2F" w:rsidRPr="00C9026A">
        <w:t xml:space="preserve"> </w:t>
      </w:r>
      <w:r w:rsidR="006B33DC" w:rsidRPr="00C9026A">
        <w:t>such</w:t>
      </w:r>
      <w:r w:rsidR="00136C2F" w:rsidRPr="00C9026A">
        <w:t xml:space="preserve"> assessments, the approaches described in this </w:t>
      </w:r>
      <w:r w:rsidR="006552CA">
        <w:t>S</w:t>
      </w:r>
      <w:r w:rsidR="00136C2F" w:rsidRPr="00C9026A">
        <w:t xml:space="preserve">afety </w:t>
      </w:r>
      <w:r w:rsidR="006552CA">
        <w:t>G</w:t>
      </w:r>
      <w:r w:rsidR="00136C2F" w:rsidRPr="00C9026A">
        <w:t xml:space="preserve">uide </w:t>
      </w:r>
      <w:r w:rsidR="00CD5346" w:rsidRPr="00C9026A">
        <w:t>should</w:t>
      </w:r>
      <w:r w:rsidR="00136C2F" w:rsidRPr="00C9026A">
        <w:t xml:space="preserve"> be applied to ensure that all the aspects of public </w:t>
      </w:r>
      <w:r w:rsidR="006552CA">
        <w:t xml:space="preserve">protection </w:t>
      </w:r>
      <w:r w:rsidR="00136C2F" w:rsidRPr="00C9026A">
        <w:t>and environmental protection are considered.</w:t>
      </w:r>
    </w:p>
    <w:p w:rsidR="003B53EE" w:rsidRPr="00C9026A" w:rsidRDefault="003B53EE" w:rsidP="00A57A35">
      <w:pPr>
        <w:pStyle w:val="Heading2"/>
        <w:rPr>
          <w:lang w:val="en-GB"/>
        </w:rPr>
      </w:pPr>
      <w:bookmarkStart w:id="48" w:name="_Toc447613479"/>
      <w:bookmarkStart w:id="49" w:name="_Toc450204002"/>
      <w:r w:rsidRPr="00C9026A">
        <w:rPr>
          <w:lang w:val="en-GB"/>
        </w:rPr>
        <w:t xml:space="preserve">Communication </w:t>
      </w:r>
      <w:r w:rsidR="003649DB" w:rsidRPr="00C9026A">
        <w:rPr>
          <w:lang w:val="en-GB"/>
        </w:rPr>
        <w:t>of results</w:t>
      </w:r>
      <w:bookmarkEnd w:id="48"/>
      <w:bookmarkEnd w:id="49"/>
    </w:p>
    <w:p w:rsidR="00C95680" w:rsidRPr="00C9026A" w:rsidRDefault="00E36731" w:rsidP="00A57A35">
      <w:pPr>
        <w:pStyle w:val="Heading4"/>
        <w:ind w:left="0"/>
      </w:pPr>
      <w:r w:rsidRPr="00C9026A">
        <w:t xml:space="preserve">Requirement 36 </w:t>
      </w:r>
      <w:r w:rsidR="00E52027" w:rsidRPr="00C9026A">
        <w:t>of GSR</w:t>
      </w:r>
      <w:r w:rsidR="00791200" w:rsidRPr="00C9026A">
        <w:t xml:space="preserve"> Part 1 </w:t>
      </w:r>
      <w:r w:rsidR="00DC6D9C">
        <w:t>(Rev. 1)</w:t>
      </w:r>
      <w:r w:rsidR="00DC6D9C" w:rsidRPr="00C9026A">
        <w:t xml:space="preserve"> </w:t>
      </w:r>
      <w:r w:rsidR="00E67E8F" w:rsidRPr="00C9026A">
        <w:t>[</w:t>
      </w:r>
      <w:r w:rsidR="00C53F4B">
        <w:t>36</w:t>
      </w:r>
      <w:r w:rsidR="00E67E8F" w:rsidRPr="00C9026A">
        <w:t>]</w:t>
      </w:r>
      <w:r w:rsidR="001906B0" w:rsidRPr="00C9026A">
        <w:t xml:space="preserve"> </w:t>
      </w:r>
      <w:r w:rsidR="00641539">
        <w:t>states</w:t>
      </w:r>
      <w:r w:rsidR="00641539" w:rsidRPr="00C9026A">
        <w:t xml:space="preserve"> </w:t>
      </w:r>
      <w:r w:rsidR="00791200" w:rsidRPr="00C9026A">
        <w:t xml:space="preserve">that the regulatory body, either directly or through </w:t>
      </w:r>
      <w:r w:rsidR="00E52027" w:rsidRPr="00C9026A">
        <w:t xml:space="preserve">the </w:t>
      </w:r>
      <w:r w:rsidR="00641539">
        <w:t>operator</w:t>
      </w:r>
      <w:r w:rsidR="00641539" w:rsidRPr="00C9026A">
        <w:t xml:space="preserve"> </w:t>
      </w:r>
      <w:r w:rsidR="00791200" w:rsidRPr="00C9026A">
        <w:t xml:space="preserve">of a facility or activity, </w:t>
      </w:r>
      <w:r w:rsidR="00641539">
        <w:t>is required to</w:t>
      </w:r>
      <w:r w:rsidR="00641539" w:rsidRPr="00C9026A">
        <w:t xml:space="preserve"> </w:t>
      </w:r>
      <w:r w:rsidR="00791200" w:rsidRPr="00C9026A">
        <w:t xml:space="preserve">establish </w:t>
      </w:r>
      <w:r w:rsidR="00112E11" w:rsidRPr="00C9026A">
        <w:t xml:space="preserve">effective </w:t>
      </w:r>
      <w:r w:rsidR="00791200" w:rsidRPr="00C9026A">
        <w:t>mechanism</w:t>
      </w:r>
      <w:r w:rsidR="00641539">
        <w:t>s</w:t>
      </w:r>
      <w:r w:rsidR="00791200" w:rsidRPr="00C9026A">
        <w:t xml:space="preserve"> of communication to</w:t>
      </w:r>
      <w:r w:rsidR="00641539">
        <w:t xml:space="preserve"> inform</w:t>
      </w:r>
      <w:r w:rsidR="00791200" w:rsidRPr="00C9026A">
        <w:t xml:space="preserve"> interested parties about </w:t>
      </w:r>
      <w:r w:rsidRPr="00C9026A">
        <w:t xml:space="preserve">the </w:t>
      </w:r>
      <w:r w:rsidR="00791200" w:rsidRPr="00C9026A">
        <w:t>possible radiation risk</w:t>
      </w:r>
      <w:r w:rsidRPr="00C9026A">
        <w:t>s</w:t>
      </w:r>
      <w:r w:rsidR="00791200" w:rsidRPr="00C9026A">
        <w:t xml:space="preserve"> </w:t>
      </w:r>
      <w:r w:rsidR="00112E11" w:rsidRPr="00C9026A">
        <w:t xml:space="preserve">associated with the facility or activity </w:t>
      </w:r>
      <w:r w:rsidR="00791200" w:rsidRPr="00C9026A">
        <w:t xml:space="preserve">and </w:t>
      </w:r>
      <w:r w:rsidR="00112E11" w:rsidRPr="00C9026A">
        <w:t xml:space="preserve">about </w:t>
      </w:r>
      <w:r w:rsidR="00791200" w:rsidRPr="00C9026A">
        <w:t>the processes and decisions of the regulatory body</w:t>
      </w:r>
      <w:r w:rsidR="007220F5">
        <w:t xml:space="preserve">. </w:t>
      </w:r>
      <w:r w:rsidR="00791200" w:rsidRPr="00C9026A">
        <w:t>The factors in Table 1</w:t>
      </w:r>
      <w:r w:rsidR="001D5E9A" w:rsidRPr="00C9026A">
        <w:t xml:space="preserve"> </w:t>
      </w:r>
      <w:r w:rsidR="00791200" w:rsidRPr="00C9026A">
        <w:t xml:space="preserve">should be considered when establishing the content and the level of detail in the information </w:t>
      </w:r>
      <w:r w:rsidR="00641539">
        <w:t xml:space="preserve">to be </w:t>
      </w:r>
      <w:r w:rsidR="00791200" w:rsidRPr="00C9026A">
        <w:t>provi</w:t>
      </w:r>
      <w:r w:rsidR="00641539">
        <w:t>ded</w:t>
      </w:r>
      <w:r w:rsidR="00791200" w:rsidRPr="00C9026A">
        <w:t xml:space="preserve"> to the relevant interested parties.</w:t>
      </w:r>
      <w:r w:rsidR="001B18B3" w:rsidRPr="00C9026A">
        <w:t xml:space="preserve"> Depending on the </w:t>
      </w:r>
      <w:r w:rsidR="003675FE">
        <w:t xml:space="preserve">national </w:t>
      </w:r>
      <w:r w:rsidR="00384EC9" w:rsidRPr="00C9026A">
        <w:t>prominence</w:t>
      </w:r>
      <w:r w:rsidR="001B18B3" w:rsidRPr="00C9026A">
        <w:t xml:space="preserve"> of the </w:t>
      </w:r>
      <w:r w:rsidR="00641539">
        <w:t>facility or activity</w:t>
      </w:r>
      <w:r w:rsidR="001B18B3" w:rsidRPr="00C9026A">
        <w:t>,</w:t>
      </w:r>
      <w:r w:rsidR="00375D9B">
        <w:t xml:space="preserve"> both governmental authorities and</w:t>
      </w:r>
      <w:r w:rsidR="001B18B3" w:rsidRPr="00C9026A">
        <w:t xml:space="preserve"> the regulatory body should </w:t>
      </w:r>
      <w:r w:rsidR="00375D9B">
        <w:t xml:space="preserve">be </w:t>
      </w:r>
      <w:r w:rsidR="001B18B3" w:rsidRPr="00C9026A">
        <w:t>involve</w:t>
      </w:r>
      <w:r w:rsidR="00375D9B">
        <w:t xml:space="preserve">d, particularly </w:t>
      </w:r>
      <w:r w:rsidR="001B18B3" w:rsidRPr="00C9026A">
        <w:t xml:space="preserve">when such communication is considered necessary for effectively </w:t>
      </w:r>
      <w:r w:rsidR="0038652B">
        <w:t>informing</w:t>
      </w:r>
      <w:r w:rsidR="0038652B" w:rsidRPr="00C9026A">
        <w:t xml:space="preserve"> </w:t>
      </w:r>
      <w:r w:rsidR="001B18B3" w:rsidRPr="00C9026A">
        <w:t xml:space="preserve">the </w:t>
      </w:r>
      <w:r w:rsidR="00312B72" w:rsidRPr="00C9026A">
        <w:t>public</w:t>
      </w:r>
      <w:r w:rsidR="00C95680" w:rsidRPr="00C9026A">
        <w:t>.</w:t>
      </w:r>
      <w:r w:rsidR="00770F4D" w:rsidRPr="00C9026A">
        <w:t xml:space="preserve"> </w:t>
      </w:r>
      <w:r w:rsidR="00516018">
        <w:t>DS460</w:t>
      </w:r>
      <w:r w:rsidR="00CD3A2D" w:rsidRPr="00C9026A">
        <w:t xml:space="preserve"> </w:t>
      </w:r>
      <w:r w:rsidR="00770F4D" w:rsidRPr="00C9026A">
        <w:t>[</w:t>
      </w:r>
      <w:r w:rsidR="002E182F" w:rsidRPr="00C9026A">
        <w:t>3</w:t>
      </w:r>
      <w:r w:rsidR="00C53F4B">
        <w:t>7</w:t>
      </w:r>
      <w:r w:rsidR="00770F4D" w:rsidRPr="00C9026A">
        <w:t>] provides guidance on communication and consultation with interested parties by the regulatory body.</w:t>
      </w:r>
    </w:p>
    <w:p w:rsidR="00424755" w:rsidRPr="00C9026A" w:rsidRDefault="00384EC9" w:rsidP="00A57A35">
      <w:pPr>
        <w:pStyle w:val="Heading4"/>
        <w:ind w:left="0"/>
      </w:pPr>
      <w:r>
        <w:t>A</w:t>
      </w:r>
      <w:r w:rsidR="003B53EE" w:rsidRPr="00C9026A">
        <w:t xml:space="preserve"> </w:t>
      </w:r>
      <w:r w:rsidR="002205AF" w:rsidRPr="00C9026A">
        <w:t xml:space="preserve">prospective </w:t>
      </w:r>
      <w:r w:rsidR="00C40177" w:rsidRPr="00C9026A">
        <w:t xml:space="preserve">radiological environmental impact </w:t>
      </w:r>
      <w:r w:rsidR="003B53EE" w:rsidRPr="00C9026A">
        <w:t xml:space="preserve">assessment </w:t>
      </w:r>
      <w:r>
        <w:t>is generally published</w:t>
      </w:r>
      <w:r w:rsidR="00C95680" w:rsidRPr="00C9026A">
        <w:t xml:space="preserve"> in </w:t>
      </w:r>
      <w:r w:rsidR="00B95089" w:rsidRPr="00C9026A">
        <w:t xml:space="preserve">technical documents </w:t>
      </w:r>
      <w:r w:rsidR="00641539">
        <w:t>that</w:t>
      </w:r>
      <w:r w:rsidR="00641539" w:rsidRPr="00C9026A">
        <w:t xml:space="preserve"> </w:t>
      </w:r>
      <w:r w:rsidR="003F5919" w:rsidRPr="00C9026A">
        <w:t xml:space="preserve">are </w:t>
      </w:r>
      <w:r w:rsidR="00B95089" w:rsidRPr="00C9026A">
        <w:t>intended</w:t>
      </w:r>
      <w:r w:rsidR="00641539">
        <w:t xml:space="preserve"> to be read by</w:t>
      </w:r>
      <w:r w:rsidR="00B95089" w:rsidRPr="00C9026A">
        <w:t xml:space="preserve"> </w:t>
      </w:r>
      <w:r w:rsidR="00641539">
        <w:t>individuals</w:t>
      </w:r>
      <w:r w:rsidR="00641539" w:rsidRPr="00C9026A">
        <w:t xml:space="preserve"> </w:t>
      </w:r>
      <w:r w:rsidR="00B95089" w:rsidRPr="00C9026A">
        <w:t xml:space="preserve">with expertise in </w:t>
      </w:r>
      <w:r w:rsidR="002205AF" w:rsidRPr="00C9026A">
        <w:t>the matter</w:t>
      </w:r>
      <w:r w:rsidR="00BF55B9" w:rsidRPr="00C9026A">
        <w:t xml:space="preserve">. Normally these </w:t>
      </w:r>
      <w:r w:rsidR="00641539">
        <w:t xml:space="preserve">individuals </w:t>
      </w:r>
      <w:r w:rsidR="00BF55B9" w:rsidRPr="00C9026A">
        <w:t xml:space="preserve">are experts </w:t>
      </w:r>
      <w:r w:rsidR="002205AF" w:rsidRPr="00C9026A">
        <w:t xml:space="preserve">in nuclear safety and radiation protection </w:t>
      </w:r>
      <w:r w:rsidR="0038652B">
        <w:t>in the</w:t>
      </w:r>
      <w:r w:rsidR="0038652B" w:rsidRPr="00C9026A">
        <w:t xml:space="preserve"> </w:t>
      </w:r>
      <w:r w:rsidR="00B95089" w:rsidRPr="00C9026A">
        <w:t>regulatory bod</w:t>
      </w:r>
      <w:r w:rsidR="0038652B">
        <w:t>y</w:t>
      </w:r>
      <w:r w:rsidR="00641539">
        <w:t>,</w:t>
      </w:r>
      <w:r w:rsidR="00FA3975" w:rsidRPr="00C9026A">
        <w:t xml:space="preserve"> </w:t>
      </w:r>
      <w:r w:rsidR="00B95089" w:rsidRPr="00C9026A">
        <w:t xml:space="preserve">technical support organizations, public health </w:t>
      </w:r>
      <w:r w:rsidR="00641539">
        <w:t xml:space="preserve">agencies </w:t>
      </w:r>
      <w:r w:rsidR="00136C2F" w:rsidRPr="00C9026A">
        <w:t>or</w:t>
      </w:r>
      <w:r w:rsidR="00B95089" w:rsidRPr="00C9026A">
        <w:t xml:space="preserve"> environment agencies. </w:t>
      </w:r>
      <w:r w:rsidR="003B0284" w:rsidRPr="00C9026A">
        <w:t xml:space="preserve">The </w:t>
      </w:r>
      <w:r w:rsidR="0038652B" w:rsidRPr="00C9026A">
        <w:t xml:space="preserve">radiological environmental impact </w:t>
      </w:r>
      <w:r w:rsidR="003B0284" w:rsidRPr="00C9026A">
        <w:t xml:space="preserve">assessment </w:t>
      </w:r>
      <w:r w:rsidR="00CD5346" w:rsidRPr="00C9026A">
        <w:t>should</w:t>
      </w:r>
      <w:r w:rsidR="003B0284" w:rsidRPr="00C9026A">
        <w:t xml:space="preserve"> be well documented and transparent</w:t>
      </w:r>
      <w:r w:rsidR="00C40177" w:rsidRPr="00C9026A">
        <w:t xml:space="preserve"> </w:t>
      </w:r>
      <w:r w:rsidR="00641539">
        <w:t>to enable it to be understood by</w:t>
      </w:r>
      <w:r w:rsidR="00641539" w:rsidRPr="00C9026A">
        <w:t xml:space="preserve"> </w:t>
      </w:r>
      <w:r w:rsidR="00C40177" w:rsidRPr="00C9026A">
        <w:t>a broad</w:t>
      </w:r>
      <w:r w:rsidR="002205AF" w:rsidRPr="00C9026A">
        <w:t>er</w:t>
      </w:r>
      <w:r w:rsidR="00C40177" w:rsidRPr="00C9026A">
        <w:t xml:space="preserve"> audience, which may no</w:t>
      </w:r>
      <w:r w:rsidR="006358D4" w:rsidRPr="00C9026A">
        <w:t>t</w:t>
      </w:r>
      <w:r w:rsidR="00C40177" w:rsidRPr="00C9026A">
        <w:t xml:space="preserve"> have a highly specialized </w:t>
      </w:r>
      <w:r w:rsidR="00251D81" w:rsidRPr="00C9026A">
        <w:t xml:space="preserve">expertise, </w:t>
      </w:r>
      <w:r>
        <w:t>such as</w:t>
      </w:r>
      <w:r w:rsidR="00251D81" w:rsidRPr="00C9026A">
        <w:t xml:space="preserve"> the public</w:t>
      </w:r>
      <w:r w:rsidR="0038652B">
        <w:t xml:space="preserve"> and</w:t>
      </w:r>
      <w:r w:rsidR="00251D81" w:rsidRPr="00C9026A">
        <w:t xml:space="preserve"> government departments and ministries not directly involved in </w:t>
      </w:r>
      <w:r w:rsidR="00867FE6" w:rsidRPr="00C9026A">
        <w:t xml:space="preserve">safety and </w:t>
      </w:r>
      <w:r w:rsidR="00251D81" w:rsidRPr="00C9026A">
        <w:t xml:space="preserve">radiation protection issues. </w:t>
      </w:r>
      <w:r w:rsidR="003B53EE" w:rsidRPr="00C9026A">
        <w:t xml:space="preserve">Information on the assessment </w:t>
      </w:r>
      <w:r w:rsidR="00CD5346" w:rsidRPr="00C9026A">
        <w:lastRenderedPageBreak/>
        <w:t>should</w:t>
      </w:r>
      <w:r w:rsidR="003B53EE" w:rsidRPr="00C9026A">
        <w:t xml:space="preserve"> be made available </w:t>
      </w:r>
      <w:r w:rsidR="00251D81" w:rsidRPr="00C9026A">
        <w:t xml:space="preserve">in </w:t>
      </w:r>
      <w:r w:rsidR="00E72F2A" w:rsidRPr="00C9026A">
        <w:t>appropriate</w:t>
      </w:r>
      <w:r w:rsidR="00251D81" w:rsidRPr="00C9026A">
        <w:t xml:space="preserve"> </w:t>
      </w:r>
      <w:r w:rsidR="00255E23" w:rsidRPr="00C9026A">
        <w:t xml:space="preserve">technical </w:t>
      </w:r>
      <w:r w:rsidR="00251D81" w:rsidRPr="00C9026A">
        <w:t>language</w:t>
      </w:r>
      <w:r w:rsidR="00867FE6" w:rsidRPr="00C9026A">
        <w:t>. In addition</w:t>
      </w:r>
      <w:r w:rsidR="00F34998">
        <w:t>,</w:t>
      </w:r>
      <w:r w:rsidR="00867FE6" w:rsidRPr="00C9026A">
        <w:t xml:space="preserve"> </w:t>
      </w:r>
      <w:r w:rsidR="00251D81" w:rsidRPr="00C9026A">
        <w:t>a non-technical summary</w:t>
      </w:r>
      <w:r w:rsidR="0008604E" w:rsidRPr="00C9026A">
        <w:t xml:space="preserve"> that </w:t>
      </w:r>
      <w:r w:rsidR="00867FE6" w:rsidRPr="00C9026A">
        <w:t>condenses</w:t>
      </w:r>
      <w:r w:rsidR="00867FE6" w:rsidRPr="00C9026A" w:rsidDel="00867FE6">
        <w:t xml:space="preserve"> </w:t>
      </w:r>
      <w:r w:rsidR="0008604E" w:rsidRPr="00C9026A">
        <w:t>the relevant chapters of the more technical reports and outlines the key findings from the assessment</w:t>
      </w:r>
      <w:r w:rsidR="00255E23" w:rsidRPr="00C9026A">
        <w:t xml:space="preserve"> could be useful for some interested parties</w:t>
      </w:r>
      <w:r w:rsidR="00251D81" w:rsidRPr="00C9026A">
        <w:t>.</w:t>
      </w:r>
      <w:r w:rsidR="003B53EE" w:rsidRPr="00C9026A">
        <w:t xml:space="preserve"> </w:t>
      </w:r>
    </w:p>
    <w:p w:rsidR="00D421FA" w:rsidRPr="00C9026A" w:rsidRDefault="0038652B" w:rsidP="00A57A35">
      <w:pPr>
        <w:pStyle w:val="Heading4"/>
        <w:ind w:left="0"/>
      </w:pPr>
      <w:r>
        <w:t>C</w:t>
      </w:r>
      <w:r w:rsidR="00D421FA" w:rsidRPr="00C9026A">
        <w:t xml:space="preserve">ommunication of the results is </w:t>
      </w:r>
      <w:r w:rsidR="00AC213E" w:rsidRPr="00C9026A">
        <w:t xml:space="preserve">equally as important as the completion of </w:t>
      </w:r>
      <w:r w:rsidR="00F34998">
        <w:t xml:space="preserve">a </w:t>
      </w:r>
      <w:r w:rsidR="00AC213E" w:rsidRPr="00C9026A">
        <w:t xml:space="preserve">technically sound </w:t>
      </w:r>
      <w:r w:rsidR="002205AF" w:rsidRPr="00C9026A">
        <w:t xml:space="preserve">radiological </w:t>
      </w:r>
      <w:r w:rsidR="00AC213E" w:rsidRPr="00C9026A">
        <w:t xml:space="preserve">environmental </w:t>
      </w:r>
      <w:r w:rsidR="002205AF" w:rsidRPr="00C9026A">
        <w:t xml:space="preserve">impact </w:t>
      </w:r>
      <w:r w:rsidR="00AC213E" w:rsidRPr="00C9026A">
        <w:t>assessment</w:t>
      </w:r>
      <w:r w:rsidR="00D421FA" w:rsidRPr="00C9026A">
        <w:t xml:space="preserve">. </w:t>
      </w:r>
      <w:r w:rsidR="002205AF" w:rsidRPr="00C9026A">
        <w:t xml:space="preserve">In order to put the results in </w:t>
      </w:r>
      <w:r w:rsidR="00384EC9">
        <w:t>an</w:t>
      </w:r>
      <w:r w:rsidR="00384EC9" w:rsidRPr="00C9026A">
        <w:t xml:space="preserve"> </w:t>
      </w:r>
      <w:r w:rsidR="002205AF" w:rsidRPr="00C9026A">
        <w:t>a</w:t>
      </w:r>
      <w:r w:rsidR="00384EC9">
        <w:t>ppropria</w:t>
      </w:r>
      <w:r w:rsidR="002205AF" w:rsidRPr="00C9026A">
        <w:t>te perspective, e</w:t>
      </w:r>
      <w:r w:rsidR="002323F2" w:rsidRPr="00C9026A">
        <w:t>ssential i</w:t>
      </w:r>
      <w:r w:rsidR="003B0284" w:rsidRPr="00C9026A">
        <w:t xml:space="preserve">nformation on radiation effects and </w:t>
      </w:r>
      <w:r w:rsidR="00D421FA" w:rsidRPr="00C9026A">
        <w:t xml:space="preserve">the safety </w:t>
      </w:r>
      <w:r w:rsidR="0008604E" w:rsidRPr="00C9026A">
        <w:t>aspects relat</w:t>
      </w:r>
      <w:r w:rsidR="00F34998">
        <w:t>ing</w:t>
      </w:r>
      <w:r w:rsidR="0008604E" w:rsidRPr="00C9026A">
        <w:t xml:space="preserve"> to design, operation, maintenance and </w:t>
      </w:r>
      <w:r w:rsidR="003B0284" w:rsidRPr="00C9026A">
        <w:t>surveillance</w:t>
      </w:r>
      <w:r w:rsidR="0008604E" w:rsidRPr="00C9026A">
        <w:t xml:space="preserve"> </w:t>
      </w:r>
      <w:r w:rsidR="003B0284" w:rsidRPr="00C9026A">
        <w:t xml:space="preserve">of </w:t>
      </w:r>
      <w:r w:rsidR="00BA6D7C" w:rsidRPr="00C9026A">
        <w:t xml:space="preserve">facilities and </w:t>
      </w:r>
      <w:r w:rsidR="003B0284" w:rsidRPr="00C9026A">
        <w:t xml:space="preserve">activities </w:t>
      </w:r>
      <w:r w:rsidR="00AC213E" w:rsidRPr="00C9026A">
        <w:t xml:space="preserve">should be </w:t>
      </w:r>
      <w:r w:rsidR="00D421FA" w:rsidRPr="00C9026A">
        <w:t>included</w:t>
      </w:r>
      <w:r w:rsidR="00F34998">
        <w:t>,</w:t>
      </w:r>
      <w:r w:rsidR="00D421FA" w:rsidRPr="00C9026A">
        <w:t xml:space="preserve"> </w:t>
      </w:r>
      <w:r w:rsidR="002323F2" w:rsidRPr="00C9026A">
        <w:t xml:space="preserve">together with the </w:t>
      </w:r>
      <w:r w:rsidR="002205AF" w:rsidRPr="00C9026A">
        <w:t xml:space="preserve">specific </w:t>
      </w:r>
      <w:r w:rsidR="002323F2" w:rsidRPr="00C9026A">
        <w:t xml:space="preserve">results </w:t>
      </w:r>
      <w:r>
        <w:t>of</w:t>
      </w:r>
      <w:r w:rsidR="00D421FA" w:rsidRPr="00C9026A">
        <w:t xml:space="preserve"> the </w:t>
      </w:r>
      <w:r>
        <w:t>assessment</w:t>
      </w:r>
      <w:r w:rsidR="00D421FA" w:rsidRPr="00C9026A">
        <w:t>.</w:t>
      </w:r>
    </w:p>
    <w:p w:rsidR="00424755" w:rsidRPr="00C9026A" w:rsidRDefault="00867FE6" w:rsidP="00A57A35">
      <w:pPr>
        <w:pStyle w:val="Heading4"/>
        <w:ind w:left="0"/>
      </w:pPr>
      <w:r w:rsidRPr="00C9026A">
        <w:t>W</w:t>
      </w:r>
      <w:r w:rsidR="00251D81" w:rsidRPr="00C9026A">
        <w:t xml:space="preserve">here the results of </w:t>
      </w:r>
      <w:r w:rsidR="00ED1480" w:rsidRPr="00C9026A">
        <w:t xml:space="preserve">an assessment </w:t>
      </w:r>
      <w:r w:rsidR="00251D81" w:rsidRPr="00C9026A">
        <w:t xml:space="preserve">indicate that </w:t>
      </w:r>
      <w:r w:rsidR="00B36FA6" w:rsidRPr="00C9026A">
        <w:t xml:space="preserve">the information is relevant </w:t>
      </w:r>
      <w:r w:rsidR="00251D81" w:rsidRPr="00C9026A">
        <w:t>across national boundaries</w:t>
      </w:r>
      <w:r w:rsidR="008D73D3" w:rsidRPr="00C9026A">
        <w:t>,</w:t>
      </w:r>
      <w:r w:rsidR="00251D81" w:rsidRPr="00C9026A">
        <w:t xml:space="preserve"> this information </w:t>
      </w:r>
      <w:r w:rsidR="00CD5346" w:rsidRPr="00C9026A">
        <w:t>should</w:t>
      </w:r>
      <w:r w:rsidR="00251D81" w:rsidRPr="00C9026A">
        <w:t xml:space="preserve"> be shared with </w:t>
      </w:r>
      <w:r w:rsidR="000C4668" w:rsidRPr="00C9026A">
        <w:t xml:space="preserve">the </w:t>
      </w:r>
      <w:r w:rsidR="00245B0B" w:rsidRPr="00C9026A">
        <w:t>States</w:t>
      </w:r>
      <w:r w:rsidR="00E0014C" w:rsidRPr="00C9026A">
        <w:t xml:space="preserve"> concerned</w:t>
      </w:r>
      <w:r w:rsidR="00251D81" w:rsidRPr="00C9026A">
        <w:t>.</w:t>
      </w:r>
      <w:r w:rsidR="00ED1480" w:rsidRPr="00C9026A">
        <w:t xml:space="preserve"> </w:t>
      </w:r>
      <w:r w:rsidR="009960F7" w:rsidRPr="00C9026A">
        <w:t>The State w</w:t>
      </w:r>
      <w:r w:rsidR="00A1037A" w:rsidRPr="00C9026A">
        <w:t>h</w:t>
      </w:r>
      <w:r w:rsidR="009960F7" w:rsidRPr="00C9026A">
        <w:t xml:space="preserve">ere the activity or facility is located </w:t>
      </w:r>
      <w:r w:rsidR="00CD5346" w:rsidRPr="00C9026A">
        <w:t>should</w:t>
      </w:r>
      <w:r w:rsidR="009960F7" w:rsidRPr="00C9026A">
        <w:t xml:space="preserve"> arrange with the State</w:t>
      </w:r>
      <w:r w:rsidR="006D1F75" w:rsidRPr="00C9026A">
        <w:t>s</w:t>
      </w:r>
      <w:r w:rsidR="009960F7" w:rsidRPr="00C9026A">
        <w:t xml:space="preserve"> </w:t>
      </w:r>
      <w:r w:rsidR="00F34998">
        <w:t xml:space="preserve">concerned </w:t>
      </w:r>
      <w:r w:rsidR="009960F7" w:rsidRPr="00C9026A">
        <w:t xml:space="preserve">the means for exchange of information and consultations, as appropriate. </w:t>
      </w:r>
    </w:p>
    <w:p w:rsidR="00251D81" w:rsidRPr="00C9026A" w:rsidRDefault="00424755" w:rsidP="00A57A35">
      <w:pPr>
        <w:pStyle w:val="Heading4"/>
        <w:ind w:left="0"/>
      </w:pPr>
      <w:r w:rsidRPr="00C9026A">
        <w:t>T</w:t>
      </w:r>
      <w:r w:rsidR="00251D81" w:rsidRPr="00C9026A">
        <w:t>he information used as</w:t>
      </w:r>
      <w:r w:rsidR="00F34998">
        <w:t xml:space="preserve"> a</w:t>
      </w:r>
      <w:r w:rsidR="00251D81" w:rsidRPr="00C9026A">
        <w:t xml:space="preserve"> basis for </w:t>
      </w:r>
      <w:r w:rsidR="00F34998">
        <w:t>the</w:t>
      </w:r>
      <w:r w:rsidR="00264F95" w:rsidRPr="00C9026A">
        <w:t xml:space="preserve"> </w:t>
      </w:r>
      <w:r w:rsidR="00F34998">
        <w:t xml:space="preserve">radiological environmental impact </w:t>
      </w:r>
      <w:r w:rsidR="00264F95" w:rsidRPr="00C9026A">
        <w:t xml:space="preserve">assessment </w:t>
      </w:r>
      <w:r w:rsidR="00D87F96">
        <w:t>should be</w:t>
      </w:r>
      <w:r w:rsidR="00F34998">
        <w:t>,</w:t>
      </w:r>
      <w:r w:rsidR="00D87F96">
        <w:t xml:space="preserve"> as much as possible</w:t>
      </w:r>
      <w:r w:rsidR="00F34998">
        <w:t>,</w:t>
      </w:r>
      <w:r w:rsidR="00D87F96">
        <w:t xml:space="preserve"> </w:t>
      </w:r>
      <w:r w:rsidR="00F34998">
        <w:t xml:space="preserve">made available </w:t>
      </w:r>
      <w:r w:rsidR="00D87F96">
        <w:t xml:space="preserve">to all interested parties, </w:t>
      </w:r>
      <w:r w:rsidR="0038652B">
        <w:t>in order</w:t>
      </w:r>
      <w:r w:rsidR="00D87F96">
        <w:t xml:space="preserve"> to promote transparency and </w:t>
      </w:r>
      <w:r w:rsidR="00873012">
        <w:t xml:space="preserve">to </w:t>
      </w:r>
      <w:r w:rsidR="00D87F96">
        <w:t>build confidence and trust. However, some information</w:t>
      </w:r>
      <w:r w:rsidR="00E0014C" w:rsidRPr="00C9026A">
        <w:t xml:space="preserve"> </w:t>
      </w:r>
      <w:r w:rsidR="00251D81" w:rsidRPr="00C9026A">
        <w:t xml:space="preserve">could have </w:t>
      </w:r>
      <w:r w:rsidRPr="00C9026A">
        <w:t xml:space="preserve">commercial </w:t>
      </w:r>
      <w:r w:rsidR="0038652B">
        <w:t>implications or</w:t>
      </w:r>
      <w:r w:rsidR="0038652B" w:rsidRPr="00C9026A">
        <w:t xml:space="preserve"> </w:t>
      </w:r>
      <w:r w:rsidR="0038652B">
        <w:t xml:space="preserve">nuclear </w:t>
      </w:r>
      <w:r w:rsidR="007220F5">
        <w:t xml:space="preserve">safety and </w:t>
      </w:r>
      <w:r w:rsidR="00251D81" w:rsidRPr="00C9026A">
        <w:t>security implications (</w:t>
      </w:r>
      <w:r w:rsidR="00384EC9">
        <w:t>e.g.</w:t>
      </w:r>
      <w:r w:rsidR="00251D81" w:rsidRPr="00C9026A">
        <w:t xml:space="preserve"> plans </w:t>
      </w:r>
      <w:r w:rsidR="00F34998">
        <w:t>of</w:t>
      </w:r>
      <w:r w:rsidR="00F34998" w:rsidRPr="00C9026A">
        <w:t xml:space="preserve"> </w:t>
      </w:r>
      <w:r w:rsidR="00251D81" w:rsidRPr="00C9026A">
        <w:t xml:space="preserve">the facility </w:t>
      </w:r>
      <w:r w:rsidR="002205AF" w:rsidRPr="00C9026A">
        <w:t>layout</w:t>
      </w:r>
      <w:r w:rsidR="00251D81" w:rsidRPr="00C9026A">
        <w:t xml:space="preserve"> </w:t>
      </w:r>
      <w:r w:rsidR="00B36FA6" w:rsidRPr="00C9026A">
        <w:t xml:space="preserve">and </w:t>
      </w:r>
      <w:r w:rsidR="00251D81" w:rsidRPr="00C9026A">
        <w:t xml:space="preserve">information on </w:t>
      </w:r>
      <w:r w:rsidR="00B36FA6" w:rsidRPr="00C9026A">
        <w:t xml:space="preserve">plant </w:t>
      </w:r>
      <w:r w:rsidR="00251D81" w:rsidRPr="00C9026A">
        <w:t xml:space="preserve">accident sequences). </w:t>
      </w:r>
      <w:r w:rsidR="00F34998">
        <w:t>Such</w:t>
      </w:r>
      <w:r w:rsidR="00F34998" w:rsidRPr="00C9026A">
        <w:t xml:space="preserve"> </w:t>
      </w:r>
      <w:r w:rsidR="00251D81" w:rsidRPr="00C9026A">
        <w:t xml:space="preserve">information </w:t>
      </w:r>
      <w:r w:rsidR="00CD5346" w:rsidRPr="00C9026A">
        <w:t>should</w:t>
      </w:r>
      <w:r w:rsidR="00251D81" w:rsidRPr="00C9026A">
        <w:t xml:space="preserve"> be </w:t>
      </w:r>
      <w:r w:rsidR="00F34998">
        <w:t xml:space="preserve">made </w:t>
      </w:r>
      <w:r w:rsidR="00251D81" w:rsidRPr="00C9026A">
        <w:t xml:space="preserve">available </w:t>
      </w:r>
      <w:r w:rsidR="005B161E" w:rsidRPr="00C9026A">
        <w:t xml:space="preserve">only </w:t>
      </w:r>
      <w:r w:rsidR="00251D81" w:rsidRPr="00C9026A">
        <w:t xml:space="preserve">to the regulatory </w:t>
      </w:r>
      <w:r w:rsidR="00F34998">
        <w:t>body</w:t>
      </w:r>
      <w:r w:rsidR="00F34998" w:rsidRPr="00C9026A">
        <w:t xml:space="preserve"> </w:t>
      </w:r>
      <w:r w:rsidR="00251D81" w:rsidRPr="00C9026A">
        <w:t xml:space="preserve">and other governmental agencies </w:t>
      </w:r>
      <w:r w:rsidR="005B161E" w:rsidRPr="00C9026A">
        <w:t xml:space="preserve">and </w:t>
      </w:r>
      <w:r w:rsidR="00CD5346" w:rsidRPr="00C9026A">
        <w:t>should</w:t>
      </w:r>
      <w:r w:rsidR="005B161E" w:rsidRPr="00C9026A">
        <w:t xml:space="preserve"> be</w:t>
      </w:r>
      <w:r w:rsidR="00251D81" w:rsidRPr="00C9026A">
        <w:t xml:space="preserve"> treat</w:t>
      </w:r>
      <w:r w:rsidR="005B161E" w:rsidRPr="00C9026A">
        <w:t>ed</w:t>
      </w:r>
      <w:r w:rsidR="00251D81" w:rsidRPr="00C9026A">
        <w:t xml:space="preserve"> confidentially. Normally the</w:t>
      </w:r>
      <w:r w:rsidR="00F76EB5" w:rsidRPr="00C9026A">
        <w:t xml:space="preserve"> government</w:t>
      </w:r>
      <w:r w:rsidR="002205AF" w:rsidRPr="00C9026A">
        <w:t>,</w:t>
      </w:r>
      <w:r w:rsidR="00251D81" w:rsidRPr="00C9026A">
        <w:t xml:space="preserve"> </w:t>
      </w:r>
      <w:r w:rsidR="00F76EB5" w:rsidRPr="00C9026A">
        <w:t xml:space="preserve">in consultation with the </w:t>
      </w:r>
      <w:r w:rsidR="00251D81" w:rsidRPr="00C9026A">
        <w:t xml:space="preserve">national regulatory body </w:t>
      </w:r>
      <w:r w:rsidR="00F76EB5" w:rsidRPr="00C9026A">
        <w:t>and other relevant national organizations</w:t>
      </w:r>
      <w:r w:rsidR="002205AF" w:rsidRPr="00C9026A">
        <w:t>,</w:t>
      </w:r>
      <w:r w:rsidR="00F76EB5" w:rsidRPr="00C9026A">
        <w:t xml:space="preserve"> </w:t>
      </w:r>
      <w:r w:rsidR="00CD5346" w:rsidRPr="00C9026A">
        <w:t>should</w:t>
      </w:r>
      <w:r w:rsidR="00251D81" w:rsidRPr="00C9026A">
        <w:t xml:space="preserve"> establish which information </w:t>
      </w:r>
      <w:r w:rsidR="003675FE">
        <w:t>can</w:t>
      </w:r>
      <w:r w:rsidR="003675FE" w:rsidRPr="00C9026A">
        <w:t xml:space="preserve"> </w:t>
      </w:r>
      <w:r w:rsidR="00251D81" w:rsidRPr="00C9026A">
        <w:t xml:space="preserve">be made available </w:t>
      </w:r>
      <w:r w:rsidR="00F34998">
        <w:t>to the public</w:t>
      </w:r>
      <w:r w:rsidR="00251D81" w:rsidRPr="00C9026A">
        <w:t xml:space="preserve">. The </w:t>
      </w:r>
      <w:r w:rsidR="003675FE">
        <w:t xml:space="preserve">reason for </w:t>
      </w:r>
      <w:r w:rsidR="00251D81" w:rsidRPr="00C9026A">
        <w:t xml:space="preserve">restriction of access to certain sensitive information </w:t>
      </w:r>
      <w:r w:rsidR="00CD5346" w:rsidRPr="00C9026A">
        <w:t>should</w:t>
      </w:r>
      <w:r w:rsidR="00251D81" w:rsidRPr="00C9026A">
        <w:t xml:space="preserve"> be clearly explained so that it is not perceived</w:t>
      </w:r>
      <w:r w:rsidR="00146BDA" w:rsidRPr="00C9026A">
        <w:t xml:space="preserve"> by interested parties</w:t>
      </w:r>
      <w:r w:rsidR="00251D81" w:rsidRPr="00C9026A">
        <w:t xml:space="preserve"> as concealing information that is relevant for estimating</w:t>
      </w:r>
      <w:r w:rsidR="007A0234" w:rsidRPr="00C9026A">
        <w:t xml:space="preserve"> and understanding the</w:t>
      </w:r>
      <w:r w:rsidR="00251D81" w:rsidRPr="00C9026A">
        <w:t xml:space="preserve"> </w:t>
      </w:r>
      <w:r w:rsidR="00E0014C" w:rsidRPr="00C9026A">
        <w:t xml:space="preserve">radiation </w:t>
      </w:r>
      <w:r w:rsidR="00251D81" w:rsidRPr="00C9026A">
        <w:t>risk</w:t>
      </w:r>
      <w:r w:rsidR="00E0014C" w:rsidRPr="00C9026A">
        <w:t>s</w:t>
      </w:r>
      <w:r w:rsidR="00251D81" w:rsidRPr="00C9026A">
        <w:t xml:space="preserve"> to people and </w:t>
      </w:r>
      <w:r w:rsidR="009C3E16" w:rsidRPr="00C9026A">
        <w:t xml:space="preserve">to </w:t>
      </w:r>
      <w:r w:rsidR="00251D81" w:rsidRPr="00C9026A">
        <w:t>the environment.</w:t>
      </w:r>
      <w:r w:rsidR="00F34998" w:rsidRPr="00F34998">
        <w:t xml:space="preserve"> </w:t>
      </w:r>
      <w:r w:rsidR="00F34998" w:rsidRPr="00C9026A">
        <w:t xml:space="preserve">The responsibility </w:t>
      </w:r>
      <w:r w:rsidR="00F34998">
        <w:t>of</w:t>
      </w:r>
      <w:r w:rsidR="00F34998" w:rsidRPr="00C9026A">
        <w:t xml:space="preserve"> ensur</w:t>
      </w:r>
      <w:r w:rsidR="00F34998">
        <w:t>ing</w:t>
      </w:r>
      <w:r w:rsidR="00F34998" w:rsidRPr="00C9026A">
        <w:t xml:space="preserve"> the </w:t>
      </w:r>
      <w:r w:rsidR="00F34998">
        <w:t xml:space="preserve">technical </w:t>
      </w:r>
      <w:r w:rsidR="00F34998" w:rsidRPr="00C9026A">
        <w:t xml:space="preserve">soundness of </w:t>
      </w:r>
      <w:r w:rsidR="00F34998">
        <w:t>any</w:t>
      </w:r>
      <w:r w:rsidR="00F34998" w:rsidRPr="00C9026A">
        <w:t xml:space="preserve"> restricted information </w:t>
      </w:r>
      <w:r w:rsidR="003675FE">
        <w:t xml:space="preserve">used as a basis for the assessment </w:t>
      </w:r>
      <w:r w:rsidR="00F34998" w:rsidRPr="00C9026A">
        <w:t>should remain with the government agencies with functions relat</w:t>
      </w:r>
      <w:r w:rsidR="00F34998">
        <w:t>ing</w:t>
      </w:r>
      <w:r w:rsidR="00F34998" w:rsidRPr="00C9026A">
        <w:t xml:space="preserve"> to</w:t>
      </w:r>
      <w:r w:rsidR="00F34998">
        <w:t xml:space="preserve"> nuclear</w:t>
      </w:r>
      <w:r w:rsidR="00F34998" w:rsidRPr="00C9026A">
        <w:t xml:space="preserve"> safety and </w:t>
      </w:r>
      <w:r w:rsidR="00F34998">
        <w:t xml:space="preserve">nuclear </w:t>
      </w:r>
      <w:r w:rsidR="00F34998" w:rsidRPr="00C9026A">
        <w:t>security.</w:t>
      </w:r>
    </w:p>
    <w:p w:rsidR="00BD0D6A" w:rsidRDefault="00BD0D6A">
      <w:pPr>
        <w:overflowPunct/>
        <w:autoSpaceDE/>
        <w:autoSpaceDN/>
        <w:adjustRightInd/>
        <w:spacing w:after="0"/>
        <w:jc w:val="left"/>
        <w:textAlignment w:val="auto"/>
      </w:pPr>
      <w:r>
        <w:br w:type="page"/>
      </w:r>
    </w:p>
    <w:p w:rsidR="000208D7" w:rsidRPr="00C9026A" w:rsidRDefault="006026C5" w:rsidP="00A57A35">
      <w:pPr>
        <w:pStyle w:val="Heading1"/>
        <w:rPr>
          <w:szCs w:val="24"/>
          <w:lang w:val="en-GB"/>
        </w:rPr>
      </w:pPr>
      <w:bookmarkStart w:id="50" w:name="_Toc447613480"/>
      <w:bookmarkStart w:id="51" w:name="_Toc450204003"/>
      <w:r w:rsidRPr="00C9026A">
        <w:rPr>
          <w:szCs w:val="24"/>
          <w:lang w:val="en-GB"/>
        </w:rPr>
        <w:lastRenderedPageBreak/>
        <w:t xml:space="preserve">METHODOLOGY FOR </w:t>
      </w:r>
      <w:r w:rsidR="00BC1987" w:rsidRPr="00C9026A">
        <w:rPr>
          <w:szCs w:val="24"/>
          <w:lang w:val="en-GB"/>
        </w:rPr>
        <w:t>THE ASSESSMENT</w:t>
      </w:r>
      <w:bookmarkEnd w:id="50"/>
      <w:bookmarkEnd w:id="51"/>
    </w:p>
    <w:p w:rsidR="007B181B" w:rsidRPr="00C9026A" w:rsidRDefault="002A20CD" w:rsidP="00A57A35">
      <w:pPr>
        <w:pStyle w:val="Heading2"/>
      </w:pPr>
      <w:bookmarkStart w:id="52" w:name="_Toc447613481"/>
      <w:bookmarkStart w:id="53" w:name="_Toc450204004"/>
      <w:r w:rsidRPr="00C9026A">
        <w:t>General considerations</w:t>
      </w:r>
      <w:bookmarkEnd w:id="52"/>
      <w:bookmarkEnd w:id="53"/>
    </w:p>
    <w:p w:rsidR="00F46788" w:rsidRPr="00C9026A" w:rsidRDefault="003672B8" w:rsidP="00A57A35">
      <w:pPr>
        <w:pStyle w:val="Heading4"/>
        <w:ind w:left="0"/>
        <w:rPr>
          <w:rFonts w:eastAsia="TimesNewRoman"/>
          <w:iCs/>
        </w:rPr>
      </w:pPr>
      <w:r w:rsidRPr="00C9026A">
        <w:rPr>
          <w:rFonts w:eastAsia="TimesNewRoman"/>
        </w:rPr>
        <w:t xml:space="preserve">This </w:t>
      </w:r>
      <w:r w:rsidR="003675FE">
        <w:rPr>
          <w:rFonts w:eastAsia="TimesNewRoman"/>
        </w:rPr>
        <w:t>s</w:t>
      </w:r>
      <w:r w:rsidRPr="00C9026A">
        <w:rPr>
          <w:rFonts w:eastAsia="TimesNewRoman"/>
        </w:rPr>
        <w:t xml:space="preserve">ection presents a methodology </w:t>
      </w:r>
      <w:r w:rsidR="003B2647">
        <w:rPr>
          <w:rFonts w:eastAsia="TimesNewRoman"/>
        </w:rPr>
        <w:t>for</w:t>
      </w:r>
      <w:r w:rsidR="003B2647" w:rsidRPr="00C9026A">
        <w:rPr>
          <w:rFonts w:eastAsia="TimesNewRoman"/>
        </w:rPr>
        <w:t xml:space="preserve"> </w:t>
      </w:r>
      <w:r w:rsidRPr="00C9026A">
        <w:rPr>
          <w:rFonts w:eastAsia="TimesNewRoman"/>
        </w:rPr>
        <w:t>assess</w:t>
      </w:r>
      <w:r w:rsidR="003B2647">
        <w:rPr>
          <w:rFonts w:eastAsia="TimesNewRoman"/>
        </w:rPr>
        <w:t>ing</w:t>
      </w:r>
      <w:r w:rsidRPr="00C9026A">
        <w:rPr>
          <w:rFonts w:eastAsia="TimesNewRoman"/>
        </w:rPr>
        <w:t xml:space="preserve"> </w:t>
      </w:r>
      <w:r w:rsidR="00DC38C2">
        <w:rPr>
          <w:rFonts w:eastAsia="TimesNewRoman"/>
        </w:rPr>
        <w:t xml:space="preserve">the radiological impact </w:t>
      </w:r>
      <w:r w:rsidR="00D11878">
        <w:rPr>
          <w:rFonts w:eastAsia="TimesNewRoman"/>
        </w:rPr>
        <w:t>on</w:t>
      </w:r>
      <w:r w:rsidRPr="00C9026A">
        <w:rPr>
          <w:rFonts w:eastAsia="TimesNewRoman"/>
        </w:rPr>
        <w:t xml:space="preserve"> </w:t>
      </w:r>
      <w:r w:rsidR="004E6213">
        <w:rPr>
          <w:rFonts w:eastAsia="TimesNewRoman"/>
        </w:rPr>
        <w:t xml:space="preserve">the </w:t>
      </w:r>
      <w:r w:rsidRPr="00C9026A">
        <w:rPr>
          <w:rFonts w:eastAsia="TimesNewRoman"/>
        </w:rPr>
        <w:t xml:space="preserve">public </w:t>
      </w:r>
      <w:r w:rsidR="003675FE">
        <w:rPr>
          <w:rFonts w:eastAsia="TimesNewRoman"/>
        </w:rPr>
        <w:t>from</w:t>
      </w:r>
      <w:r w:rsidR="00DC38C2">
        <w:rPr>
          <w:rFonts w:eastAsia="TimesNewRoman"/>
        </w:rPr>
        <w:t xml:space="preserve"> </w:t>
      </w:r>
      <w:r w:rsidRPr="00C9026A">
        <w:rPr>
          <w:rFonts w:eastAsia="TimesNewRoman"/>
        </w:rPr>
        <w:t xml:space="preserve">exposures </w:t>
      </w:r>
      <w:r w:rsidR="00FF30D1">
        <w:rPr>
          <w:rFonts w:eastAsia="TimesNewRoman"/>
        </w:rPr>
        <w:t xml:space="preserve">expected </w:t>
      </w:r>
      <w:r w:rsidR="00F45A1B">
        <w:rPr>
          <w:rFonts w:eastAsia="TimesNewRoman"/>
        </w:rPr>
        <w:t xml:space="preserve">to occur </w:t>
      </w:r>
      <w:r w:rsidR="00247E51">
        <w:rPr>
          <w:rFonts w:eastAsia="TimesNewRoman"/>
        </w:rPr>
        <w:t xml:space="preserve">in </w:t>
      </w:r>
      <w:r w:rsidRPr="00C9026A">
        <w:rPr>
          <w:rFonts w:eastAsia="TimesNewRoman"/>
        </w:rPr>
        <w:t xml:space="preserve">normal operation </w:t>
      </w:r>
      <w:r w:rsidR="004E6213">
        <w:rPr>
          <w:rFonts w:eastAsia="TimesNewRoman"/>
        </w:rPr>
        <w:t xml:space="preserve">of </w:t>
      </w:r>
      <w:r w:rsidR="003675FE" w:rsidRPr="00C9026A">
        <w:rPr>
          <w:rFonts w:eastAsia="TimesNewRoman"/>
        </w:rPr>
        <w:t xml:space="preserve">facilities and activities </w:t>
      </w:r>
      <w:r w:rsidRPr="00C9026A">
        <w:rPr>
          <w:rFonts w:eastAsia="TimesNewRoman"/>
        </w:rPr>
        <w:t xml:space="preserve">and </w:t>
      </w:r>
      <w:r w:rsidR="00542AF1">
        <w:rPr>
          <w:rFonts w:eastAsia="TimesNewRoman"/>
        </w:rPr>
        <w:t xml:space="preserve">from </w:t>
      </w:r>
      <w:r w:rsidRPr="00C9026A">
        <w:rPr>
          <w:rFonts w:eastAsia="TimesNewRoman"/>
        </w:rPr>
        <w:t>potential exposures</w:t>
      </w:r>
      <w:r w:rsidR="004E6213">
        <w:rPr>
          <w:rFonts w:eastAsia="TimesNewRoman"/>
        </w:rPr>
        <w:t xml:space="preserve"> due to accidental scenarios</w:t>
      </w:r>
      <w:r w:rsidRPr="00C9026A">
        <w:rPr>
          <w:rFonts w:eastAsia="TimesNewRoman"/>
        </w:rPr>
        <w:t xml:space="preserve"> </w:t>
      </w:r>
      <w:r w:rsidR="004E6213">
        <w:rPr>
          <w:rFonts w:eastAsia="TimesNewRoman"/>
        </w:rPr>
        <w:t>at</w:t>
      </w:r>
      <w:r w:rsidRPr="00C9026A">
        <w:rPr>
          <w:rFonts w:eastAsia="TimesNewRoman"/>
        </w:rPr>
        <w:t xml:space="preserve"> facilities and activities</w:t>
      </w:r>
      <w:r w:rsidR="002A78E5">
        <w:rPr>
          <w:rFonts w:eastAsia="TimesNewRoman"/>
        </w:rPr>
        <w:t>,</w:t>
      </w:r>
      <w:r w:rsidR="00036793" w:rsidRPr="00C9026A">
        <w:rPr>
          <w:rFonts w:eastAsia="TimesNewRoman"/>
        </w:rPr>
        <w:t xml:space="preserve"> and </w:t>
      </w:r>
      <w:r w:rsidR="003675FE">
        <w:rPr>
          <w:rFonts w:eastAsia="TimesNewRoman"/>
        </w:rPr>
        <w:t>addresses</w:t>
      </w:r>
      <w:r w:rsidR="003675FE" w:rsidRPr="00C9026A">
        <w:rPr>
          <w:rFonts w:eastAsia="TimesNewRoman"/>
        </w:rPr>
        <w:t xml:space="preserve"> </w:t>
      </w:r>
      <w:r w:rsidR="006B6C08" w:rsidRPr="006B6C08">
        <w:rPr>
          <w:rFonts w:eastAsia="TimesNewRoman"/>
        </w:rPr>
        <w:t xml:space="preserve">whether and how protection of the environment </w:t>
      </w:r>
      <w:r w:rsidR="003B2647">
        <w:rPr>
          <w:rFonts w:eastAsia="TimesNewRoman"/>
        </w:rPr>
        <w:t>can</w:t>
      </w:r>
      <w:r w:rsidR="006B6C08" w:rsidRPr="006B6C08">
        <w:rPr>
          <w:rFonts w:eastAsia="TimesNewRoman"/>
        </w:rPr>
        <w:t xml:space="preserve"> be </w:t>
      </w:r>
      <w:r w:rsidR="004E6213">
        <w:rPr>
          <w:rFonts w:eastAsia="TimesNewRoman"/>
        </w:rPr>
        <w:t>considered</w:t>
      </w:r>
      <w:r w:rsidR="006B6C08" w:rsidRPr="006B6C08">
        <w:rPr>
          <w:rFonts w:eastAsia="TimesNewRoman"/>
        </w:rPr>
        <w:t xml:space="preserve"> in the assessment</w:t>
      </w:r>
      <w:r w:rsidR="005343FE" w:rsidRPr="00C9026A">
        <w:rPr>
          <w:rFonts w:eastAsia="TimesNewRoman"/>
        </w:rPr>
        <w:t xml:space="preserve">. </w:t>
      </w:r>
    </w:p>
    <w:p w:rsidR="006026C5" w:rsidRPr="00C9026A" w:rsidRDefault="006026C5" w:rsidP="00A57A35">
      <w:pPr>
        <w:pStyle w:val="Heading4"/>
        <w:ind w:left="0"/>
      </w:pPr>
      <w:r w:rsidRPr="00C9026A">
        <w:t xml:space="preserve">Since </w:t>
      </w:r>
      <w:r w:rsidR="00A870C3" w:rsidRPr="00C9026A">
        <w:t>a</w:t>
      </w:r>
      <w:r w:rsidR="006B6C08">
        <w:t xml:space="preserve"> radiological environmental impact</w:t>
      </w:r>
      <w:r w:rsidR="00B02991" w:rsidRPr="00C9026A">
        <w:t xml:space="preserve"> assessment </w:t>
      </w:r>
      <w:r w:rsidR="007B7736">
        <w:t xml:space="preserve">described in </w:t>
      </w:r>
      <w:r w:rsidR="00B02991" w:rsidRPr="00C9026A">
        <w:t>this</w:t>
      </w:r>
      <w:r w:rsidRPr="00C9026A">
        <w:t xml:space="preserve"> Safety Guide is prospective in nature, reliance will have to be placed on mathematical modelling </w:t>
      </w:r>
      <w:r w:rsidR="00E670DE">
        <w:t>to</w:t>
      </w:r>
      <w:r w:rsidRPr="00C9026A">
        <w:t xml:space="preserve"> evaluat</w:t>
      </w:r>
      <w:r w:rsidR="00E670DE">
        <w:t>e</w:t>
      </w:r>
      <w:r w:rsidR="007A0234" w:rsidRPr="00C9026A">
        <w:t>, for example,</w:t>
      </w:r>
      <w:r w:rsidRPr="00C9026A">
        <w:t xml:space="preserve"> the dispersion of radionuclides in the environment, </w:t>
      </w:r>
      <w:r w:rsidR="00907D0F" w:rsidRPr="00C9026A">
        <w:t xml:space="preserve">the </w:t>
      </w:r>
      <w:r w:rsidRPr="00C9026A">
        <w:t xml:space="preserve">transfer </w:t>
      </w:r>
      <w:r w:rsidR="003675FE" w:rsidRPr="00C9026A">
        <w:t xml:space="preserve">of radionuclides </w:t>
      </w:r>
      <w:r w:rsidRPr="00C9026A">
        <w:t>through environmental compartments</w:t>
      </w:r>
      <w:r w:rsidR="00D31C93">
        <w:rPr>
          <w:rStyle w:val="FootnoteReference"/>
        </w:rPr>
        <w:footnoteReference w:id="17"/>
      </w:r>
      <w:r w:rsidR="00F36575">
        <w:t>,</w:t>
      </w:r>
      <w:r w:rsidRPr="00C9026A">
        <w:t xml:space="preserve"> </w:t>
      </w:r>
      <w:r w:rsidR="00907D0F" w:rsidRPr="00C9026A">
        <w:t xml:space="preserve">the </w:t>
      </w:r>
      <w:r w:rsidR="003675FE">
        <w:t>uptake of radionuclides by</w:t>
      </w:r>
      <w:r w:rsidRPr="00C9026A">
        <w:t xml:space="preserve"> humans</w:t>
      </w:r>
      <w:r w:rsidR="003675FE">
        <w:t xml:space="preserve"> and</w:t>
      </w:r>
      <w:r w:rsidR="008472B6">
        <w:t xml:space="preserve"> biota</w:t>
      </w:r>
      <w:r w:rsidR="00F36575">
        <w:t xml:space="preserve"> in</w:t>
      </w:r>
      <w:r w:rsidR="003675FE">
        <w:t xml:space="preserve"> </w:t>
      </w:r>
      <w:r w:rsidR="00F53639" w:rsidRPr="00C9026A">
        <w:t>the human food</w:t>
      </w:r>
      <w:r w:rsidR="001E00A9">
        <w:t xml:space="preserve"> </w:t>
      </w:r>
      <w:r w:rsidR="00F53639" w:rsidRPr="00C9026A">
        <w:t>chain</w:t>
      </w:r>
      <w:r w:rsidRPr="00C9026A">
        <w:t xml:space="preserve"> and</w:t>
      </w:r>
      <w:r w:rsidR="00907D0F" w:rsidRPr="00C9026A">
        <w:t>,</w:t>
      </w:r>
      <w:r w:rsidRPr="00C9026A">
        <w:t xml:space="preserve"> finally</w:t>
      </w:r>
      <w:r w:rsidR="00907D0F" w:rsidRPr="00C9026A">
        <w:t>,</w:t>
      </w:r>
      <w:r w:rsidRPr="00C9026A">
        <w:t xml:space="preserve"> the radiation dose</w:t>
      </w:r>
      <w:r w:rsidR="00CF0ABC" w:rsidRPr="00C9026A">
        <w:t>s</w:t>
      </w:r>
      <w:r w:rsidRPr="00C9026A">
        <w:t xml:space="preserve"> </w:t>
      </w:r>
      <w:r w:rsidR="00D31C93">
        <w:t>to human</w:t>
      </w:r>
      <w:r w:rsidR="00615C97">
        <w:t>s</w:t>
      </w:r>
      <w:r w:rsidR="00D31C93">
        <w:t xml:space="preserve"> </w:t>
      </w:r>
      <w:r w:rsidRPr="00C9026A">
        <w:t xml:space="preserve">resulting from external </w:t>
      </w:r>
      <w:r w:rsidR="00D31C93">
        <w:t xml:space="preserve">and internal </w:t>
      </w:r>
      <w:r w:rsidR="00072A6A">
        <w:t>exposure</w:t>
      </w:r>
      <w:r w:rsidR="00D31C93">
        <w:t>s</w:t>
      </w:r>
      <w:r w:rsidR="00F773FC" w:rsidRPr="00C9026A">
        <w:t>. The models should be appropriate for the situation in which they are being applied,</w:t>
      </w:r>
      <w:r w:rsidR="002A78E5">
        <w:t xml:space="preserve"> </w:t>
      </w:r>
      <w:r w:rsidR="009E5F89">
        <w:t xml:space="preserve">and should be </w:t>
      </w:r>
      <w:r w:rsidR="002A78E5" w:rsidRPr="00D31C93">
        <w:t>verified</w:t>
      </w:r>
      <w:r w:rsidR="00D10A47">
        <w:rPr>
          <w:rStyle w:val="FootnoteReference"/>
        </w:rPr>
        <w:footnoteReference w:id="18"/>
      </w:r>
      <w:r w:rsidR="00236C47" w:rsidRPr="00C9026A">
        <w:t>.</w:t>
      </w:r>
      <w:r w:rsidR="00AB5708" w:rsidRPr="00C9026A">
        <w:t xml:space="preserve"> Model assumptions and parameter choices should be </w:t>
      </w:r>
      <w:r w:rsidR="007A1B4A">
        <w:t xml:space="preserve">described in </w:t>
      </w:r>
      <w:r w:rsidR="00AB5708" w:rsidRPr="00C9026A">
        <w:t xml:space="preserve">sufficient </w:t>
      </w:r>
      <w:r w:rsidR="007A1B4A">
        <w:t>detail</w:t>
      </w:r>
      <w:r w:rsidR="007A1B4A" w:rsidRPr="00C9026A">
        <w:t xml:space="preserve"> </w:t>
      </w:r>
      <w:r w:rsidR="00AB5708" w:rsidRPr="00C9026A">
        <w:t xml:space="preserve">and </w:t>
      </w:r>
      <w:r w:rsidR="003B2647">
        <w:t xml:space="preserve">should be </w:t>
      </w:r>
      <w:r w:rsidR="00AB5708" w:rsidRPr="00C9026A">
        <w:t xml:space="preserve">referenced to be transparent and </w:t>
      </w:r>
      <w:r w:rsidR="009E5F89">
        <w:t xml:space="preserve">to </w:t>
      </w:r>
      <w:r w:rsidR="00AB5708" w:rsidRPr="00C9026A">
        <w:t>allow independent verification.</w:t>
      </w:r>
      <w:r w:rsidR="002A78E5">
        <w:t xml:space="preserve"> </w:t>
      </w:r>
    </w:p>
    <w:p w:rsidR="00241913" w:rsidRPr="00C9026A" w:rsidRDefault="006026C5" w:rsidP="00A57A35">
      <w:pPr>
        <w:pStyle w:val="Heading4"/>
        <w:ind w:left="0"/>
      </w:pPr>
      <w:r w:rsidRPr="00C9026A">
        <w:t>Where possible</w:t>
      </w:r>
      <w:r w:rsidR="00B933CF" w:rsidRPr="00C9026A">
        <w:t>,</w:t>
      </w:r>
      <w:r w:rsidRPr="00C9026A">
        <w:t xml:space="preserve"> </w:t>
      </w:r>
      <w:r w:rsidR="00B02991" w:rsidRPr="00C9026A">
        <w:t xml:space="preserve">the </w:t>
      </w:r>
      <w:r w:rsidRPr="00C9026A">
        <w:t xml:space="preserve">selected models </w:t>
      </w:r>
      <w:r w:rsidR="00CD5346" w:rsidRPr="00C9026A">
        <w:t>should</w:t>
      </w:r>
      <w:r w:rsidRPr="00C9026A">
        <w:t xml:space="preserve"> </w:t>
      </w:r>
      <w:r w:rsidR="00AB5708" w:rsidRPr="00D31C93">
        <w:t>be</w:t>
      </w:r>
      <w:r w:rsidRPr="00D31C93">
        <w:t xml:space="preserve"> </w:t>
      </w:r>
      <w:r w:rsidR="007A1B4A" w:rsidRPr="00D31C93">
        <w:t>validated</w:t>
      </w:r>
      <w:r w:rsidR="007A1B4A">
        <w:t xml:space="preserve"> </w:t>
      </w:r>
      <w:r w:rsidRPr="00C9026A">
        <w:t xml:space="preserve">through comparison of the results </w:t>
      </w:r>
      <w:r w:rsidR="007A1B4A">
        <w:t xml:space="preserve">of calculations made using the models </w:t>
      </w:r>
      <w:r w:rsidRPr="00C9026A">
        <w:t xml:space="preserve">with </w:t>
      </w:r>
      <w:r w:rsidR="007A1B4A">
        <w:t xml:space="preserve">actual </w:t>
      </w:r>
      <w:r w:rsidRPr="00C9026A">
        <w:t xml:space="preserve">data </w:t>
      </w:r>
      <w:r w:rsidR="00F53639" w:rsidRPr="00C9026A">
        <w:t xml:space="preserve">resulting from measurements </w:t>
      </w:r>
      <w:r w:rsidR="00E670DE">
        <w:t>for</w:t>
      </w:r>
      <w:r w:rsidRPr="00C9026A">
        <w:t xml:space="preserve"> similar exposure scenarios</w:t>
      </w:r>
      <w:r w:rsidR="00865684" w:rsidRPr="00C9026A">
        <w:t xml:space="preserve"> or, </w:t>
      </w:r>
      <w:r w:rsidR="00E670DE">
        <w:t xml:space="preserve">if </w:t>
      </w:r>
      <w:r w:rsidR="007A1B4A">
        <w:t xml:space="preserve">this is </w:t>
      </w:r>
      <w:r w:rsidR="00E670DE">
        <w:t>not possible</w:t>
      </w:r>
      <w:r w:rsidR="00865684" w:rsidRPr="00C9026A">
        <w:t xml:space="preserve">, </w:t>
      </w:r>
      <w:r w:rsidR="00B81885" w:rsidRPr="00C9026A">
        <w:t>by mean</w:t>
      </w:r>
      <w:r w:rsidR="00B2409B" w:rsidRPr="00C9026A">
        <w:t>s</w:t>
      </w:r>
      <w:r w:rsidR="00B81885" w:rsidRPr="00C9026A">
        <w:t xml:space="preserve"> of benchmarking procedures against other </w:t>
      </w:r>
      <w:r w:rsidR="00B02991" w:rsidRPr="00C9026A">
        <w:t>appropriate</w:t>
      </w:r>
      <w:r w:rsidR="00B81885" w:rsidRPr="00C9026A">
        <w:t xml:space="preserve"> models</w:t>
      </w:r>
      <w:r w:rsidRPr="00C9026A">
        <w:t xml:space="preserve">. </w:t>
      </w:r>
      <w:r w:rsidR="00E670DE">
        <w:t>E</w:t>
      </w:r>
      <w:r w:rsidR="00B933CF" w:rsidRPr="00C9026A">
        <w:t xml:space="preserve">nvironmental </w:t>
      </w:r>
      <w:r w:rsidRPr="00C9026A">
        <w:t>monitoring programmes for the operational phase of a</w:t>
      </w:r>
      <w:r w:rsidR="00E670DE">
        <w:t xml:space="preserve"> facility or </w:t>
      </w:r>
      <w:r w:rsidRPr="00C9026A">
        <w:t>activity</w:t>
      </w:r>
      <w:r w:rsidR="00C66C7A" w:rsidRPr="00C9026A">
        <w:t xml:space="preserve"> </w:t>
      </w:r>
      <w:r w:rsidR="00E670DE">
        <w:t xml:space="preserve">can be used </w:t>
      </w:r>
      <w:r w:rsidR="00C66C7A" w:rsidRPr="00C9026A">
        <w:t xml:space="preserve">not only to verify compliance </w:t>
      </w:r>
      <w:r w:rsidR="00E67E8F" w:rsidRPr="00C9026A">
        <w:t xml:space="preserve">with discharge </w:t>
      </w:r>
      <w:r w:rsidR="007A1B4A">
        <w:t xml:space="preserve">limits </w:t>
      </w:r>
      <w:r w:rsidR="00E67E8F" w:rsidRPr="00C9026A">
        <w:t xml:space="preserve">and dose limits </w:t>
      </w:r>
      <w:r w:rsidR="00C66C7A" w:rsidRPr="00C9026A">
        <w:t>but</w:t>
      </w:r>
      <w:r w:rsidRPr="00C9026A">
        <w:t xml:space="preserve"> </w:t>
      </w:r>
      <w:r w:rsidR="007A1B4A">
        <w:t xml:space="preserve">also </w:t>
      </w:r>
      <w:r w:rsidRPr="00C9026A">
        <w:t xml:space="preserve">to </w:t>
      </w:r>
      <w:r w:rsidR="007A1B4A">
        <w:t>confirm</w:t>
      </w:r>
      <w:r w:rsidR="007A1B4A" w:rsidRPr="00C9026A">
        <w:t xml:space="preserve"> </w:t>
      </w:r>
      <w:r w:rsidR="000D0B27" w:rsidRPr="00C9026A">
        <w:t xml:space="preserve">that the </w:t>
      </w:r>
      <w:r w:rsidR="00E670DE">
        <w:t>environmental models</w:t>
      </w:r>
      <w:r w:rsidR="00E670DE" w:rsidRPr="00C9026A">
        <w:t xml:space="preserve"> </w:t>
      </w:r>
      <w:r w:rsidR="00081E74" w:rsidRPr="00C9026A">
        <w:t>used</w:t>
      </w:r>
      <w:r w:rsidR="00C66C7A" w:rsidRPr="00C9026A">
        <w:t xml:space="preserve"> in </w:t>
      </w:r>
      <w:r w:rsidR="000D0B27" w:rsidRPr="00C9026A">
        <w:t>the</w:t>
      </w:r>
      <w:r w:rsidR="00B933CF" w:rsidRPr="00C9026A">
        <w:t xml:space="preserve"> prospective </w:t>
      </w:r>
      <w:r w:rsidR="000D0B27" w:rsidRPr="00C9026A">
        <w:t xml:space="preserve">assessment </w:t>
      </w:r>
      <w:r w:rsidR="00245FD7" w:rsidRPr="00C9026A">
        <w:t xml:space="preserve">were </w:t>
      </w:r>
      <w:r w:rsidR="00E670DE">
        <w:t>adequate</w:t>
      </w:r>
      <w:r w:rsidRPr="00C9026A">
        <w:t xml:space="preserve">. </w:t>
      </w:r>
    </w:p>
    <w:p w:rsidR="00BE1C8A" w:rsidRPr="00C9026A" w:rsidRDefault="007A1B4A" w:rsidP="00A57A35">
      <w:pPr>
        <w:pStyle w:val="Heading4"/>
        <w:ind w:left="0"/>
      </w:pPr>
      <w:r>
        <w:t>Various</w:t>
      </w:r>
      <w:r w:rsidRPr="00C9026A">
        <w:t xml:space="preserve"> </w:t>
      </w:r>
      <w:r w:rsidR="0023271F" w:rsidRPr="00C9026A">
        <w:t>method</w:t>
      </w:r>
      <w:r w:rsidR="00605BA1" w:rsidRPr="00C9026A">
        <w:t>s</w:t>
      </w:r>
      <w:r w:rsidR="00CE3A36" w:rsidRPr="00C9026A">
        <w:t xml:space="preserve">, including </w:t>
      </w:r>
      <w:r>
        <w:t xml:space="preserve">different </w:t>
      </w:r>
      <w:r w:rsidR="00E66FE8" w:rsidRPr="00C9026A">
        <w:t>calculation tools</w:t>
      </w:r>
      <w:r w:rsidR="00EC5891" w:rsidRPr="00C9026A">
        <w:t xml:space="preserve"> and input data</w:t>
      </w:r>
      <w:r w:rsidR="00CE3A36" w:rsidRPr="00C9026A">
        <w:t>,</w:t>
      </w:r>
      <w:r w:rsidR="00E66FE8" w:rsidRPr="00C9026A">
        <w:t xml:space="preserve"> </w:t>
      </w:r>
      <w:r w:rsidR="006026C5" w:rsidRPr="00C9026A">
        <w:t xml:space="preserve">can be used to carry out </w:t>
      </w:r>
      <w:r w:rsidR="0051597A">
        <w:t xml:space="preserve">a </w:t>
      </w:r>
      <w:r w:rsidR="00D67D4A" w:rsidRPr="00C9026A">
        <w:t xml:space="preserve">radiological environmental impact </w:t>
      </w:r>
      <w:r w:rsidR="008D3F12" w:rsidRPr="00C9026A">
        <w:t>assessment</w:t>
      </w:r>
      <w:r w:rsidR="00A73352">
        <w:t xml:space="preserve">. </w:t>
      </w:r>
      <w:r w:rsidR="009E5F89">
        <w:t xml:space="preserve">Information on </w:t>
      </w:r>
      <w:r w:rsidR="00A73352">
        <w:t>generic conservative m</w:t>
      </w:r>
      <w:r w:rsidR="00E40D97">
        <w:t>ethods</w:t>
      </w:r>
      <w:r w:rsidR="009E5F89">
        <w:t xml:space="preserve"> is presented</w:t>
      </w:r>
      <w:r w:rsidR="00A73352">
        <w:t xml:space="preserve"> in </w:t>
      </w:r>
      <w:r w:rsidR="000B6173">
        <w:t>Ref.</w:t>
      </w:r>
      <w:r w:rsidR="00A73352">
        <w:t xml:space="preserve"> </w:t>
      </w:r>
      <w:r w:rsidR="00241913" w:rsidRPr="00C9026A">
        <w:t>[</w:t>
      </w:r>
      <w:r w:rsidR="0014379A">
        <w:t>10</w:t>
      </w:r>
      <w:r w:rsidR="00A73352">
        <w:t>]</w:t>
      </w:r>
      <w:r w:rsidR="006026C5" w:rsidRPr="00C9026A">
        <w:t xml:space="preserve">. </w:t>
      </w:r>
      <w:r w:rsidR="008257D4" w:rsidRPr="00C9026A">
        <w:t xml:space="preserve">The applicant should </w:t>
      </w:r>
      <w:r w:rsidR="006436E6">
        <w:t>determine</w:t>
      </w:r>
      <w:r w:rsidR="0051597A">
        <w:t xml:space="preserve"> </w:t>
      </w:r>
      <w:r w:rsidR="008257D4" w:rsidRPr="00C9026A">
        <w:t xml:space="preserve">the level of complexity and details in the </w:t>
      </w:r>
      <w:r w:rsidR="006436E6">
        <w:t xml:space="preserve">proposed </w:t>
      </w:r>
      <w:r w:rsidR="008257D4" w:rsidRPr="00C9026A">
        <w:t>methods</w:t>
      </w:r>
      <w:r>
        <w:t>,</w:t>
      </w:r>
      <w:r w:rsidR="008257D4" w:rsidRPr="00C9026A">
        <w:t xml:space="preserve"> </w:t>
      </w:r>
      <w:r w:rsidR="006436E6">
        <w:t>in accordance with</w:t>
      </w:r>
      <w:r w:rsidR="006436E6" w:rsidRPr="00C9026A">
        <w:t xml:space="preserve"> </w:t>
      </w:r>
      <w:r w:rsidR="008257D4" w:rsidRPr="00C9026A">
        <w:t>the characteristics of the facility or activity and the location (</w:t>
      </w:r>
      <w:r w:rsidR="0004749B" w:rsidRPr="00C9026A">
        <w:t>s</w:t>
      </w:r>
      <w:r w:rsidR="008257D4" w:rsidRPr="00C9026A">
        <w:t>ee Table 1 in Section 4).</w:t>
      </w:r>
      <w:r w:rsidR="00C870CA" w:rsidRPr="00C870CA">
        <w:rPr>
          <w:bCs w:val="0"/>
          <w:szCs w:val="20"/>
        </w:rPr>
        <w:t xml:space="preserve"> </w:t>
      </w:r>
      <w:r w:rsidR="00C870CA" w:rsidRPr="00C870CA">
        <w:t>The applicant is responsib</w:t>
      </w:r>
      <w:r w:rsidR="00D31C93">
        <w:t>le</w:t>
      </w:r>
      <w:r w:rsidR="00C870CA" w:rsidRPr="00C870CA">
        <w:t xml:space="preserve"> for select</w:t>
      </w:r>
      <w:r w:rsidR="00D31C93">
        <w:t>ing the most appropriate methods</w:t>
      </w:r>
      <w:r w:rsidR="00C870CA" w:rsidRPr="00C870CA">
        <w:t>, in accordance with guidance provided by the regulatory body.</w:t>
      </w:r>
      <w:r w:rsidR="008257D4" w:rsidRPr="00C9026A">
        <w:t xml:space="preserve"> </w:t>
      </w:r>
      <w:r w:rsidR="006026C5" w:rsidRPr="00C9026A">
        <w:t xml:space="preserve">The national regulatory body </w:t>
      </w:r>
      <w:r w:rsidR="00CD5346" w:rsidRPr="00C9026A">
        <w:t>should</w:t>
      </w:r>
      <w:r w:rsidR="006026C5" w:rsidRPr="00C9026A">
        <w:t xml:space="preserve"> decide</w:t>
      </w:r>
      <w:r>
        <w:t>,</w:t>
      </w:r>
      <w:r w:rsidR="00A73352">
        <w:t xml:space="preserve"> </w:t>
      </w:r>
      <w:r w:rsidR="006026C5" w:rsidRPr="00C9026A">
        <w:t xml:space="preserve">in discussion with the </w:t>
      </w:r>
      <w:r w:rsidR="00001DDE" w:rsidRPr="00C9026A">
        <w:t>applicant</w:t>
      </w:r>
      <w:r w:rsidR="006026C5" w:rsidRPr="00C9026A">
        <w:t xml:space="preserve"> and other interested parties</w:t>
      </w:r>
      <w:r>
        <w:t>,</w:t>
      </w:r>
      <w:r w:rsidR="006026C5" w:rsidRPr="00C9026A">
        <w:t xml:space="preserve"> which methodology is suited to carry</w:t>
      </w:r>
      <w:r w:rsidR="001950F6">
        <w:t>ing</w:t>
      </w:r>
      <w:r w:rsidR="006026C5" w:rsidRPr="00C9026A">
        <w:t xml:space="preserve"> out </w:t>
      </w:r>
      <w:r w:rsidR="00293CFD" w:rsidRPr="00C9026A">
        <w:t>a particular</w:t>
      </w:r>
      <w:r w:rsidR="00C62E8B" w:rsidRPr="00C9026A">
        <w:t xml:space="preserve"> assessment</w:t>
      </w:r>
      <w:r w:rsidR="001950F6" w:rsidRPr="001950F6">
        <w:t xml:space="preserve"> </w:t>
      </w:r>
      <w:r w:rsidR="001950F6">
        <w:t>and should agree</w:t>
      </w:r>
      <w:r w:rsidR="001950F6" w:rsidRPr="00C9026A">
        <w:t xml:space="preserve"> that the methodology adopted is adequate for </w:t>
      </w:r>
      <w:r w:rsidR="001950F6">
        <w:t>its</w:t>
      </w:r>
      <w:r w:rsidR="001950F6" w:rsidRPr="00C9026A">
        <w:t xml:space="preserve"> </w:t>
      </w:r>
      <w:r w:rsidR="001950F6">
        <w:t xml:space="preserve">proposed </w:t>
      </w:r>
      <w:r w:rsidR="001950F6" w:rsidRPr="00C9026A">
        <w:t>purpose</w:t>
      </w:r>
      <w:r w:rsidR="00BD4FFC" w:rsidRPr="00C9026A">
        <w:t>.</w:t>
      </w:r>
    </w:p>
    <w:p w:rsidR="00F431AF" w:rsidRPr="00C9026A" w:rsidRDefault="00F431AF" w:rsidP="00A57A35">
      <w:pPr>
        <w:pStyle w:val="Heading4"/>
        <w:ind w:left="0"/>
      </w:pPr>
      <w:r w:rsidRPr="00C9026A">
        <w:t>One consideration when deciding on the method</w:t>
      </w:r>
      <w:r w:rsidR="008257D4" w:rsidRPr="00C9026A">
        <w:t>s for a radiological environmental impact assessment</w:t>
      </w:r>
      <w:r w:rsidRPr="00C9026A">
        <w:t xml:space="preserve"> is the</w:t>
      </w:r>
      <w:r w:rsidR="00271649" w:rsidRPr="00C9026A">
        <w:t xml:space="preserve"> </w:t>
      </w:r>
      <w:r w:rsidR="00BB3733" w:rsidRPr="00C9026A">
        <w:t>balance</w:t>
      </w:r>
      <w:r w:rsidR="00271649" w:rsidRPr="00C9026A">
        <w:t xml:space="preserve"> between the amount of</w:t>
      </w:r>
      <w:r w:rsidRPr="00C9026A">
        <w:t xml:space="preserve"> effort </w:t>
      </w:r>
      <w:r w:rsidR="001950F6">
        <w:t>practicable</w:t>
      </w:r>
      <w:r w:rsidR="00C06D72">
        <w:t xml:space="preserve"> </w:t>
      </w:r>
      <w:r w:rsidRPr="00C9026A">
        <w:t xml:space="preserve">and the level of detail required. For example, </w:t>
      </w:r>
      <w:r w:rsidR="00271649" w:rsidRPr="00C9026A">
        <w:t xml:space="preserve">for </w:t>
      </w:r>
      <w:r w:rsidRPr="00C9026A">
        <w:t xml:space="preserve">a </w:t>
      </w:r>
      <w:r w:rsidR="00D16393">
        <w:t xml:space="preserve">facility </w:t>
      </w:r>
      <w:r w:rsidR="002C3A7E">
        <w:t>or an activity</w:t>
      </w:r>
      <w:r w:rsidR="00D16393" w:rsidRPr="00C9026A">
        <w:t xml:space="preserve"> </w:t>
      </w:r>
      <w:r w:rsidRPr="00C9026A">
        <w:t>with low levels of discharges</w:t>
      </w:r>
      <w:r w:rsidR="00A73352">
        <w:t>,</w:t>
      </w:r>
      <w:r w:rsidRPr="00C9026A">
        <w:t xml:space="preserve"> </w:t>
      </w:r>
      <w:r w:rsidR="00A73352">
        <w:t xml:space="preserve">resulting in doses </w:t>
      </w:r>
      <w:r w:rsidR="00F34B50">
        <w:t xml:space="preserve">close to </w:t>
      </w:r>
      <w:r w:rsidR="00A73352">
        <w:t xml:space="preserve">the </w:t>
      </w:r>
      <w:r w:rsidR="00D26EF3">
        <w:t>exemption</w:t>
      </w:r>
      <w:r w:rsidR="00A73352">
        <w:t xml:space="preserve"> criteria, </w:t>
      </w:r>
      <w:r w:rsidRPr="00C9026A">
        <w:t xml:space="preserve">and </w:t>
      </w:r>
      <w:r w:rsidR="00D16393">
        <w:t xml:space="preserve">a </w:t>
      </w:r>
      <w:r w:rsidR="00E67E8F" w:rsidRPr="00C9026A">
        <w:t xml:space="preserve">low </w:t>
      </w:r>
      <w:r w:rsidRPr="00C9026A">
        <w:t xml:space="preserve">potential for </w:t>
      </w:r>
      <w:r w:rsidR="00D16393">
        <w:t>a</w:t>
      </w:r>
      <w:r w:rsidR="005B765C">
        <w:t>n</w:t>
      </w:r>
      <w:r w:rsidR="00D16393">
        <w:t xml:space="preserve"> </w:t>
      </w:r>
      <w:r w:rsidRPr="00C9026A">
        <w:t>accident</w:t>
      </w:r>
      <w:r w:rsidR="00293CFD" w:rsidRPr="00C9026A">
        <w:t xml:space="preserve"> with </w:t>
      </w:r>
      <w:r w:rsidR="00293CFD" w:rsidRPr="00C9026A">
        <w:lastRenderedPageBreak/>
        <w:t xml:space="preserve">consequences </w:t>
      </w:r>
      <w:r w:rsidR="00D16393">
        <w:t>for</w:t>
      </w:r>
      <w:r w:rsidR="00D16393" w:rsidRPr="00C9026A">
        <w:t xml:space="preserve"> </w:t>
      </w:r>
      <w:r w:rsidR="00293CFD" w:rsidRPr="00C9026A">
        <w:t>the public and the environment</w:t>
      </w:r>
      <w:r w:rsidR="00271649" w:rsidRPr="00C9026A">
        <w:t xml:space="preserve">, the use of </w:t>
      </w:r>
      <w:r w:rsidR="00DC78C7" w:rsidRPr="00C9026A">
        <w:t xml:space="preserve">detailed </w:t>
      </w:r>
      <w:r w:rsidR="00271649" w:rsidRPr="00C9026A">
        <w:t>method</w:t>
      </w:r>
      <w:r w:rsidR="003F0393" w:rsidRPr="00C9026A">
        <w:t>s</w:t>
      </w:r>
      <w:r w:rsidR="00271649" w:rsidRPr="00C9026A">
        <w:t xml:space="preserve"> would not</w:t>
      </w:r>
      <w:r w:rsidR="00A73352">
        <w:t xml:space="preserve"> generally</w:t>
      </w:r>
      <w:r w:rsidR="00271649" w:rsidRPr="00C9026A">
        <w:t xml:space="preserve"> be necessary. </w:t>
      </w:r>
      <w:r w:rsidR="00E776F8" w:rsidRPr="00C9026A">
        <w:t xml:space="preserve">For these types of </w:t>
      </w:r>
      <w:r w:rsidR="00D16393">
        <w:t>facilit</w:t>
      </w:r>
      <w:r w:rsidR="002C3A7E">
        <w:t>ies or activities</w:t>
      </w:r>
      <w:r w:rsidR="00E776F8" w:rsidRPr="00C9026A">
        <w:t xml:space="preserve">, </w:t>
      </w:r>
      <w:r w:rsidR="00D16393">
        <w:t xml:space="preserve">the </w:t>
      </w:r>
      <w:r w:rsidR="00E776F8" w:rsidRPr="00C9026A">
        <w:t>regulatory bod</w:t>
      </w:r>
      <w:r w:rsidR="00D16393">
        <w:t>y</w:t>
      </w:r>
      <w:r w:rsidR="001276D6" w:rsidRPr="00C9026A">
        <w:t>, vendors</w:t>
      </w:r>
      <w:r w:rsidR="00E776F8" w:rsidRPr="00C9026A">
        <w:t xml:space="preserve"> </w:t>
      </w:r>
      <w:r w:rsidR="002D4426" w:rsidRPr="00C9026A">
        <w:t xml:space="preserve">or professional associations </w:t>
      </w:r>
      <w:r w:rsidR="00B74045" w:rsidRPr="00C9026A">
        <w:t>may</w:t>
      </w:r>
      <w:r w:rsidR="00E776F8" w:rsidRPr="00C9026A">
        <w:t xml:space="preserve"> </w:t>
      </w:r>
      <w:r w:rsidR="00B74045" w:rsidRPr="00C9026A">
        <w:t>develop</w:t>
      </w:r>
      <w:r w:rsidR="00E776F8" w:rsidRPr="00C9026A">
        <w:t xml:space="preserve"> generic guidance </w:t>
      </w:r>
      <w:r w:rsidR="00D16393">
        <w:t>setting out</w:t>
      </w:r>
      <w:r w:rsidR="00D16393" w:rsidRPr="00C9026A">
        <w:t xml:space="preserve"> </w:t>
      </w:r>
      <w:r w:rsidR="00E776F8" w:rsidRPr="00C9026A">
        <w:t>simple and c</w:t>
      </w:r>
      <w:r w:rsidR="00491D17">
        <w:t>onservative</w:t>
      </w:r>
      <w:r w:rsidR="00E776F8" w:rsidRPr="00C9026A">
        <w:t xml:space="preserve"> </w:t>
      </w:r>
      <w:r w:rsidR="008257D4" w:rsidRPr="00C9026A">
        <w:t>methods</w:t>
      </w:r>
      <w:r w:rsidR="00E776F8" w:rsidRPr="00C9026A">
        <w:t xml:space="preserve"> that can be used</w:t>
      </w:r>
      <w:r w:rsidR="006F64AF" w:rsidRPr="00C9026A">
        <w:t xml:space="preserve"> </w:t>
      </w:r>
      <w:r w:rsidR="002C7D25">
        <w:t xml:space="preserve">by applicants </w:t>
      </w:r>
      <w:r w:rsidR="006F64AF" w:rsidRPr="00C9026A">
        <w:t>for the</w:t>
      </w:r>
      <w:r w:rsidR="002C7D25">
        <w:t>ir</w:t>
      </w:r>
      <w:r w:rsidR="006F64AF" w:rsidRPr="00C9026A">
        <w:t xml:space="preserve"> assessments</w:t>
      </w:r>
      <w:r w:rsidR="00271649" w:rsidRPr="00C9026A">
        <w:t>.</w:t>
      </w:r>
      <w:r w:rsidR="00A4244F">
        <w:t xml:space="preserve"> </w:t>
      </w:r>
      <w:r w:rsidR="002C7D25">
        <w:t xml:space="preserve">These methods should be </w:t>
      </w:r>
      <w:r w:rsidR="008762F2">
        <w:t>adequate for</w:t>
      </w:r>
      <w:r w:rsidR="002C7D25">
        <w:t xml:space="preserve"> the task and</w:t>
      </w:r>
      <w:r w:rsidR="00D16393">
        <w:t xml:space="preserve"> should</w:t>
      </w:r>
      <w:r w:rsidR="002C7D25">
        <w:t xml:space="preserve"> consider all the environmental transfers</w:t>
      </w:r>
      <w:r w:rsidR="008762F2">
        <w:t xml:space="preserve"> aspects</w:t>
      </w:r>
      <w:r w:rsidR="002C7D25">
        <w:t>, such as bio-accumulation, appropriately.</w:t>
      </w:r>
    </w:p>
    <w:p w:rsidR="00D10A47" w:rsidRDefault="006026C5" w:rsidP="00A57A35">
      <w:pPr>
        <w:pStyle w:val="Heading4"/>
        <w:ind w:left="0"/>
      </w:pPr>
      <w:r w:rsidRPr="00C9026A">
        <w:t xml:space="preserve">For </w:t>
      </w:r>
      <w:r w:rsidR="00F773FC" w:rsidRPr="00C9026A">
        <w:t xml:space="preserve">facilities </w:t>
      </w:r>
      <w:r w:rsidR="00D16393">
        <w:t>for which</w:t>
      </w:r>
      <w:r w:rsidR="00D16393" w:rsidRPr="00C9026A">
        <w:t xml:space="preserve"> </w:t>
      </w:r>
      <w:r w:rsidRPr="00C9026A">
        <w:t>complex assessments</w:t>
      </w:r>
      <w:r w:rsidR="00D16393">
        <w:t xml:space="preserve"> are </w:t>
      </w:r>
      <w:r w:rsidR="006436E6">
        <w:t>warranted</w:t>
      </w:r>
      <w:r w:rsidR="00F773FC" w:rsidRPr="00C9026A">
        <w:t>,</w:t>
      </w:r>
      <w:r w:rsidR="0041722D" w:rsidRPr="00C9026A">
        <w:t xml:space="preserve"> </w:t>
      </w:r>
      <w:r w:rsidRPr="00C9026A">
        <w:t xml:space="preserve">the level of detail in the models </w:t>
      </w:r>
      <w:r w:rsidR="0041722D" w:rsidRPr="00C9026A">
        <w:t xml:space="preserve">and the data </w:t>
      </w:r>
      <w:r w:rsidRPr="00C9026A">
        <w:t xml:space="preserve">used for </w:t>
      </w:r>
      <w:r w:rsidR="00C62E8B" w:rsidRPr="00C9026A">
        <w:t xml:space="preserve">the assessment </w:t>
      </w:r>
      <w:r w:rsidR="00101D11" w:rsidRPr="00C9026A">
        <w:t xml:space="preserve">may </w:t>
      </w:r>
      <w:r w:rsidRPr="00C9026A">
        <w:t xml:space="preserve">evolve during the </w:t>
      </w:r>
      <w:r w:rsidR="006F64AF" w:rsidRPr="00C9026A">
        <w:t xml:space="preserve">governmental </w:t>
      </w:r>
      <w:r w:rsidR="00BE1799" w:rsidRPr="00C9026A">
        <w:t>decision</w:t>
      </w:r>
      <w:r w:rsidR="00D16393">
        <w:t xml:space="preserve"> </w:t>
      </w:r>
      <w:r w:rsidR="006F64AF" w:rsidRPr="00C9026A">
        <w:t>making</w:t>
      </w:r>
      <w:r w:rsidR="00BE1799" w:rsidRPr="00C9026A">
        <w:t xml:space="preserve"> process </w:t>
      </w:r>
      <w:r w:rsidR="0003511B">
        <w:t>or</w:t>
      </w:r>
      <w:r w:rsidR="0003511B" w:rsidRPr="00C9026A">
        <w:t xml:space="preserve"> </w:t>
      </w:r>
      <w:r w:rsidR="006F64AF" w:rsidRPr="00C9026A">
        <w:t xml:space="preserve">the </w:t>
      </w:r>
      <w:r w:rsidR="00DC2E82" w:rsidRPr="00C9026A">
        <w:t>authorization</w:t>
      </w:r>
      <w:r w:rsidR="00F44BFB" w:rsidRPr="00C9026A">
        <w:t xml:space="preserve"> process</w:t>
      </w:r>
      <w:r w:rsidR="00E0014C" w:rsidRPr="00C9026A">
        <w:t>.</w:t>
      </w:r>
    </w:p>
    <w:p w:rsidR="007A2AA0" w:rsidRPr="00C9026A" w:rsidRDefault="007A2AA0" w:rsidP="00A57A35">
      <w:pPr>
        <w:pStyle w:val="Heading2"/>
        <w:keepLines w:val="0"/>
        <w:rPr>
          <w:lang w:val="en-GB"/>
        </w:rPr>
      </w:pPr>
      <w:bookmarkStart w:id="54" w:name="_Toc447613482"/>
      <w:bookmarkStart w:id="55" w:name="_Toc450204005"/>
      <w:r w:rsidRPr="00C9026A">
        <w:rPr>
          <w:lang w:val="en-GB"/>
        </w:rPr>
        <w:t>A</w:t>
      </w:r>
      <w:r w:rsidR="00923C08" w:rsidRPr="00C9026A">
        <w:rPr>
          <w:lang w:val="en-GB"/>
        </w:rPr>
        <w:t xml:space="preserve">ssessment </w:t>
      </w:r>
      <w:r w:rsidR="00630BDA" w:rsidRPr="00C9026A">
        <w:rPr>
          <w:lang w:val="en-GB"/>
        </w:rPr>
        <w:t>for</w:t>
      </w:r>
      <w:r w:rsidR="00923C08" w:rsidRPr="00C9026A">
        <w:rPr>
          <w:lang w:val="en-GB"/>
        </w:rPr>
        <w:t xml:space="preserve"> </w:t>
      </w:r>
      <w:r w:rsidR="00D540B9" w:rsidRPr="00C9026A">
        <w:rPr>
          <w:lang w:val="en-GB"/>
        </w:rPr>
        <w:t xml:space="preserve">protection of </w:t>
      </w:r>
      <w:r w:rsidR="003D22C5" w:rsidRPr="00C9026A">
        <w:rPr>
          <w:lang w:val="en-GB"/>
        </w:rPr>
        <w:t xml:space="preserve">the </w:t>
      </w:r>
      <w:r w:rsidR="00D540B9" w:rsidRPr="00C9026A">
        <w:rPr>
          <w:lang w:val="en-GB"/>
        </w:rPr>
        <w:t xml:space="preserve">public </w:t>
      </w:r>
      <w:r w:rsidR="0003511B">
        <w:rPr>
          <w:lang w:val="en-GB"/>
        </w:rPr>
        <w:t>in</w:t>
      </w:r>
      <w:r w:rsidR="0003511B" w:rsidRPr="00C9026A">
        <w:rPr>
          <w:lang w:val="en-GB"/>
        </w:rPr>
        <w:t xml:space="preserve"> </w:t>
      </w:r>
      <w:r w:rsidR="00923C08" w:rsidRPr="00C9026A">
        <w:rPr>
          <w:lang w:val="en-GB"/>
        </w:rPr>
        <w:t>normal operation</w:t>
      </w:r>
      <w:bookmarkEnd w:id="54"/>
      <w:bookmarkEnd w:id="55"/>
    </w:p>
    <w:p w:rsidR="00BB3733" w:rsidRPr="00C9026A" w:rsidRDefault="00EE4557" w:rsidP="00A57A35">
      <w:pPr>
        <w:pStyle w:val="Heading4"/>
        <w:ind w:left="0"/>
      </w:pPr>
      <w:r w:rsidRPr="00C9026A">
        <w:t xml:space="preserve">Facilities </w:t>
      </w:r>
      <w:r w:rsidR="00A56D19" w:rsidRPr="00C9026A">
        <w:t xml:space="preserve">and activities </w:t>
      </w:r>
      <w:r w:rsidRPr="00C9026A">
        <w:t xml:space="preserve">that use </w:t>
      </w:r>
      <w:r w:rsidR="00081E74" w:rsidRPr="00C9026A">
        <w:t xml:space="preserve">or process </w:t>
      </w:r>
      <w:r w:rsidRPr="00C9026A">
        <w:t xml:space="preserve">radioactive </w:t>
      </w:r>
      <w:r w:rsidR="00A56D19" w:rsidRPr="00C9026A">
        <w:t>sources</w:t>
      </w:r>
      <w:r w:rsidR="00081E74" w:rsidRPr="00C9026A">
        <w:t xml:space="preserve"> or materials</w:t>
      </w:r>
      <w:r w:rsidR="004C22E0" w:rsidRPr="00C9026A">
        <w:t xml:space="preserve"> </w:t>
      </w:r>
      <w:r w:rsidRPr="00C9026A">
        <w:t xml:space="preserve">are designed, </w:t>
      </w:r>
      <w:r w:rsidR="00471CAE" w:rsidRPr="00C9026A">
        <w:t>constructed</w:t>
      </w:r>
      <w:r w:rsidRPr="00C9026A">
        <w:t>,</w:t>
      </w:r>
      <w:r w:rsidR="00471CAE" w:rsidRPr="00C9026A">
        <w:t xml:space="preserve"> commissioned</w:t>
      </w:r>
      <w:r w:rsidR="00E858AF">
        <w:t>,</w:t>
      </w:r>
      <w:r w:rsidRPr="00C9026A">
        <w:t xml:space="preserve"> operated </w:t>
      </w:r>
      <w:r w:rsidR="00471CAE" w:rsidRPr="00C9026A">
        <w:t xml:space="preserve">or conducted, </w:t>
      </w:r>
      <w:r w:rsidR="00A56D19" w:rsidRPr="00C9026A">
        <w:t xml:space="preserve">maintained </w:t>
      </w:r>
      <w:r w:rsidR="00471CAE" w:rsidRPr="00C9026A">
        <w:t>and decommissioned</w:t>
      </w:r>
      <w:r w:rsidR="00DC7C56">
        <w:t>,</w:t>
      </w:r>
      <w:r w:rsidR="00A4244F">
        <w:t xml:space="preserve"> </w:t>
      </w:r>
      <w:r w:rsidR="00471CAE" w:rsidRPr="00C9026A">
        <w:t xml:space="preserve">and </w:t>
      </w:r>
      <w:r w:rsidR="00DC7C56">
        <w:t xml:space="preserve">are </w:t>
      </w:r>
      <w:r w:rsidR="00471CAE" w:rsidRPr="00C9026A">
        <w:t xml:space="preserve">regulated </w:t>
      </w:r>
      <w:r w:rsidR="008155CA" w:rsidRPr="00C9026A">
        <w:t xml:space="preserve">throughout all these </w:t>
      </w:r>
      <w:r w:rsidR="00425CEA" w:rsidRPr="00C9026A">
        <w:t>stages</w:t>
      </w:r>
      <w:r w:rsidR="008155CA" w:rsidRPr="00C9026A">
        <w:t xml:space="preserve">, </w:t>
      </w:r>
      <w:r w:rsidR="00A56D19" w:rsidRPr="00C9026A">
        <w:t>in order</w:t>
      </w:r>
      <w:r w:rsidRPr="00C9026A">
        <w:t xml:space="preserve"> to prevent </w:t>
      </w:r>
      <w:r w:rsidR="00AC0407" w:rsidRPr="00C9026A">
        <w:t>or minimi</w:t>
      </w:r>
      <w:r w:rsidR="00DC7C56">
        <w:t>z</w:t>
      </w:r>
      <w:r w:rsidR="00AC0407" w:rsidRPr="00C9026A">
        <w:t xml:space="preserve">e </w:t>
      </w:r>
      <w:r w:rsidRPr="00C9026A">
        <w:t>releases of radioactive materials to the environment. However</w:t>
      </w:r>
      <w:r w:rsidR="00081E74" w:rsidRPr="00C9026A">
        <w:t xml:space="preserve">, </w:t>
      </w:r>
      <w:r w:rsidR="00AD77A5" w:rsidRPr="00C9026A">
        <w:t xml:space="preserve">very low amounts of </w:t>
      </w:r>
      <w:r w:rsidR="00081E74" w:rsidRPr="00C9026A">
        <w:t>radionuclide</w:t>
      </w:r>
      <w:r w:rsidR="00BB3733" w:rsidRPr="00C9026A">
        <w:t xml:space="preserve"> </w:t>
      </w:r>
      <w:r w:rsidR="00125606" w:rsidRPr="00C9026A">
        <w:t xml:space="preserve">residues </w:t>
      </w:r>
      <w:r w:rsidRPr="00C9026A">
        <w:t>can be found in some of the gaseous or liquid effluents resulting from normal operation</w:t>
      </w:r>
      <w:r w:rsidR="00125606" w:rsidRPr="00C9026A">
        <w:t xml:space="preserve">. </w:t>
      </w:r>
      <w:r w:rsidR="00DC7C56">
        <w:t>Owing</w:t>
      </w:r>
      <w:r w:rsidR="00DC7C56" w:rsidRPr="00F34B50">
        <w:t xml:space="preserve"> </w:t>
      </w:r>
      <w:r w:rsidR="00F34B50" w:rsidRPr="00F34B50">
        <w:t xml:space="preserve">to the </w:t>
      </w:r>
      <w:r w:rsidR="00AF1683">
        <w:t>large</w:t>
      </w:r>
      <w:r w:rsidR="00F34B50" w:rsidRPr="00F34B50">
        <w:t xml:space="preserve"> volumes involved, it </w:t>
      </w:r>
      <w:r w:rsidR="00DC7C56">
        <w:t>c</w:t>
      </w:r>
      <w:r w:rsidR="00F34B50" w:rsidRPr="00F34B50">
        <w:t xml:space="preserve">ould be technically difficult to </w:t>
      </w:r>
      <w:r w:rsidR="009D4AA2">
        <w:t>store</w:t>
      </w:r>
      <w:r w:rsidR="009D4AA2" w:rsidRPr="00F34B50">
        <w:t xml:space="preserve"> </w:t>
      </w:r>
      <w:r w:rsidR="00F34B50" w:rsidRPr="00F34B50">
        <w:t>all th</w:t>
      </w:r>
      <w:r w:rsidR="00AF1683">
        <w:t>is</w:t>
      </w:r>
      <w:r w:rsidR="00F34B50" w:rsidRPr="00F34B50">
        <w:t xml:space="preserve"> residue</w:t>
      </w:r>
      <w:r w:rsidR="00AF1683">
        <w:t xml:space="preserve"> material on</w:t>
      </w:r>
      <w:r w:rsidR="00DC7C56">
        <w:t xml:space="preserve"> the </w:t>
      </w:r>
      <w:r w:rsidR="00AF1683">
        <w:t>site, and</w:t>
      </w:r>
      <w:r w:rsidR="0003511B">
        <w:t>, in view of the low activity concentrations,</w:t>
      </w:r>
      <w:r w:rsidR="00AF1683">
        <w:t xml:space="preserve"> the cost of doing so would likely be</w:t>
      </w:r>
      <w:r w:rsidR="00F34B50" w:rsidRPr="00F34B50">
        <w:t xml:space="preserve"> excessive and unjustified from </w:t>
      </w:r>
      <w:r w:rsidR="00F07C95">
        <w:t>a</w:t>
      </w:r>
      <w:r w:rsidR="00F34B50" w:rsidRPr="00F34B50">
        <w:t xml:space="preserve"> </w:t>
      </w:r>
      <w:r w:rsidR="00DC7C56">
        <w:t>radiation</w:t>
      </w:r>
      <w:r w:rsidR="00DC7C56" w:rsidRPr="00F34B50">
        <w:t xml:space="preserve"> </w:t>
      </w:r>
      <w:r w:rsidR="00F34B50" w:rsidRPr="00F34B50">
        <w:t>protection perspective</w:t>
      </w:r>
      <w:r w:rsidR="00F34B50">
        <w:t xml:space="preserve">. </w:t>
      </w:r>
      <w:r w:rsidR="007E470E">
        <w:t xml:space="preserve">In some cases, </w:t>
      </w:r>
      <w:r w:rsidR="00E858AF">
        <w:t xml:space="preserve">a </w:t>
      </w:r>
      <w:r w:rsidR="007E470E">
        <w:t>facilit</w:t>
      </w:r>
      <w:r w:rsidR="00E858AF">
        <w:t>y</w:t>
      </w:r>
      <w:r w:rsidR="007E470E">
        <w:t xml:space="preserve"> or activit</w:t>
      </w:r>
      <w:r w:rsidR="00E858AF">
        <w:t>y</w:t>
      </w:r>
      <w:r w:rsidR="007E470E">
        <w:t xml:space="preserve"> can also </w:t>
      </w:r>
      <w:r w:rsidR="00E858AF">
        <w:t>cause</w:t>
      </w:r>
      <w:r w:rsidR="007E470E">
        <w:t xml:space="preserve"> exposure due </w:t>
      </w:r>
      <w:r w:rsidR="00C83633">
        <w:t xml:space="preserve">to </w:t>
      </w:r>
      <w:r w:rsidR="007E470E">
        <w:t xml:space="preserve">direct irradiation. </w:t>
      </w:r>
      <w:r w:rsidR="00F34B50">
        <w:t>I</w:t>
      </w:r>
      <w:r w:rsidR="00125606" w:rsidRPr="00C9026A">
        <w:t xml:space="preserve">n order to control the </w:t>
      </w:r>
      <w:r w:rsidR="00DC7C56">
        <w:t>doses</w:t>
      </w:r>
      <w:r w:rsidR="00DC7C56" w:rsidRPr="00C9026A">
        <w:t xml:space="preserve"> </w:t>
      </w:r>
      <w:r w:rsidR="00125606" w:rsidRPr="00C9026A">
        <w:t xml:space="preserve">to the public, </w:t>
      </w:r>
      <w:r w:rsidR="00133D14" w:rsidRPr="00C9026A">
        <w:t>in accordance with</w:t>
      </w:r>
      <w:r w:rsidR="00A56D19" w:rsidRPr="00C9026A">
        <w:t xml:space="preserve"> the </w:t>
      </w:r>
      <w:r w:rsidR="00133D14" w:rsidRPr="00C9026A">
        <w:t xml:space="preserve">safety </w:t>
      </w:r>
      <w:r w:rsidR="004C22E0" w:rsidRPr="00C9026A">
        <w:t>requirements in</w:t>
      </w:r>
      <w:r w:rsidR="00AD77A5" w:rsidRPr="00C9026A">
        <w:t xml:space="preserve"> </w:t>
      </w:r>
      <w:r w:rsidR="00D122E9" w:rsidRPr="00C9026A">
        <w:t>GSR Part 3</w:t>
      </w:r>
      <w:r w:rsidR="00125606" w:rsidRPr="00C9026A">
        <w:t xml:space="preserve"> </w:t>
      </w:r>
      <w:r w:rsidR="00D82017" w:rsidRPr="00C9026A">
        <w:t>[1]</w:t>
      </w:r>
      <w:r w:rsidR="00AF1683">
        <w:t>,</w:t>
      </w:r>
      <w:r w:rsidR="00D82017" w:rsidRPr="00C9026A">
        <w:t xml:space="preserve"> </w:t>
      </w:r>
      <w:r w:rsidR="00E858AF">
        <w:t>a</w:t>
      </w:r>
      <w:r w:rsidR="00A56D19" w:rsidRPr="00C9026A">
        <w:t xml:space="preserve"> </w:t>
      </w:r>
      <w:r w:rsidR="00F07C95" w:rsidRPr="00C9026A">
        <w:t xml:space="preserve">prospective </w:t>
      </w:r>
      <w:r w:rsidR="00A56D19" w:rsidRPr="00C9026A">
        <w:t>assessment of the possible dose to members of the public</w:t>
      </w:r>
      <w:r w:rsidR="00281D80" w:rsidRPr="00C9026A">
        <w:t xml:space="preserve"> </w:t>
      </w:r>
      <w:r w:rsidR="00F07C95">
        <w:t>from gaseous and liquid discharges</w:t>
      </w:r>
      <w:r w:rsidR="007E470E">
        <w:t xml:space="preserve"> and from direct irradiation</w:t>
      </w:r>
      <w:r w:rsidR="00E858AF">
        <w:t xml:space="preserve"> should be conducted</w:t>
      </w:r>
      <w:r w:rsidR="007E470E">
        <w:t>,</w:t>
      </w:r>
      <w:r w:rsidR="00F07C95">
        <w:t xml:space="preserve"> </w:t>
      </w:r>
      <w:r w:rsidR="00281D80" w:rsidRPr="00C9026A">
        <w:t xml:space="preserve">and the results </w:t>
      </w:r>
      <w:r w:rsidR="00E858AF">
        <w:t>should be compared with</w:t>
      </w:r>
      <w:r w:rsidR="00281D80" w:rsidRPr="00C9026A">
        <w:t xml:space="preserve"> defined criteria</w:t>
      </w:r>
      <w:r w:rsidR="00A56D19" w:rsidRPr="00C9026A">
        <w:t>.</w:t>
      </w:r>
    </w:p>
    <w:p w:rsidR="007B181B" w:rsidRPr="00C9026A" w:rsidRDefault="004E0BBF" w:rsidP="00A57A35">
      <w:pPr>
        <w:pStyle w:val="Heading3"/>
        <w:rPr>
          <w:lang w:val="en-GB"/>
        </w:rPr>
      </w:pPr>
      <w:bookmarkStart w:id="56" w:name="_Toc447613483"/>
      <w:bookmarkStart w:id="57" w:name="_Toc450204006"/>
      <w:r>
        <w:rPr>
          <w:lang w:val="en-GB"/>
        </w:rPr>
        <w:t>Approach to</w:t>
      </w:r>
      <w:r w:rsidR="00E91C15" w:rsidRPr="00C9026A">
        <w:rPr>
          <w:lang w:val="en-GB"/>
        </w:rPr>
        <w:t xml:space="preserve"> </w:t>
      </w:r>
      <w:r w:rsidR="007B181B" w:rsidRPr="00C9026A">
        <w:rPr>
          <w:lang w:val="en-GB"/>
        </w:rPr>
        <w:t>the assessment</w:t>
      </w:r>
      <w:bookmarkEnd w:id="56"/>
      <w:bookmarkEnd w:id="57"/>
    </w:p>
    <w:p w:rsidR="00806432" w:rsidRPr="00C9026A" w:rsidRDefault="008335AD" w:rsidP="00A57A35">
      <w:pPr>
        <w:pStyle w:val="Heading4"/>
        <w:ind w:left="0"/>
      </w:pPr>
      <w:r w:rsidRPr="00C9026A">
        <w:t xml:space="preserve">The </w:t>
      </w:r>
      <w:r w:rsidR="007E4CC2" w:rsidRPr="00C9026A">
        <w:t xml:space="preserve">radiological environmental impact assessment </w:t>
      </w:r>
      <w:r w:rsidRPr="00C9026A">
        <w:t xml:space="preserve">for </w:t>
      </w:r>
      <w:r w:rsidR="00E91C15">
        <w:t xml:space="preserve">the </w:t>
      </w:r>
      <w:r w:rsidR="009F2337">
        <w:t xml:space="preserve">public in </w:t>
      </w:r>
      <w:r w:rsidRPr="00C9026A">
        <w:t>normal operation use</w:t>
      </w:r>
      <w:r w:rsidR="00FC7F40" w:rsidRPr="00C9026A">
        <w:t>s</w:t>
      </w:r>
      <w:r w:rsidRPr="00C9026A">
        <w:t xml:space="preserve"> estimations of the dose to the public</w:t>
      </w:r>
      <w:r w:rsidR="00C574F0" w:rsidRPr="00C9026A">
        <w:t xml:space="preserve"> </w:t>
      </w:r>
      <w:r w:rsidR="00F469C7">
        <w:t>due to the</w:t>
      </w:r>
      <w:r w:rsidR="00C574F0" w:rsidRPr="00C9026A">
        <w:t xml:space="preserve"> </w:t>
      </w:r>
      <w:r w:rsidR="00F07C95">
        <w:t>discharges</w:t>
      </w:r>
      <w:r w:rsidR="00C574F0" w:rsidRPr="00C9026A">
        <w:t xml:space="preserve"> resulting from the operation of </w:t>
      </w:r>
      <w:r w:rsidR="00F469C7">
        <w:t xml:space="preserve">the </w:t>
      </w:r>
      <w:r w:rsidR="00C574F0" w:rsidRPr="00C9026A">
        <w:t>facilit</w:t>
      </w:r>
      <w:r w:rsidR="00F469C7">
        <w:t>y</w:t>
      </w:r>
      <w:r w:rsidR="00C574F0" w:rsidRPr="00C9026A">
        <w:t xml:space="preserve"> or </w:t>
      </w:r>
      <w:r w:rsidR="00F469C7">
        <w:t xml:space="preserve">the </w:t>
      </w:r>
      <w:r w:rsidR="00C574F0" w:rsidRPr="00C9026A">
        <w:t xml:space="preserve">conduct of </w:t>
      </w:r>
      <w:r w:rsidR="00F469C7">
        <w:t xml:space="preserve">the </w:t>
      </w:r>
      <w:r w:rsidR="00C574F0" w:rsidRPr="00C9026A">
        <w:t>activit</w:t>
      </w:r>
      <w:r w:rsidR="00F469C7">
        <w:t>y</w:t>
      </w:r>
      <w:r w:rsidRPr="00C9026A">
        <w:t xml:space="preserve">. </w:t>
      </w:r>
      <w:r w:rsidR="00BB3733" w:rsidRPr="00C9026A">
        <w:t xml:space="preserve">Figure </w:t>
      </w:r>
      <w:r w:rsidR="008106C9" w:rsidRPr="00C9026A">
        <w:t>2</w:t>
      </w:r>
      <w:r w:rsidR="00BB3733" w:rsidRPr="00C9026A">
        <w:t xml:space="preserve"> </w:t>
      </w:r>
      <w:r w:rsidR="00F469C7">
        <w:t>summarizes</w:t>
      </w:r>
      <w:r w:rsidR="00DE11D1" w:rsidRPr="00C9026A">
        <w:t xml:space="preserve"> </w:t>
      </w:r>
      <w:r w:rsidR="00BB3733" w:rsidRPr="00C9026A">
        <w:t xml:space="preserve">the components of </w:t>
      </w:r>
      <w:r w:rsidRPr="00C9026A">
        <w:t xml:space="preserve">such </w:t>
      </w:r>
      <w:r w:rsidR="00F469C7">
        <w:t xml:space="preserve">an </w:t>
      </w:r>
      <w:r w:rsidRPr="00C9026A">
        <w:t>assessment</w:t>
      </w:r>
      <w:r w:rsidR="00E6577B">
        <w:rPr>
          <w:rStyle w:val="FootnoteReference"/>
        </w:rPr>
        <w:footnoteReference w:id="19"/>
      </w:r>
      <w:r w:rsidR="00BB3733" w:rsidRPr="00C9026A">
        <w:t xml:space="preserve">. </w:t>
      </w:r>
      <w:r w:rsidR="004C22E0" w:rsidRPr="00C9026A">
        <w:t>In general terms, t</w:t>
      </w:r>
      <w:r w:rsidR="00806432" w:rsidRPr="00C9026A">
        <w:t xml:space="preserve">he first </w:t>
      </w:r>
      <w:r w:rsidR="00B84B16">
        <w:t>element</w:t>
      </w:r>
      <w:r w:rsidR="00992FD7" w:rsidRPr="00C9026A">
        <w:t xml:space="preserve"> </w:t>
      </w:r>
      <w:r w:rsidR="005A0B81" w:rsidRPr="00C9026A">
        <w:t>of the assessment</w:t>
      </w:r>
      <w:r w:rsidR="00806432" w:rsidRPr="00C9026A">
        <w:t xml:space="preserve"> </w:t>
      </w:r>
      <w:r w:rsidR="003E5031">
        <w:t>should be</w:t>
      </w:r>
      <w:r w:rsidR="003E5031" w:rsidRPr="00C9026A">
        <w:t xml:space="preserve"> </w:t>
      </w:r>
      <w:r w:rsidR="00806432" w:rsidRPr="00C9026A">
        <w:t xml:space="preserve">to characterize the source of radiation </w:t>
      </w:r>
      <w:r w:rsidR="005B765C">
        <w:t xml:space="preserve">as it </w:t>
      </w:r>
      <w:r w:rsidR="00806432" w:rsidRPr="00C9026A">
        <w:t>relate</w:t>
      </w:r>
      <w:r w:rsidR="005B765C">
        <w:t>s</w:t>
      </w:r>
      <w:r w:rsidR="00806432" w:rsidRPr="00C9026A">
        <w:t xml:space="preserve"> to </w:t>
      </w:r>
      <w:r w:rsidR="00B96782" w:rsidRPr="00C9026A">
        <w:t>public</w:t>
      </w:r>
      <w:r w:rsidR="00806432" w:rsidRPr="00C9026A">
        <w:t xml:space="preserve"> exposure</w:t>
      </w:r>
      <w:r w:rsidR="005B765C">
        <w:t>.</w:t>
      </w:r>
      <w:r w:rsidR="00806432" w:rsidRPr="00C9026A">
        <w:t xml:space="preserve"> </w:t>
      </w:r>
      <w:r w:rsidR="00B84B16">
        <w:t>Next</w:t>
      </w:r>
      <w:r w:rsidR="00F469C7">
        <w:t>,</w:t>
      </w:r>
      <w:r w:rsidR="00F469C7" w:rsidRPr="00C9026A">
        <w:t xml:space="preserve"> </w:t>
      </w:r>
      <w:r w:rsidR="00806432" w:rsidRPr="00C9026A">
        <w:t xml:space="preserve">dispersion in the environment and the transfer </w:t>
      </w:r>
      <w:r w:rsidR="005B765C">
        <w:t xml:space="preserve">of radionuclides </w:t>
      </w:r>
      <w:r w:rsidR="00806432" w:rsidRPr="00C9026A">
        <w:t xml:space="preserve">in the environmental compartments </w:t>
      </w:r>
      <w:r w:rsidR="004C22E0" w:rsidRPr="00C9026A">
        <w:t>relevant for</w:t>
      </w:r>
      <w:r w:rsidR="00806432" w:rsidRPr="00C9026A">
        <w:t xml:space="preserve"> the </w:t>
      </w:r>
      <w:r w:rsidR="004C22E0" w:rsidRPr="00C9026A">
        <w:t>identified exposure pathways</w:t>
      </w:r>
      <w:r w:rsidR="00806432" w:rsidRPr="00C9026A">
        <w:t xml:space="preserve"> </w:t>
      </w:r>
      <w:r w:rsidR="00D439F6" w:rsidRPr="00C9026A">
        <w:t xml:space="preserve">and the location </w:t>
      </w:r>
      <w:r w:rsidR="003E5031">
        <w:t xml:space="preserve">should be </w:t>
      </w:r>
      <w:r w:rsidR="00806432" w:rsidRPr="00C9026A">
        <w:t xml:space="preserve">considered. </w:t>
      </w:r>
      <w:r w:rsidR="004C22E0" w:rsidRPr="00C9026A">
        <w:t xml:space="preserve">The </w:t>
      </w:r>
      <w:r w:rsidR="00806432" w:rsidRPr="00C9026A">
        <w:t xml:space="preserve">activity concentrations estimated in a number of environmental media </w:t>
      </w:r>
      <w:r w:rsidR="003E5031">
        <w:t>should be</w:t>
      </w:r>
      <w:r w:rsidR="00806432" w:rsidRPr="00C9026A">
        <w:t xml:space="preserve"> then combined with relevant data </w:t>
      </w:r>
      <w:r w:rsidR="005B765C">
        <w:t xml:space="preserve">on </w:t>
      </w:r>
      <w:r w:rsidR="00C07163">
        <w:t xml:space="preserve">living </w:t>
      </w:r>
      <w:r w:rsidR="005B765C">
        <w:t xml:space="preserve">habits </w:t>
      </w:r>
      <w:r w:rsidR="00C07163">
        <w:t>and conditions</w:t>
      </w:r>
      <w:r w:rsidR="005B765C">
        <w:t xml:space="preserve"> </w:t>
      </w:r>
      <w:r w:rsidR="009239A4">
        <w:t>(</w:t>
      </w:r>
      <w:r w:rsidR="005B765C">
        <w:t>e.g.</w:t>
      </w:r>
      <w:r w:rsidR="009239A4">
        <w:t xml:space="preserve"> breathing rates, water consumption, food consumption) </w:t>
      </w:r>
      <w:r w:rsidR="004C22E0" w:rsidRPr="00C9026A">
        <w:t xml:space="preserve">and </w:t>
      </w:r>
      <w:r w:rsidR="00D439F6" w:rsidRPr="00C9026A">
        <w:t>time</w:t>
      </w:r>
      <w:r w:rsidR="005B765C">
        <w:t xml:space="preserve"> </w:t>
      </w:r>
      <w:r w:rsidR="004C22E0" w:rsidRPr="00C9026A">
        <w:t xml:space="preserve">occupation factors </w:t>
      </w:r>
      <w:r w:rsidR="009239A4">
        <w:t>(</w:t>
      </w:r>
      <w:r w:rsidR="005B765C">
        <w:t xml:space="preserve">e.g. </w:t>
      </w:r>
      <w:r w:rsidR="009239A4">
        <w:t>the time spent in a particular location or inside</w:t>
      </w:r>
      <w:r w:rsidR="00C07163">
        <w:t xml:space="preserve"> or </w:t>
      </w:r>
      <w:r w:rsidR="009239A4">
        <w:t xml:space="preserve">outside buildings) </w:t>
      </w:r>
      <w:r w:rsidR="00806432" w:rsidRPr="00C9026A">
        <w:t xml:space="preserve">to calculate intakes of </w:t>
      </w:r>
      <w:r w:rsidR="00A935DA" w:rsidRPr="00C9026A">
        <w:t xml:space="preserve">radionuclides </w:t>
      </w:r>
      <w:r w:rsidR="00806432" w:rsidRPr="00C9026A">
        <w:t xml:space="preserve">(internal exposure) or external </w:t>
      </w:r>
      <w:r w:rsidR="00C07163">
        <w:t>ir</w:t>
      </w:r>
      <w:r w:rsidR="00806432" w:rsidRPr="00C9026A">
        <w:t xml:space="preserve">radiation (external exposure) </w:t>
      </w:r>
      <w:r w:rsidR="005B765C">
        <w:t>for</w:t>
      </w:r>
      <w:r w:rsidR="005B765C" w:rsidRPr="00C9026A">
        <w:t xml:space="preserve"> </w:t>
      </w:r>
      <w:r w:rsidR="005B765C">
        <w:t>the</w:t>
      </w:r>
      <w:r w:rsidR="00806432" w:rsidRPr="00C9026A">
        <w:t xml:space="preserve"> representative person</w:t>
      </w:r>
      <w:r w:rsidR="00CD4465">
        <w:rPr>
          <w:rStyle w:val="FootnoteReference"/>
        </w:rPr>
        <w:footnoteReference w:id="20"/>
      </w:r>
      <w:r w:rsidR="00806432" w:rsidRPr="00C9026A">
        <w:t>.</w:t>
      </w:r>
      <w:r w:rsidR="0059029A" w:rsidRPr="00C9026A">
        <w:t xml:space="preserve"> </w:t>
      </w:r>
      <w:r w:rsidR="00806432" w:rsidRPr="00C9026A">
        <w:t>Intakes</w:t>
      </w:r>
      <w:r w:rsidR="00C07163">
        <w:t xml:space="preserve"> of radionuclides</w:t>
      </w:r>
      <w:r w:rsidR="00806432" w:rsidRPr="00C9026A">
        <w:t xml:space="preserve"> and external </w:t>
      </w:r>
      <w:r w:rsidR="00C07163">
        <w:t>ir</w:t>
      </w:r>
      <w:r w:rsidR="00806432" w:rsidRPr="00C9026A">
        <w:t xml:space="preserve">radiation </w:t>
      </w:r>
      <w:r w:rsidR="003E5031">
        <w:t>should be</w:t>
      </w:r>
      <w:r w:rsidR="00806432" w:rsidRPr="00C9026A">
        <w:t xml:space="preserve"> combined with </w:t>
      </w:r>
      <w:proofErr w:type="spellStart"/>
      <w:r w:rsidR="00806432" w:rsidRPr="00C9026A">
        <w:t>dosimetric</w:t>
      </w:r>
      <w:proofErr w:type="spellEnd"/>
      <w:r w:rsidR="00806432" w:rsidRPr="00C9026A">
        <w:t xml:space="preserve"> data to calculate doses to the representative person for comparison with relevant criteria</w:t>
      </w:r>
      <w:r w:rsidR="005A4AE0" w:rsidRPr="00C9026A">
        <w:t>, for example dose constraints</w:t>
      </w:r>
      <w:r w:rsidR="00806432" w:rsidRPr="00C9026A">
        <w:t>.</w:t>
      </w:r>
      <w:r w:rsidR="00A4244F">
        <w:t xml:space="preserve"> </w:t>
      </w:r>
      <w:r w:rsidR="005B765C" w:rsidRPr="00C9026A">
        <w:t xml:space="preserve">The </w:t>
      </w:r>
      <w:r w:rsidR="005B765C" w:rsidRPr="00C9026A">
        <w:lastRenderedPageBreak/>
        <w:t xml:space="preserve">different components of the assessment presented in </w:t>
      </w:r>
      <w:r w:rsidR="005B765C">
        <w:t>Fig.</w:t>
      </w:r>
      <w:r w:rsidR="005B765C" w:rsidRPr="00C9026A">
        <w:t xml:space="preserve"> 2 are </w:t>
      </w:r>
      <w:r w:rsidR="005B765C">
        <w:t>described</w:t>
      </w:r>
      <w:r w:rsidR="00A4244F">
        <w:t xml:space="preserve"> </w:t>
      </w:r>
      <w:r w:rsidR="005B765C" w:rsidRPr="00C9026A">
        <w:t xml:space="preserve">in the </w:t>
      </w:r>
      <w:r w:rsidR="005B765C">
        <w:t>paras</w:t>
      </w:r>
      <w:r w:rsidR="005B765C" w:rsidRPr="00C9026A">
        <w:t xml:space="preserve"> 5.</w:t>
      </w:r>
      <w:r w:rsidR="005B765C">
        <w:t>9</w:t>
      </w:r>
      <w:r w:rsidR="005B765C" w:rsidRPr="00C9026A">
        <w:t xml:space="preserve"> to 5.</w:t>
      </w:r>
      <w:r w:rsidR="00BF0334">
        <w:t>42</w:t>
      </w:r>
      <w:r w:rsidR="005B765C" w:rsidRPr="00C9026A">
        <w:t>.</w:t>
      </w:r>
    </w:p>
    <w:tbl>
      <w:tblPr>
        <w:tblW w:w="0" w:type="auto"/>
        <w:tblLayout w:type="fixed"/>
        <w:tblLook w:val="0000" w:firstRow="0" w:lastRow="0" w:firstColumn="0" w:lastColumn="0" w:noHBand="0" w:noVBand="0"/>
      </w:tblPr>
      <w:tblGrid>
        <w:gridCol w:w="9287"/>
      </w:tblGrid>
      <w:tr w:rsidR="00236C47" w:rsidRPr="00C9026A" w:rsidTr="00236C47">
        <w:trPr>
          <w:cantSplit/>
        </w:trPr>
        <w:tc>
          <w:tcPr>
            <w:tcW w:w="9287" w:type="dxa"/>
            <w:vAlign w:val="center"/>
          </w:tcPr>
          <w:p w:rsidR="00515810" w:rsidRPr="00C9026A" w:rsidRDefault="00FA717B" w:rsidP="00A57A35">
            <w:pPr>
              <w:pStyle w:val="BodyText"/>
              <w:overflowPunct w:val="0"/>
              <w:autoSpaceDE w:val="0"/>
              <w:autoSpaceDN w:val="0"/>
              <w:adjustRightInd w:val="0"/>
              <w:jc w:val="center"/>
              <w:textAlignment w:val="baseline"/>
              <w:rPr>
                <w:lang w:val="en-GB"/>
              </w:rPr>
            </w:pPr>
            <w:r>
              <w:rPr>
                <w:noProof/>
                <w:lang w:val="en-GB" w:eastAsia="en-GB"/>
              </w:rPr>
              <w:drawing>
                <wp:inline distT="0" distB="0" distL="0" distR="0" wp14:anchorId="7864F71E" wp14:editId="546938FA">
                  <wp:extent cx="2008853" cy="339003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8970" cy="3390231"/>
                          </a:xfrm>
                          <a:prstGeom prst="rect">
                            <a:avLst/>
                          </a:prstGeom>
                          <a:noFill/>
                          <a:ln>
                            <a:noFill/>
                          </a:ln>
                        </pic:spPr>
                      </pic:pic>
                    </a:graphicData>
                  </a:graphic>
                </wp:inline>
              </w:drawing>
            </w:r>
          </w:p>
          <w:p w:rsidR="009E2C0D" w:rsidRPr="00C9026A" w:rsidRDefault="00E979B7" w:rsidP="00E340E8">
            <w:pPr>
              <w:pStyle w:val="IAEAFigureCaption"/>
              <w:overflowPunct w:val="0"/>
              <w:autoSpaceDE w:val="0"/>
              <w:autoSpaceDN w:val="0"/>
              <w:adjustRightInd w:val="0"/>
              <w:jc w:val="left"/>
              <w:textAlignment w:val="baseline"/>
              <w:rPr>
                <w:lang w:val="en-GB"/>
              </w:rPr>
            </w:pPr>
            <w:r w:rsidRPr="00C9026A">
              <w:rPr>
                <w:szCs w:val="22"/>
                <w:lang w:val="en-GB"/>
              </w:rPr>
              <w:t xml:space="preserve">FIG. </w:t>
            </w:r>
            <w:r w:rsidRPr="00C9026A">
              <w:rPr>
                <w:szCs w:val="22"/>
                <w:lang w:val="en-GB"/>
              </w:rPr>
              <w:fldChar w:fldCharType="begin"/>
            </w:r>
            <w:r w:rsidRPr="00C9026A">
              <w:rPr>
                <w:szCs w:val="22"/>
                <w:lang w:val="en-GB"/>
              </w:rPr>
              <w:instrText xml:space="preserve"> SEQ Figure \* MERGEFORMAT </w:instrText>
            </w:r>
            <w:r w:rsidRPr="00C9026A">
              <w:rPr>
                <w:szCs w:val="22"/>
                <w:lang w:val="en-GB"/>
              </w:rPr>
              <w:fldChar w:fldCharType="separate"/>
            </w:r>
            <w:r w:rsidR="005E3463">
              <w:rPr>
                <w:noProof/>
                <w:szCs w:val="22"/>
                <w:lang w:val="en-GB"/>
              </w:rPr>
              <w:t>2</w:t>
            </w:r>
            <w:r w:rsidRPr="00C9026A">
              <w:rPr>
                <w:szCs w:val="22"/>
                <w:lang w:val="en-GB"/>
              </w:rPr>
              <w:fldChar w:fldCharType="end"/>
            </w:r>
            <w:r w:rsidRPr="00C9026A">
              <w:rPr>
                <w:szCs w:val="22"/>
                <w:lang w:val="en-GB"/>
              </w:rPr>
              <w:t>.</w:t>
            </w:r>
            <w:r w:rsidRPr="00C9026A">
              <w:rPr>
                <w:i w:val="0"/>
                <w:szCs w:val="22"/>
                <w:lang w:val="en-GB"/>
              </w:rPr>
              <w:t xml:space="preserve"> </w:t>
            </w:r>
            <w:r w:rsidR="009E2C0D" w:rsidRPr="00C9026A">
              <w:rPr>
                <w:lang w:val="en-GB"/>
              </w:rPr>
              <w:t xml:space="preserve">Components of a </w:t>
            </w:r>
            <w:r w:rsidR="005B765C" w:rsidRPr="00C9026A">
              <w:t xml:space="preserve">radiological environmental impact </w:t>
            </w:r>
            <w:r w:rsidR="009E2C0D" w:rsidRPr="00C9026A">
              <w:rPr>
                <w:lang w:val="en-GB"/>
              </w:rPr>
              <w:t xml:space="preserve">assessment for protection of the public </w:t>
            </w:r>
            <w:r w:rsidR="00E340E8">
              <w:rPr>
                <w:lang w:val="en-GB"/>
              </w:rPr>
              <w:t>in</w:t>
            </w:r>
            <w:r w:rsidR="00E340E8" w:rsidRPr="00C9026A">
              <w:rPr>
                <w:lang w:val="en-GB"/>
              </w:rPr>
              <w:t xml:space="preserve"> </w:t>
            </w:r>
            <w:r w:rsidR="009E2C0D" w:rsidRPr="00C9026A">
              <w:rPr>
                <w:lang w:val="en-GB"/>
              </w:rPr>
              <w:t>normal operation.</w:t>
            </w:r>
          </w:p>
        </w:tc>
      </w:tr>
    </w:tbl>
    <w:p w:rsidR="006026C5" w:rsidRPr="00C9026A" w:rsidRDefault="00B84B16" w:rsidP="00A57A35">
      <w:pPr>
        <w:pStyle w:val="Heading3"/>
        <w:rPr>
          <w:lang w:val="en-GB"/>
        </w:rPr>
      </w:pPr>
      <w:bookmarkStart w:id="58" w:name="_Toc447613484"/>
      <w:bookmarkStart w:id="59" w:name="_Toc450204007"/>
      <w:r>
        <w:rPr>
          <w:lang w:val="en-GB"/>
        </w:rPr>
        <w:t xml:space="preserve">Selection </w:t>
      </w:r>
      <w:r w:rsidR="006F07AF">
        <w:rPr>
          <w:lang w:val="en-GB"/>
        </w:rPr>
        <w:t>of the s</w:t>
      </w:r>
      <w:r w:rsidR="006026C5" w:rsidRPr="00C9026A">
        <w:rPr>
          <w:lang w:val="en-GB"/>
        </w:rPr>
        <w:t>ource term</w:t>
      </w:r>
      <w:bookmarkEnd w:id="58"/>
      <w:bookmarkEnd w:id="59"/>
    </w:p>
    <w:p w:rsidR="006026C5" w:rsidRPr="00C9026A" w:rsidRDefault="006026C5" w:rsidP="00A57A35">
      <w:pPr>
        <w:pStyle w:val="Heading4"/>
        <w:ind w:left="0"/>
      </w:pPr>
      <w:r w:rsidRPr="00C9026A">
        <w:t xml:space="preserve">The source term </w:t>
      </w:r>
      <w:r w:rsidR="00471C99" w:rsidRPr="00C9026A">
        <w:t xml:space="preserve">selected for </w:t>
      </w:r>
      <w:r w:rsidR="004B73B6" w:rsidRPr="00C9026A">
        <w:t>a</w:t>
      </w:r>
      <w:r w:rsidR="0082603B" w:rsidRPr="00C9026A">
        <w:t xml:space="preserve"> radiological environmental </w:t>
      </w:r>
      <w:r w:rsidR="00CF09B9" w:rsidRPr="00C9026A">
        <w:t>impact assessment</w:t>
      </w:r>
      <w:r w:rsidR="00471C99" w:rsidRPr="00C9026A">
        <w:t xml:space="preserve"> </w:t>
      </w:r>
      <w:r w:rsidR="00CD5346" w:rsidRPr="00C9026A">
        <w:t>should</w:t>
      </w:r>
      <w:r w:rsidRPr="00C9026A">
        <w:t xml:space="preserve"> be </w:t>
      </w:r>
      <w:r w:rsidR="00DB3C3E">
        <w:t xml:space="preserve">representative of the type of facility </w:t>
      </w:r>
      <w:r w:rsidR="005B765C">
        <w:t xml:space="preserve">or activity </w:t>
      </w:r>
      <w:r w:rsidR="00DB3C3E">
        <w:t>being assessed</w:t>
      </w:r>
      <w:r w:rsidRPr="00C9026A">
        <w:t xml:space="preserve">. </w:t>
      </w:r>
      <w:r w:rsidR="0049730A">
        <w:t>The composition and amount of</w:t>
      </w:r>
      <w:r w:rsidRPr="00C9026A">
        <w:t xml:space="preserve"> </w:t>
      </w:r>
      <w:r w:rsidR="005B73C0" w:rsidRPr="00C9026A">
        <w:t xml:space="preserve">relevant </w:t>
      </w:r>
      <w:r w:rsidRPr="00C9026A">
        <w:t>radionuclides</w:t>
      </w:r>
      <w:r w:rsidR="005B73C0" w:rsidRPr="00C9026A">
        <w:t>,</w:t>
      </w:r>
      <w:r w:rsidRPr="00C9026A">
        <w:t xml:space="preserve"> </w:t>
      </w:r>
      <w:r w:rsidR="0032134B" w:rsidRPr="00C9026A">
        <w:rPr>
          <w:szCs w:val="24"/>
        </w:rPr>
        <w:t xml:space="preserve">from </w:t>
      </w:r>
      <w:r w:rsidR="005B73C0" w:rsidRPr="00C9026A">
        <w:rPr>
          <w:szCs w:val="24"/>
        </w:rPr>
        <w:t xml:space="preserve">a </w:t>
      </w:r>
      <w:r w:rsidR="005B765C">
        <w:rPr>
          <w:szCs w:val="24"/>
        </w:rPr>
        <w:t>radiation protection</w:t>
      </w:r>
      <w:r w:rsidR="005B765C" w:rsidRPr="00C9026A">
        <w:rPr>
          <w:szCs w:val="24"/>
        </w:rPr>
        <w:t xml:space="preserve"> </w:t>
      </w:r>
      <w:r w:rsidR="0032134B" w:rsidRPr="00C9026A">
        <w:rPr>
          <w:szCs w:val="24"/>
        </w:rPr>
        <w:t>point of view</w:t>
      </w:r>
      <w:r w:rsidR="005B73C0" w:rsidRPr="00C9026A">
        <w:rPr>
          <w:szCs w:val="24"/>
        </w:rPr>
        <w:t>,</w:t>
      </w:r>
      <w:r w:rsidR="0032134B" w:rsidRPr="00C9026A">
        <w:t xml:space="preserve"> </w:t>
      </w:r>
      <w:r w:rsidR="00CD5346" w:rsidRPr="00C9026A">
        <w:t>should</w:t>
      </w:r>
      <w:r w:rsidRPr="00C9026A">
        <w:t xml:space="preserve"> be </w:t>
      </w:r>
      <w:r w:rsidR="00B84B16">
        <w:t>selected</w:t>
      </w:r>
      <w:r w:rsidR="005B765C">
        <w:t>,</w:t>
      </w:r>
      <w:r w:rsidRPr="00C9026A">
        <w:t xml:space="preserve"> </w:t>
      </w:r>
      <w:r w:rsidR="00144FFC" w:rsidRPr="00C9026A">
        <w:t>along with</w:t>
      </w:r>
      <w:r w:rsidRPr="00C9026A">
        <w:t xml:space="preserve"> </w:t>
      </w:r>
      <w:r w:rsidR="00BB3733" w:rsidRPr="00C9026A">
        <w:t xml:space="preserve">the discharge </w:t>
      </w:r>
      <w:r w:rsidR="0049730A">
        <w:t>path</w:t>
      </w:r>
      <w:r w:rsidR="0049730A" w:rsidRPr="00C9026A" w:rsidDel="0049730A">
        <w:t xml:space="preserve"> </w:t>
      </w:r>
      <w:r w:rsidR="005943D6" w:rsidRPr="00C9026A">
        <w:t>and</w:t>
      </w:r>
      <w:r w:rsidR="00087515" w:rsidRPr="00C9026A">
        <w:t xml:space="preserve"> the</w:t>
      </w:r>
      <w:r w:rsidR="00BB3733" w:rsidRPr="00C9026A">
        <w:t xml:space="preserve"> </w:t>
      </w:r>
      <w:r w:rsidR="005943D6" w:rsidRPr="00C9026A">
        <w:t xml:space="preserve">physical </w:t>
      </w:r>
      <w:r w:rsidR="005B765C">
        <w:t xml:space="preserve">properties </w:t>
      </w:r>
      <w:r w:rsidR="0049730A">
        <w:t>(i.e. gas, aerosol</w:t>
      </w:r>
      <w:r w:rsidR="00A558B9">
        <w:t xml:space="preserve"> </w:t>
      </w:r>
      <w:r w:rsidR="00F07C95">
        <w:t>or</w:t>
      </w:r>
      <w:r w:rsidR="0049730A">
        <w:t xml:space="preserve"> liquid) </w:t>
      </w:r>
      <w:r w:rsidR="005943D6" w:rsidRPr="00C9026A">
        <w:t xml:space="preserve">and chemical properties relevant for environmental transfers </w:t>
      </w:r>
      <w:r w:rsidR="0049730A">
        <w:t xml:space="preserve">and dosimetry </w:t>
      </w:r>
      <w:r w:rsidRPr="00C9026A">
        <w:t xml:space="preserve">of the radionuclides. </w:t>
      </w:r>
      <w:r w:rsidR="00F07C95">
        <w:t>Discharges</w:t>
      </w:r>
      <w:r w:rsidRPr="00C9026A">
        <w:t xml:space="preserve"> to the atmosphere</w:t>
      </w:r>
      <w:r w:rsidR="00F07C95">
        <w:t xml:space="preserve"> and </w:t>
      </w:r>
      <w:r w:rsidRPr="00C9026A">
        <w:t xml:space="preserve">to the aquatic environment </w:t>
      </w:r>
      <w:r w:rsidR="00BC4069">
        <w:t xml:space="preserve">and direct </w:t>
      </w:r>
      <w:r w:rsidR="005B765C">
        <w:t>ir</w:t>
      </w:r>
      <w:r w:rsidR="00BC4069">
        <w:t xml:space="preserve">radiation </w:t>
      </w:r>
      <w:r w:rsidR="00CD5346" w:rsidRPr="00C9026A">
        <w:t>should</w:t>
      </w:r>
      <w:r w:rsidR="00236C47" w:rsidRPr="00C9026A">
        <w:t xml:space="preserve"> be considered</w:t>
      </w:r>
      <w:r w:rsidR="00F07C95">
        <w:t xml:space="preserve"> separately</w:t>
      </w:r>
      <w:r w:rsidR="00460ABB" w:rsidRPr="00C9026A">
        <w:t>, as</w:t>
      </w:r>
      <w:r w:rsidR="005B73C0" w:rsidRPr="00C9026A">
        <w:t xml:space="preserve"> appropriate</w:t>
      </w:r>
      <w:r w:rsidR="00236C47" w:rsidRPr="00C9026A">
        <w:t>.</w:t>
      </w:r>
    </w:p>
    <w:p w:rsidR="006026C5" w:rsidRPr="00C9026A" w:rsidRDefault="005B73C0" w:rsidP="00A57A35">
      <w:pPr>
        <w:pStyle w:val="Heading4"/>
        <w:ind w:left="0"/>
      </w:pPr>
      <w:r w:rsidRPr="00C9026A">
        <w:t xml:space="preserve">In some cases, for instance </w:t>
      </w:r>
      <w:r w:rsidR="005B765C">
        <w:t>in the case of a radiological environmental impact assessment for</w:t>
      </w:r>
      <w:r w:rsidR="005B765C" w:rsidRPr="00C9026A">
        <w:t xml:space="preserve"> </w:t>
      </w:r>
      <w:r w:rsidR="005B765C">
        <w:t>a</w:t>
      </w:r>
      <w:r w:rsidR="005B765C" w:rsidRPr="00C9026A">
        <w:t xml:space="preserve"> </w:t>
      </w:r>
      <w:r w:rsidR="004F21D0" w:rsidRPr="00C9026A">
        <w:t>governmental decision</w:t>
      </w:r>
      <w:r w:rsidR="005B765C">
        <w:t xml:space="preserve"> </w:t>
      </w:r>
      <w:r w:rsidR="004F21D0" w:rsidRPr="00C9026A">
        <w:t xml:space="preserve">making process or </w:t>
      </w:r>
      <w:r w:rsidR="005B765C">
        <w:t xml:space="preserve">at the </w:t>
      </w:r>
      <w:r w:rsidRPr="00C9026A">
        <w:t>initial stages of a</w:t>
      </w:r>
      <w:r w:rsidR="0049730A">
        <w:t>n</w:t>
      </w:r>
      <w:r w:rsidR="004F21D0" w:rsidRPr="00C9026A">
        <w:t xml:space="preserve"> </w:t>
      </w:r>
      <w:r w:rsidRPr="00C9026A">
        <w:t xml:space="preserve">authorization </w:t>
      </w:r>
      <w:r w:rsidR="004F21D0" w:rsidRPr="00C9026A">
        <w:t>process</w:t>
      </w:r>
      <w:r w:rsidR="00736108" w:rsidRPr="00C9026A">
        <w:t>,</w:t>
      </w:r>
      <w:r w:rsidRPr="00C9026A">
        <w:t xml:space="preserve"> </w:t>
      </w:r>
      <w:r w:rsidR="005B765C">
        <w:t xml:space="preserve">a </w:t>
      </w:r>
      <w:r w:rsidR="00CB31F7" w:rsidRPr="00C9026A">
        <w:t xml:space="preserve">generic source term for the </w:t>
      </w:r>
      <w:r w:rsidR="005B765C">
        <w:t>proposed</w:t>
      </w:r>
      <w:r w:rsidR="005B765C" w:rsidRPr="00C9026A">
        <w:t xml:space="preserve"> </w:t>
      </w:r>
      <w:r w:rsidR="00CB31F7" w:rsidRPr="00C9026A">
        <w:t>facility</w:t>
      </w:r>
      <w:r w:rsidR="00A45E82" w:rsidRPr="00C9026A">
        <w:t xml:space="preserve"> or activity</w:t>
      </w:r>
      <w:r w:rsidR="00CB31F7" w:rsidRPr="00C9026A">
        <w:t xml:space="preserve"> could be used, based on </w:t>
      </w:r>
      <w:r w:rsidR="003D51E9" w:rsidRPr="00C9026A">
        <w:t>preliminary estimations</w:t>
      </w:r>
      <w:r w:rsidR="00A45E82" w:rsidRPr="00C9026A">
        <w:t>,</w:t>
      </w:r>
      <w:r w:rsidR="003D51E9" w:rsidRPr="00C9026A">
        <w:t xml:space="preserve"> </w:t>
      </w:r>
      <w:r w:rsidR="00CB31F7" w:rsidRPr="00C9026A">
        <w:t xml:space="preserve">published data or experience from similar </w:t>
      </w:r>
      <w:r w:rsidR="00086DBA">
        <w:t>facilities or activities</w:t>
      </w:r>
      <w:r w:rsidR="000D1716" w:rsidRPr="00C9026A">
        <w:t xml:space="preserve">. Information on generic source terms for normal operation of nuclear </w:t>
      </w:r>
      <w:r w:rsidR="00F21846">
        <w:t>power plants</w:t>
      </w:r>
      <w:r w:rsidR="007D093B">
        <w:t xml:space="preserve"> </w:t>
      </w:r>
      <w:r w:rsidR="00375B5B">
        <w:t>and</w:t>
      </w:r>
      <w:r w:rsidR="007D093B">
        <w:t xml:space="preserve"> other </w:t>
      </w:r>
      <w:r w:rsidR="00ED7175">
        <w:t xml:space="preserve">facilities and </w:t>
      </w:r>
      <w:r w:rsidR="009F532C">
        <w:t>activities</w:t>
      </w:r>
      <w:r w:rsidR="000D1716" w:rsidRPr="00C9026A">
        <w:t xml:space="preserve"> can be found in</w:t>
      </w:r>
      <w:r w:rsidR="00AE595B" w:rsidRPr="00C9026A">
        <w:t xml:space="preserve"> </w:t>
      </w:r>
      <w:r w:rsidR="00F07C95">
        <w:t xml:space="preserve">reports published by the UN Scientific Committee on the Effects of Atomic Radiation (UNSCEAR) </w:t>
      </w:r>
      <w:r w:rsidR="00AE595B" w:rsidRPr="00C9026A">
        <w:t>[</w:t>
      </w:r>
      <w:r w:rsidR="002E182F" w:rsidRPr="00C9026A">
        <w:t>3</w:t>
      </w:r>
      <w:r w:rsidR="004E0BBF">
        <w:t>9</w:t>
      </w:r>
      <w:r w:rsidR="00AE595B" w:rsidRPr="00C9026A">
        <w:t>,</w:t>
      </w:r>
      <w:r w:rsidR="00E23D4C" w:rsidRPr="00C9026A">
        <w:t xml:space="preserve"> </w:t>
      </w:r>
      <w:r w:rsidR="004E0BBF">
        <w:t>40</w:t>
      </w:r>
      <w:r w:rsidR="00AE595B" w:rsidRPr="00C9026A">
        <w:t>]</w:t>
      </w:r>
      <w:r w:rsidR="00CB31F7" w:rsidRPr="00C9026A">
        <w:t xml:space="preserve">. Later, when </w:t>
      </w:r>
      <w:r w:rsidR="0082603B" w:rsidRPr="00C9026A">
        <w:t xml:space="preserve">more details are known about </w:t>
      </w:r>
      <w:r w:rsidR="00AD77A5" w:rsidRPr="00C9026A">
        <w:t xml:space="preserve">the </w:t>
      </w:r>
      <w:r w:rsidR="00CB31F7" w:rsidRPr="00C9026A">
        <w:t xml:space="preserve">design and </w:t>
      </w:r>
      <w:r w:rsidR="0082603B" w:rsidRPr="00C9026A">
        <w:t>operation</w:t>
      </w:r>
      <w:r w:rsidR="00086DBA">
        <w:t xml:space="preserve"> of the facility or activity</w:t>
      </w:r>
      <w:r w:rsidR="00CB31F7" w:rsidRPr="00C9026A">
        <w:t xml:space="preserve">, the source term </w:t>
      </w:r>
      <w:r w:rsidR="00CD5346" w:rsidRPr="00C9026A">
        <w:t>should</w:t>
      </w:r>
      <w:r w:rsidR="00CB31F7" w:rsidRPr="00C9026A">
        <w:t xml:space="preserve"> be more accurately characterized</w:t>
      </w:r>
      <w:r w:rsidR="00AE595B" w:rsidRPr="00C9026A">
        <w:t xml:space="preserve"> by mean</w:t>
      </w:r>
      <w:r w:rsidR="007F6448" w:rsidRPr="00C9026A">
        <w:t>s</w:t>
      </w:r>
      <w:r w:rsidR="00AE595B" w:rsidRPr="00C9026A">
        <w:t xml:space="preserve"> of appropriate </w:t>
      </w:r>
      <w:r w:rsidR="00460ABB" w:rsidRPr="00C9026A">
        <w:t xml:space="preserve">engineering </w:t>
      </w:r>
      <w:r w:rsidR="000D1716" w:rsidRPr="00C9026A">
        <w:t>analysis</w:t>
      </w:r>
      <w:r w:rsidR="00AE595B" w:rsidRPr="00C9026A">
        <w:t>.</w:t>
      </w:r>
    </w:p>
    <w:p w:rsidR="006026C5" w:rsidRPr="00C9026A" w:rsidRDefault="006026C5" w:rsidP="00A57A35">
      <w:pPr>
        <w:pStyle w:val="Heading4"/>
        <w:ind w:left="0"/>
      </w:pPr>
      <w:r w:rsidRPr="00C9026A">
        <w:t xml:space="preserve">The </w:t>
      </w:r>
      <w:r w:rsidR="009F532C">
        <w:t xml:space="preserve">amount of the </w:t>
      </w:r>
      <w:r w:rsidR="00F07C95">
        <w:t>discharges</w:t>
      </w:r>
      <w:r w:rsidRPr="00C9026A">
        <w:t xml:space="preserve"> </w:t>
      </w:r>
      <w:r w:rsidR="00F20873">
        <w:t xml:space="preserve">should be </w:t>
      </w:r>
      <w:r w:rsidR="00B84B16">
        <w:t xml:space="preserve">integrated </w:t>
      </w:r>
      <w:r w:rsidRPr="00C9026A">
        <w:t>over the period required by the regulatory body</w:t>
      </w:r>
      <w:r w:rsidR="00F21846">
        <w:t>;</w:t>
      </w:r>
      <w:r w:rsidRPr="00C9026A">
        <w:t xml:space="preserve"> this is generally </w:t>
      </w:r>
      <w:r w:rsidR="00BB3733" w:rsidRPr="00C9026A">
        <w:t xml:space="preserve">given in terms of activity released per </w:t>
      </w:r>
      <w:r w:rsidRPr="00C9026A">
        <w:t xml:space="preserve">year of operation. </w:t>
      </w:r>
      <w:r w:rsidR="00DD3BAF">
        <w:t xml:space="preserve">For most </w:t>
      </w:r>
      <w:r w:rsidR="00BA6D7C">
        <w:t xml:space="preserve">facilities and </w:t>
      </w:r>
      <w:r w:rsidR="00DD3BAF">
        <w:t>activities</w:t>
      </w:r>
      <w:r w:rsidR="00730EE8">
        <w:t>,</w:t>
      </w:r>
      <w:r w:rsidR="00DD3BAF">
        <w:t xml:space="preserve"> a</w:t>
      </w:r>
      <w:r w:rsidR="00C91F70" w:rsidRPr="00C9026A">
        <w:t xml:space="preserve"> radiological environmental impact assessment</w:t>
      </w:r>
      <w:r w:rsidRPr="00C9026A">
        <w:t xml:space="preserve"> typically assume</w:t>
      </w:r>
      <w:r w:rsidR="00587E94">
        <w:t>s</w:t>
      </w:r>
      <w:r w:rsidRPr="00C9026A">
        <w:t xml:space="preserve"> that the discharges are continuous and constant </w:t>
      </w:r>
      <w:r w:rsidR="00912B11">
        <w:t>during the operational period, for example 30-50 years</w:t>
      </w:r>
      <w:r w:rsidRPr="00C9026A">
        <w:t xml:space="preserve">. </w:t>
      </w:r>
      <w:r w:rsidR="00D4482B">
        <w:t>T</w:t>
      </w:r>
      <w:r w:rsidRPr="00C9026A">
        <w:t xml:space="preserve">his </w:t>
      </w:r>
      <w:r w:rsidR="004F21D0" w:rsidRPr="00C9026A">
        <w:t xml:space="preserve">assumption may not be </w:t>
      </w:r>
      <w:r w:rsidR="0088507C">
        <w:t xml:space="preserve">always </w:t>
      </w:r>
      <w:r w:rsidR="004F21D0" w:rsidRPr="00C9026A">
        <w:t>valid</w:t>
      </w:r>
      <w:r w:rsidR="00A45E82" w:rsidRPr="00C9026A">
        <w:t>,</w:t>
      </w:r>
      <w:r w:rsidR="004F21D0" w:rsidRPr="00C9026A">
        <w:t xml:space="preserve"> because</w:t>
      </w:r>
      <w:r w:rsidRPr="00C9026A">
        <w:t xml:space="preserve"> significant variation </w:t>
      </w:r>
      <w:r w:rsidRPr="00C9026A">
        <w:lastRenderedPageBreak/>
        <w:t>in the discharges over a short time period</w:t>
      </w:r>
      <w:r w:rsidR="004F21D0" w:rsidRPr="00C9026A">
        <w:t xml:space="preserve"> are expected</w:t>
      </w:r>
      <w:r w:rsidR="00730EE8">
        <w:t xml:space="preserve">, </w:t>
      </w:r>
      <w:r w:rsidR="00F20873">
        <w:t>as in the case of</w:t>
      </w:r>
      <w:r w:rsidR="00DB3C3E">
        <w:t xml:space="preserve"> pulsed release</w:t>
      </w:r>
      <w:r w:rsidR="00730EE8">
        <w:t xml:space="preserve"> patterns</w:t>
      </w:r>
      <w:r w:rsidR="00DB3C3E">
        <w:t xml:space="preserve"> from facilities</w:t>
      </w:r>
      <w:r w:rsidR="00675D52">
        <w:t xml:space="preserve"> or activities</w:t>
      </w:r>
      <w:r w:rsidR="00E11F48">
        <w:t>,</w:t>
      </w:r>
      <w:r w:rsidR="00DB3C3E">
        <w:t xml:space="preserve"> </w:t>
      </w:r>
      <w:r w:rsidR="00730EE8">
        <w:t xml:space="preserve">such as </w:t>
      </w:r>
      <w:r w:rsidR="00730EE8" w:rsidRPr="00C9026A">
        <w:t xml:space="preserve">discharges </w:t>
      </w:r>
      <w:r w:rsidR="00730EE8">
        <w:t xml:space="preserve">of </w:t>
      </w:r>
      <w:r w:rsidRPr="00C9026A">
        <w:t>iodine</w:t>
      </w:r>
      <w:r w:rsidR="00587E94">
        <w:noBreakHyphen/>
      </w:r>
      <w:r w:rsidRPr="00C9026A">
        <w:t xml:space="preserve">131 to </w:t>
      </w:r>
      <w:r w:rsidR="00730EE8">
        <w:t xml:space="preserve">the </w:t>
      </w:r>
      <w:r w:rsidRPr="00C9026A">
        <w:t>sewer</w:t>
      </w:r>
      <w:r w:rsidR="00730EE8">
        <w:t>age system</w:t>
      </w:r>
      <w:r w:rsidRPr="00C9026A">
        <w:t xml:space="preserve"> from hospital</w:t>
      </w:r>
      <w:r w:rsidR="00D4482B">
        <w:t>s</w:t>
      </w:r>
      <w:r w:rsidR="00DB3C3E">
        <w:t xml:space="preserve"> </w:t>
      </w:r>
      <w:r w:rsidR="00DD3BAF">
        <w:t xml:space="preserve">and discharges from </w:t>
      </w:r>
      <w:r w:rsidR="0088507C">
        <w:t xml:space="preserve">reprocessing </w:t>
      </w:r>
      <w:r w:rsidR="007468BA">
        <w:t xml:space="preserve">facilities </w:t>
      </w:r>
      <w:r w:rsidR="0088507C">
        <w:t xml:space="preserve">and materials </w:t>
      </w:r>
      <w:r w:rsidR="00DD3BAF">
        <w:t>processing facilities</w:t>
      </w:r>
      <w:r w:rsidR="00F17D7F">
        <w:t>,</w:t>
      </w:r>
      <w:r w:rsidR="009F532C">
        <w:t xml:space="preserve"> </w:t>
      </w:r>
      <w:r w:rsidR="00F17D7F">
        <w:t>which</w:t>
      </w:r>
      <w:r w:rsidR="009F532C">
        <w:t xml:space="preserve"> usually operate in batches</w:t>
      </w:r>
      <w:r w:rsidR="00D4482B">
        <w:t xml:space="preserve">. The </w:t>
      </w:r>
      <w:r w:rsidR="004F21D0" w:rsidRPr="00C9026A">
        <w:t xml:space="preserve">effects </w:t>
      </w:r>
      <w:r w:rsidR="00D4482B">
        <w:t xml:space="preserve">of such </w:t>
      </w:r>
      <w:r w:rsidR="007468BA">
        <w:t xml:space="preserve">pulsed </w:t>
      </w:r>
      <w:r w:rsidRPr="00C9026A">
        <w:t>release</w:t>
      </w:r>
      <w:r w:rsidR="00D4482B">
        <w:t xml:space="preserve"> pattern</w:t>
      </w:r>
      <w:r w:rsidRPr="00C9026A">
        <w:t xml:space="preserve">s </w:t>
      </w:r>
      <w:r w:rsidR="00595B69">
        <w:t xml:space="preserve">should </w:t>
      </w:r>
      <w:r w:rsidRPr="00C9026A">
        <w:t xml:space="preserve">be </w:t>
      </w:r>
      <w:r w:rsidR="00C91F70" w:rsidRPr="00C9026A">
        <w:t>considered</w:t>
      </w:r>
      <w:r w:rsidR="00DD3BAF">
        <w:t xml:space="preserve"> in the assessment</w:t>
      </w:r>
      <w:r w:rsidR="007468BA">
        <w:t>,</w:t>
      </w:r>
      <w:r w:rsidR="00595B69">
        <w:t xml:space="preserve"> if significant</w:t>
      </w:r>
      <w:r w:rsidRPr="00C9026A">
        <w:t>.</w:t>
      </w:r>
      <w:r w:rsidR="00DD3BAF">
        <w:t xml:space="preserve"> It should also be considered that </w:t>
      </w:r>
      <w:r w:rsidR="00E11F48">
        <w:t xml:space="preserve">discharges </w:t>
      </w:r>
      <w:r w:rsidR="00DD3BAF">
        <w:t>to the environment can continue after operation cease</w:t>
      </w:r>
      <w:r w:rsidR="00730EE8">
        <w:t>s</w:t>
      </w:r>
      <w:r w:rsidR="00DD3BAF">
        <w:t xml:space="preserve"> </w:t>
      </w:r>
      <w:r w:rsidR="00730EE8">
        <w:t xml:space="preserve">owing </w:t>
      </w:r>
      <w:r w:rsidR="00DD3BAF">
        <w:t>to the presence of residual radionuclides</w:t>
      </w:r>
      <w:r w:rsidR="00730EE8">
        <w:t xml:space="preserve"> at the facility</w:t>
      </w:r>
      <w:r w:rsidR="00DD3BAF">
        <w:t>.</w:t>
      </w:r>
    </w:p>
    <w:p w:rsidR="006026C5" w:rsidRPr="00C9026A" w:rsidRDefault="006F07AF" w:rsidP="00A57A35">
      <w:pPr>
        <w:pStyle w:val="Heading3"/>
        <w:rPr>
          <w:lang w:val="en-GB"/>
        </w:rPr>
      </w:pPr>
      <w:bookmarkStart w:id="60" w:name="_Toc447613485"/>
      <w:bookmarkStart w:id="61" w:name="_Toc450204008"/>
      <w:r>
        <w:rPr>
          <w:lang w:val="en-GB"/>
        </w:rPr>
        <w:t>Modelling of d</w:t>
      </w:r>
      <w:r w:rsidR="00A261FA">
        <w:rPr>
          <w:lang w:val="en-GB"/>
        </w:rPr>
        <w:t>irect irradiation, d</w:t>
      </w:r>
      <w:r w:rsidR="006026C5" w:rsidRPr="00C9026A">
        <w:rPr>
          <w:lang w:val="en-GB"/>
        </w:rPr>
        <w:t>ispersion and transfer in the environment</w:t>
      </w:r>
      <w:bookmarkEnd w:id="60"/>
      <w:bookmarkEnd w:id="61"/>
    </w:p>
    <w:p w:rsidR="00CD4465" w:rsidRDefault="00580718" w:rsidP="00A57A35">
      <w:pPr>
        <w:pStyle w:val="Heading4"/>
        <w:ind w:left="0"/>
      </w:pPr>
      <w:r w:rsidRPr="00A72A98">
        <w:t>D</w:t>
      </w:r>
      <w:r w:rsidR="00903A3A">
        <w:t xml:space="preserve">irect gamma </w:t>
      </w:r>
      <w:r w:rsidR="00A261FA">
        <w:t xml:space="preserve">irradiation from the facility </w:t>
      </w:r>
      <w:r w:rsidR="005C1DFF">
        <w:t xml:space="preserve">or </w:t>
      </w:r>
      <w:r w:rsidR="00A261FA">
        <w:t xml:space="preserve">activity </w:t>
      </w:r>
      <w:r w:rsidR="00903A3A">
        <w:t>and, in some cases</w:t>
      </w:r>
      <w:r w:rsidR="005C1DFF">
        <w:t>,</w:t>
      </w:r>
      <w:r w:rsidR="00903A3A">
        <w:t xml:space="preserve"> </w:t>
      </w:r>
      <w:r w:rsidR="00903A3A" w:rsidRPr="00903A3A">
        <w:t>sky scattered gamma ray radiation</w:t>
      </w:r>
      <w:r w:rsidR="00903A3A">
        <w:t xml:space="preserve"> (sky</w:t>
      </w:r>
      <w:r w:rsidR="0088507C">
        <w:t xml:space="preserve"> </w:t>
      </w:r>
      <w:r w:rsidR="00903A3A">
        <w:t xml:space="preserve">shine), </w:t>
      </w:r>
      <w:r w:rsidR="005C1DFF">
        <w:t xml:space="preserve">which </w:t>
      </w:r>
      <w:r w:rsidR="00903A3A">
        <w:t xml:space="preserve">can contribute to the external exposure of the public </w:t>
      </w:r>
      <w:r w:rsidR="00CD4465">
        <w:t>in the close vicinity</w:t>
      </w:r>
      <w:r w:rsidR="005C1DFF">
        <w:t>,</w:t>
      </w:r>
      <w:r w:rsidR="00CD4465">
        <w:t xml:space="preserve"> </w:t>
      </w:r>
      <w:r w:rsidR="00903A3A">
        <w:t xml:space="preserve">should be </w:t>
      </w:r>
      <w:r w:rsidR="00F82C03">
        <w:t xml:space="preserve">included in the assessment </w:t>
      </w:r>
      <w:r w:rsidR="00CD4465">
        <w:t>and, if necessary,</w:t>
      </w:r>
      <w:r w:rsidR="00A261FA">
        <w:t xml:space="preserve"> </w:t>
      </w:r>
      <w:r w:rsidR="005C1DFF">
        <w:t xml:space="preserve">should be </w:t>
      </w:r>
      <w:r w:rsidR="00A261FA">
        <w:t xml:space="preserve">estimated using models or experience from similar </w:t>
      </w:r>
      <w:r w:rsidR="005C1DFF">
        <w:t>facilities or activities</w:t>
      </w:r>
      <w:r w:rsidR="005C1DFF" w:rsidDel="005C1DFF">
        <w:t xml:space="preserve"> </w:t>
      </w:r>
      <w:r w:rsidR="00A261FA">
        <w:t>(e.g. the results of monitoring programmes)</w:t>
      </w:r>
      <w:r w:rsidR="00903A3A">
        <w:t>.</w:t>
      </w:r>
      <w:r w:rsidR="0060176D">
        <w:t xml:space="preserve"> For facilities and activities using only sealed radioactive sources or radiation generators</w:t>
      </w:r>
      <w:r w:rsidR="005C1DFF">
        <w:t>, such direct</w:t>
      </w:r>
      <w:r w:rsidR="0060176D">
        <w:t xml:space="preserve"> </w:t>
      </w:r>
      <w:r w:rsidR="005C1DFF">
        <w:t>ir</w:t>
      </w:r>
      <w:r w:rsidR="0060176D">
        <w:t xml:space="preserve">radiation could be the only </w:t>
      </w:r>
      <w:r w:rsidR="005C1DFF">
        <w:t xml:space="preserve">source of radiation </w:t>
      </w:r>
      <w:r w:rsidR="0060176D">
        <w:t>or</w:t>
      </w:r>
      <w:r w:rsidR="00E0249F">
        <w:t xml:space="preserve"> the</w:t>
      </w:r>
      <w:r w:rsidR="0060176D">
        <w:t xml:space="preserve"> </w:t>
      </w:r>
      <w:r w:rsidR="005C1DFF">
        <w:t xml:space="preserve">most </w:t>
      </w:r>
      <w:r w:rsidR="0060176D">
        <w:t xml:space="preserve">important source of radiation </w:t>
      </w:r>
      <w:r w:rsidR="005C1DFF">
        <w:t xml:space="preserve">in </w:t>
      </w:r>
      <w:r w:rsidR="0060176D">
        <w:t>determin</w:t>
      </w:r>
      <w:r w:rsidR="005C1DFF">
        <w:t>ing</w:t>
      </w:r>
      <w:r w:rsidR="0060176D">
        <w:t xml:space="preserve"> the exposure </w:t>
      </w:r>
      <w:r w:rsidR="00F20873">
        <w:t xml:space="preserve">of </w:t>
      </w:r>
      <w:r w:rsidR="0060176D">
        <w:t>the public.</w:t>
      </w:r>
      <w:r w:rsidR="00A261FA">
        <w:t xml:space="preserve"> </w:t>
      </w:r>
      <w:r w:rsidR="0060176D">
        <w:t>For other</w:t>
      </w:r>
      <w:r w:rsidR="005C1DFF" w:rsidRPr="005C1DFF">
        <w:t xml:space="preserve"> </w:t>
      </w:r>
      <w:r w:rsidR="005C1DFF">
        <w:t>facilities and activities</w:t>
      </w:r>
      <w:r w:rsidR="0060176D">
        <w:t xml:space="preserve">, </w:t>
      </w:r>
      <w:r w:rsidR="005C1DFF">
        <w:t xml:space="preserve">direct irradiation </w:t>
      </w:r>
      <w:r w:rsidR="0060176D">
        <w:t xml:space="preserve">could be a contribution to the </w:t>
      </w:r>
      <w:r w:rsidR="00CD4465">
        <w:t xml:space="preserve">external </w:t>
      </w:r>
      <w:r w:rsidR="0060176D">
        <w:t xml:space="preserve">dose </w:t>
      </w:r>
      <w:r w:rsidR="005C1DFF">
        <w:t xml:space="preserve">to </w:t>
      </w:r>
      <w:r w:rsidR="0060176D">
        <w:t xml:space="preserve">the public in the </w:t>
      </w:r>
      <w:r w:rsidR="00E0249F">
        <w:t xml:space="preserve">close </w:t>
      </w:r>
      <w:r w:rsidR="0060176D">
        <w:t>vicinity of the facility.</w:t>
      </w:r>
    </w:p>
    <w:p w:rsidR="004F21D0" w:rsidRPr="00C9026A" w:rsidRDefault="006026C5" w:rsidP="00A57A35">
      <w:pPr>
        <w:pStyle w:val="Heading4"/>
        <w:ind w:left="0"/>
      </w:pPr>
      <w:r w:rsidRPr="00C9026A">
        <w:t xml:space="preserve">A variety of models and data are </w:t>
      </w:r>
      <w:r w:rsidR="00A46A62">
        <w:t>necessary</w:t>
      </w:r>
      <w:r w:rsidR="00A46A62" w:rsidRPr="00C9026A">
        <w:t xml:space="preserve"> </w:t>
      </w:r>
      <w:r w:rsidRPr="00C9026A">
        <w:t>to predict the dispersion and transfer of radionuclides through the environment</w:t>
      </w:r>
      <w:r w:rsidR="00E15B3C" w:rsidRPr="00C9026A">
        <w:t xml:space="preserve">al media and to </w:t>
      </w:r>
      <w:r w:rsidR="00365D7E" w:rsidRPr="00C9026A">
        <w:t xml:space="preserve">the </w:t>
      </w:r>
      <w:r w:rsidR="00E15B3C" w:rsidRPr="00C9026A">
        <w:t>represe</w:t>
      </w:r>
      <w:r w:rsidR="004B73B6" w:rsidRPr="00C9026A">
        <w:t>ntative person</w:t>
      </w:r>
      <w:r w:rsidRPr="00C9026A">
        <w:t xml:space="preserve">. </w:t>
      </w:r>
      <w:r w:rsidR="00F113F1" w:rsidRPr="00C9026A">
        <w:t xml:space="preserve">The processes </w:t>
      </w:r>
      <w:r w:rsidR="00A46A62">
        <w:t xml:space="preserve">that are </w:t>
      </w:r>
      <w:r w:rsidR="006C225D" w:rsidRPr="00C9026A">
        <w:t xml:space="preserve">more relevant to dose estimation </w:t>
      </w:r>
      <w:r w:rsidR="00CD5346" w:rsidRPr="00C9026A">
        <w:t>should</w:t>
      </w:r>
      <w:r w:rsidR="00F113F1" w:rsidRPr="00C9026A">
        <w:t xml:space="preserve"> be identified</w:t>
      </w:r>
      <w:r w:rsidR="006C225D" w:rsidRPr="00C9026A">
        <w:t xml:space="preserve"> and a </w:t>
      </w:r>
      <w:r w:rsidR="00F113F1" w:rsidRPr="00C9026A">
        <w:t>conceptual model</w:t>
      </w:r>
      <w:r w:rsidR="006C225D" w:rsidRPr="00C9026A">
        <w:t xml:space="preserve"> </w:t>
      </w:r>
      <w:r w:rsidR="00CD5346" w:rsidRPr="00C9026A">
        <w:t>should</w:t>
      </w:r>
      <w:r w:rsidR="006C225D" w:rsidRPr="00C9026A">
        <w:t xml:space="preserve"> be elaborated</w:t>
      </w:r>
      <w:r w:rsidR="00A46A62">
        <w:t xml:space="preserve"> in the form of</w:t>
      </w:r>
      <w:r w:rsidR="00F82C03">
        <w:t xml:space="preserve"> </w:t>
      </w:r>
      <w:r w:rsidR="00F82C03" w:rsidRPr="00584512">
        <w:t xml:space="preserve">a representation that captures the key elements or components of a complex system, </w:t>
      </w:r>
      <w:r w:rsidR="00A46A62">
        <w:t>such as</w:t>
      </w:r>
      <w:r w:rsidR="00A46A62" w:rsidRPr="00584512">
        <w:t xml:space="preserve"> </w:t>
      </w:r>
      <w:r w:rsidR="00F82C03" w:rsidRPr="00584512">
        <w:t>the relationship between the released radionuclides and the environment.</w:t>
      </w:r>
      <w:r w:rsidR="00F82C03">
        <w:t xml:space="preserve"> </w:t>
      </w:r>
      <w:r w:rsidR="0083357B" w:rsidRPr="00C9026A">
        <w:t xml:space="preserve">The conceptual model should </w:t>
      </w:r>
      <w:r w:rsidR="004F21D0" w:rsidRPr="00C9026A">
        <w:t>re</w:t>
      </w:r>
      <w:r w:rsidR="0083357B" w:rsidRPr="00C9026A">
        <w:t xml:space="preserve">present the identified relevant dispersion </w:t>
      </w:r>
      <w:r w:rsidR="0035041D" w:rsidRPr="00C9026A">
        <w:t xml:space="preserve">pathways </w:t>
      </w:r>
      <w:r w:rsidR="0083357B" w:rsidRPr="00C9026A">
        <w:t xml:space="preserve">and transfer pathways. </w:t>
      </w:r>
    </w:p>
    <w:p w:rsidR="006026C5" w:rsidRPr="00C9026A" w:rsidRDefault="006026C5" w:rsidP="00A57A35">
      <w:pPr>
        <w:pStyle w:val="Heading4"/>
        <w:ind w:left="0"/>
      </w:pPr>
      <w:r w:rsidRPr="00C9026A">
        <w:t xml:space="preserve">Activity concentrations in environmental </w:t>
      </w:r>
      <w:r w:rsidR="008C0F99">
        <w:t xml:space="preserve">compartments </w:t>
      </w:r>
      <w:r w:rsidR="00FE34F6">
        <w:t>(e.g.</w:t>
      </w:r>
      <w:r w:rsidR="00FE34F6" w:rsidRPr="00C9026A">
        <w:t xml:space="preserve"> air, sediments, soil, water and biota</w:t>
      </w:r>
      <w:r w:rsidR="00FE34F6">
        <w:t>)</w:t>
      </w:r>
      <w:r w:rsidR="006C225D" w:rsidRPr="00C9026A">
        <w:t xml:space="preserve"> resulting from the postulated </w:t>
      </w:r>
      <w:r w:rsidR="00F82C03">
        <w:t>discharges</w:t>
      </w:r>
      <w:r w:rsidR="003D51E9" w:rsidRPr="00C9026A">
        <w:t xml:space="preserve"> </w:t>
      </w:r>
      <w:r w:rsidR="006C225D" w:rsidRPr="00C9026A">
        <w:t>of radioactive materials</w:t>
      </w:r>
      <w:r w:rsidR="00F82C03">
        <w:t xml:space="preserve"> </w:t>
      </w:r>
      <w:r w:rsidR="004F21D0" w:rsidRPr="00C9026A">
        <w:t>should</w:t>
      </w:r>
      <w:r w:rsidRPr="00C9026A">
        <w:t xml:space="preserve"> be estimated</w:t>
      </w:r>
      <w:r w:rsidR="00F113F1" w:rsidRPr="00C9026A">
        <w:t xml:space="preserve"> </w:t>
      </w:r>
      <w:r w:rsidR="00FE34F6">
        <w:t>by means</w:t>
      </w:r>
      <w:r w:rsidR="00F113F1" w:rsidRPr="00C9026A">
        <w:t xml:space="preserve"> of mathematical models</w:t>
      </w:r>
      <w:r w:rsidR="00A46D18" w:rsidRPr="00C9026A">
        <w:t xml:space="preserve">. </w:t>
      </w:r>
      <w:r w:rsidR="007670C5">
        <w:t>Mathematical</w:t>
      </w:r>
      <w:r w:rsidR="007670C5" w:rsidRPr="00C9026A">
        <w:t xml:space="preserve"> </w:t>
      </w:r>
      <w:r w:rsidRPr="00C9026A">
        <w:t xml:space="preserve">models </w:t>
      </w:r>
      <w:r w:rsidR="00FE34F6">
        <w:t>for</w:t>
      </w:r>
      <w:r w:rsidR="00FE34F6" w:rsidRPr="00C9026A">
        <w:t xml:space="preserve"> </w:t>
      </w:r>
      <w:r w:rsidR="00E15B3C" w:rsidRPr="00C9026A">
        <w:t>assess</w:t>
      </w:r>
      <w:r w:rsidR="00FE34F6">
        <w:t>ing</w:t>
      </w:r>
      <w:r w:rsidR="00E15B3C" w:rsidRPr="00C9026A">
        <w:t xml:space="preserve"> dispersion and transfers </w:t>
      </w:r>
      <w:r w:rsidR="00FE34F6">
        <w:t>of radionuclides at different</w:t>
      </w:r>
      <w:r w:rsidRPr="00C9026A">
        <w:t xml:space="preserve"> levels of complexity have been developed</w:t>
      </w:r>
      <w:r w:rsidR="006C225D" w:rsidRPr="00C9026A">
        <w:t xml:space="preserve"> and </w:t>
      </w:r>
      <w:r w:rsidR="007670C5">
        <w:t xml:space="preserve">are </w:t>
      </w:r>
      <w:r w:rsidR="00FE34F6">
        <w:t>described in Ref.</w:t>
      </w:r>
      <w:r w:rsidR="00E15B3C" w:rsidRPr="00C9026A">
        <w:t xml:space="preserve"> [</w:t>
      </w:r>
      <w:r w:rsidR="00105B04">
        <w:t>10</w:t>
      </w:r>
      <w:r w:rsidR="00A96073">
        <w:t>]</w:t>
      </w:r>
      <w:r w:rsidR="00AE5279" w:rsidRPr="00C9026A">
        <w:t>.</w:t>
      </w:r>
    </w:p>
    <w:p w:rsidR="006026C5" w:rsidRPr="00C9026A" w:rsidRDefault="00CB7E3A" w:rsidP="00A57A35">
      <w:pPr>
        <w:pStyle w:val="Heading4"/>
        <w:ind w:left="0"/>
      </w:pPr>
      <w:r w:rsidRPr="00C9026A">
        <w:t>T</w:t>
      </w:r>
      <w:r w:rsidR="007651B6" w:rsidRPr="00C9026A">
        <w:t xml:space="preserve">wo possible approaches </w:t>
      </w:r>
      <w:r w:rsidR="007670C5">
        <w:t>to the use of</w:t>
      </w:r>
      <w:r w:rsidR="007670C5" w:rsidRPr="00C9026A">
        <w:t xml:space="preserve"> </w:t>
      </w:r>
      <w:r w:rsidR="00CA596E" w:rsidRPr="00C9026A">
        <w:t xml:space="preserve">models and data for the assessment </w:t>
      </w:r>
      <w:r w:rsidR="00AE5279" w:rsidRPr="00C9026A">
        <w:t>are</w:t>
      </w:r>
      <w:r w:rsidR="00CA596E" w:rsidRPr="00C9026A">
        <w:t>:</w:t>
      </w:r>
      <w:r w:rsidR="007651B6" w:rsidRPr="00C9026A">
        <w:t xml:space="preserve"> a generic </w:t>
      </w:r>
      <w:r w:rsidR="005E0A84" w:rsidRPr="00C9026A">
        <w:t xml:space="preserve">and simpler </w:t>
      </w:r>
      <w:r w:rsidR="00E336FF" w:rsidRPr="00C9026A">
        <w:t>methodology</w:t>
      </w:r>
      <w:r w:rsidR="005E0A84" w:rsidRPr="00C9026A">
        <w:t>,</w:t>
      </w:r>
      <w:r w:rsidR="000D1716" w:rsidRPr="00C9026A">
        <w:t xml:space="preserve"> </w:t>
      </w:r>
      <w:r w:rsidR="00446F49" w:rsidRPr="00C9026A">
        <w:t>which takes account of dilution</w:t>
      </w:r>
      <w:r w:rsidR="0083357B" w:rsidRPr="00C9026A">
        <w:t>,</w:t>
      </w:r>
      <w:r w:rsidR="00446F49" w:rsidRPr="00C9026A">
        <w:t xml:space="preserve"> dispersion </w:t>
      </w:r>
      <w:r w:rsidR="0083357B" w:rsidRPr="00C9026A">
        <w:t xml:space="preserve">and </w:t>
      </w:r>
      <w:r w:rsidR="007670C5">
        <w:t xml:space="preserve">the </w:t>
      </w:r>
      <w:r w:rsidR="0083357B" w:rsidRPr="00C9026A">
        <w:t xml:space="preserve">transfer </w:t>
      </w:r>
      <w:r w:rsidR="00446F49" w:rsidRPr="00C9026A">
        <w:t xml:space="preserve">of </w:t>
      </w:r>
      <w:r w:rsidR="0083357B" w:rsidRPr="00C9026A">
        <w:t xml:space="preserve">radioactive </w:t>
      </w:r>
      <w:r w:rsidR="007670C5">
        <w:t>material</w:t>
      </w:r>
      <w:r w:rsidR="007670C5" w:rsidRPr="00C9026A">
        <w:t xml:space="preserve"> </w:t>
      </w:r>
      <w:r w:rsidR="00446F49" w:rsidRPr="00C9026A">
        <w:t>into the environment</w:t>
      </w:r>
      <w:r w:rsidR="005E0A84" w:rsidRPr="00C9026A">
        <w:t xml:space="preserve"> with cautious assumptions;</w:t>
      </w:r>
      <w:r w:rsidR="001F17AB" w:rsidRPr="00C9026A">
        <w:t xml:space="preserve"> </w:t>
      </w:r>
      <w:r w:rsidR="007651B6" w:rsidRPr="00C9026A">
        <w:t xml:space="preserve">or </w:t>
      </w:r>
      <w:r w:rsidR="00E336FF" w:rsidRPr="00C9026A">
        <w:t xml:space="preserve">a </w:t>
      </w:r>
      <w:r w:rsidR="006F3042" w:rsidRPr="00C9026A">
        <w:t>specific</w:t>
      </w:r>
      <w:r w:rsidR="00E336FF" w:rsidRPr="00C9026A">
        <w:t xml:space="preserve"> </w:t>
      </w:r>
      <w:r w:rsidR="005E0A84" w:rsidRPr="00C9026A">
        <w:t xml:space="preserve">and more detailed </w:t>
      </w:r>
      <w:r w:rsidR="007651B6" w:rsidRPr="00C9026A">
        <w:t>method</w:t>
      </w:r>
      <w:r w:rsidR="00E336FF" w:rsidRPr="00C9026A">
        <w:t>ology</w:t>
      </w:r>
      <w:r w:rsidR="005E0A84" w:rsidRPr="00C9026A">
        <w:t>,</w:t>
      </w:r>
      <w:r w:rsidR="007651B6" w:rsidRPr="00C9026A">
        <w:t xml:space="preserve"> </w:t>
      </w:r>
      <w:r w:rsidR="00E336FF" w:rsidRPr="00C9026A">
        <w:t xml:space="preserve">using </w:t>
      </w:r>
      <w:r w:rsidR="005E0A84" w:rsidRPr="00C9026A">
        <w:t xml:space="preserve">partial or </w:t>
      </w:r>
      <w:r w:rsidR="007670C5">
        <w:t>fully</w:t>
      </w:r>
      <w:r w:rsidR="007670C5" w:rsidRPr="00C9026A">
        <w:t xml:space="preserve"> </w:t>
      </w:r>
      <w:r w:rsidR="00E336FF" w:rsidRPr="00C9026A">
        <w:t>site</w:t>
      </w:r>
      <w:r w:rsidR="007670C5">
        <w:t xml:space="preserve"> </w:t>
      </w:r>
      <w:r w:rsidR="00E336FF" w:rsidRPr="00C9026A">
        <w:t xml:space="preserve">specific data </w:t>
      </w:r>
      <w:r w:rsidR="006026C5" w:rsidRPr="00C9026A">
        <w:t>to estimate activity concentrations in different environmental media</w:t>
      </w:r>
      <w:r w:rsidR="005E0A84" w:rsidRPr="00C9026A">
        <w:t>, with more realistic assumptions</w:t>
      </w:r>
      <w:r w:rsidR="006026C5" w:rsidRPr="00C9026A">
        <w:t xml:space="preserve">. </w:t>
      </w:r>
      <w:r w:rsidR="0022681C">
        <w:t xml:space="preserve">In some situations, a combination of generic models with site specific data could also be suitable for the assessment. </w:t>
      </w:r>
      <w:r w:rsidR="003378DE" w:rsidRPr="00C9026A">
        <w:t xml:space="preserve">In </w:t>
      </w:r>
      <w:r w:rsidR="0022681C">
        <w:t xml:space="preserve">all </w:t>
      </w:r>
      <w:r w:rsidR="00AE5279" w:rsidRPr="00C9026A">
        <w:t>cases,</w:t>
      </w:r>
      <w:r w:rsidR="007670C5">
        <w:t xml:space="preserve"> the</w:t>
      </w:r>
      <w:r w:rsidR="006026C5" w:rsidRPr="00C9026A">
        <w:t xml:space="preserve"> models</w:t>
      </w:r>
      <w:r w:rsidR="007670C5">
        <w:t xml:space="preserve"> selected</w:t>
      </w:r>
      <w:r w:rsidR="006026C5" w:rsidRPr="00C9026A">
        <w:t xml:space="preserve"> </w:t>
      </w:r>
      <w:r w:rsidR="00CD5346" w:rsidRPr="00C9026A">
        <w:t>should</w:t>
      </w:r>
      <w:r w:rsidR="006026C5" w:rsidRPr="00C9026A">
        <w:t xml:space="preserve"> be </w:t>
      </w:r>
      <w:r w:rsidR="00270FD7">
        <w:t>suit</w:t>
      </w:r>
      <w:r w:rsidR="006026C5" w:rsidRPr="00C9026A">
        <w:t xml:space="preserve">able </w:t>
      </w:r>
      <w:r w:rsidR="00292B0D">
        <w:t>for</w:t>
      </w:r>
      <w:r w:rsidR="00292B0D" w:rsidRPr="00C9026A">
        <w:t xml:space="preserve"> </w:t>
      </w:r>
      <w:r w:rsidR="003F40EC" w:rsidRPr="00C9026A">
        <w:t>estimat</w:t>
      </w:r>
      <w:r w:rsidR="00292B0D">
        <w:t>ing</w:t>
      </w:r>
      <w:r w:rsidR="00A35A7E">
        <w:t xml:space="preserve"> </w:t>
      </w:r>
      <w:r w:rsidR="007670C5">
        <w:t>the</w:t>
      </w:r>
      <w:r w:rsidR="003F40EC" w:rsidRPr="00C9026A">
        <w:t xml:space="preserve"> </w:t>
      </w:r>
      <w:r w:rsidR="006026C5" w:rsidRPr="00C9026A">
        <w:t>spatial distribution and temporal variation of activity concentrations</w:t>
      </w:r>
      <w:r w:rsidR="001F17AB" w:rsidRPr="00C9026A">
        <w:t xml:space="preserve"> in the environment</w:t>
      </w:r>
      <w:r w:rsidR="006026C5" w:rsidRPr="00C9026A">
        <w:t xml:space="preserve">. </w:t>
      </w:r>
      <w:r w:rsidR="00E336FF" w:rsidRPr="00C9026A">
        <w:t xml:space="preserve">The complexity of the model used </w:t>
      </w:r>
      <w:r w:rsidR="00CD5346" w:rsidRPr="00C9026A">
        <w:t>should</w:t>
      </w:r>
      <w:r w:rsidR="00E336FF" w:rsidRPr="00C9026A">
        <w:t xml:space="preserve"> be commensurate with the </w:t>
      </w:r>
      <w:r w:rsidR="00881A58">
        <w:t>likely</w:t>
      </w:r>
      <w:r w:rsidR="00881A58" w:rsidRPr="00C9026A">
        <w:t xml:space="preserve"> </w:t>
      </w:r>
      <w:r w:rsidR="001F17AB" w:rsidRPr="00C9026A">
        <w:t xml:space="preserve">level of </w:t>
      </w:r>
      <w:r w:rsidR="00AE5279" w:rsidRPr="00C9026A">
        <w:t xml:space="preserve">environmental impact </w:t>
      </w:r>
      <w:r w:rsidR="007670C5">
        <w:t>from</w:t>
      </w:r>
      <w:r w:rsidR="007670C5" w:rsidRPr="00C9026A">
        <w:t xml:space="preserve"> </w:t>
      </w:r>
      <w:r w:rsidR="00AE5279" w:rsidRPr="00C9026A">
        <w:t xml:space="preserve">the </w:t>
      </w:r>
      <w:r w:rsidR="00B81984">
        <w:t>facility or activity</w:t>
      </w:r>
      <w:r w:rsidR="0022681C">
        <w:t xml:space="preserve"> and should be proposed and justified by the applicant and </w:t>
      </w:r>
      <w:r w:rsidR="008C0F99">
        <w:t>should be subject to agreement</w:t>
      </w:r>
      <w:r w:rsidR="0022681C">
        <w:t xml:space="preserve"> by the regulatory body</w:t>
      </w:r>
      <w:r w:rsidR="00E336FF" w:rsidRPr="00C9026A">
        <w:t>.</w:t>
      </w:r>
    </w:p>
    <w:p w:rsidR="006026C5" w:rsidRPr="00C9026A" w:rsidRDefault="00A35A7E" w:rsidP="00A57A35">
      <w:pPr>
        <w:pStyle w:val="Heading4"/>
        <w:ind w:left="0"/>
      </w:pPr>
      <w:r>
        <w:t>T</w:t>
      </w:r>
      <w:r w:rsidR="006026C5" w:rsidRPr="00C9026A">
        <w:t>he</w:t>
      </w:r>
      <w:r w:rsidR="004D0905" w:rsidRPr="00C9026A">
        <w:t xml:space="preserve"> </w:t>
      </w:r>
      <w:r w:rsidR="009A674C" w:rsidRPr="00C9026A">
        <w:t xml:space="preserve">models </w:t>
      </w:r>
      <w:r>
        <w:t xml:space="preserve">selected </w:t>
      </w:r>
      <w:r w:rsidR="00CD5346" w:rsidRPr="00C9026A">
        <w:t>should</w:t>
      </w:r>
      <w:r w:rsidR="009A674C" w:rsidRPr="00C9026A">
        <w:t xml:space="preserve"> be </w:t>
      </w:r>
      <w:r w:rsidR="00270FD7">
        <w:t>suit</w:t>
      </w:r>
      <w:r w:rsidR="009A674C" w:rsidRPr="00C9026A">
        <w:t xml:space="preserve">able </w:t>
      </w:r>
      <w:r w:rsidR="00292B0D">
        <w:t>for</w:t>
      </w:r>
      <w:r w:rsidR="00292B0D" w:rsidRPr="00C9026A">
        <w:t xml:space="preserve"> </w:t>
      </w:r>
      <w:r w:rsidR="009A674C" w:rsidRPr="00C9026A">
        <w:t>simulat</w:t>
      </w:r>
      <w:r w:rsidR="00292B0D">
        <w:t>ing</w:t>
      </w:r>
      <w:r w:rsidR="009A674C" w:rsidRPr="00C9026A">
        <w:t xml:space="preserve"> the </w:t>
      </w:r>
      <w:r w:rsidR="004D0905" w:rsidRPr="00C9026A">
        <w:t>dispersion</w:t>
      </w:r>
      <w:r w:rsidR="005C27B2" w:rsidRPr="00C9026A">
        <w:t>, dilution, transfer</w:t>
      </w:r>
      <w:r w:rsidR="008D74A4">
        <w:t xml:space="preserve"> and</w:t>
      </w:r>
      <w:r w:rsidR="005C27B2" w:rsidRPr="00C9026A">
        <w:t xml:space="preserve"> </w:t>
      </w:r>
      <w:r w:rsidR="004F21D0" w:rsidRPr="00C9026A">
        <w:t xml:space="preserve">accumulation </w:t>
      </w:r>
      <w:r w:rsidR="007468BA">
        <w:t xml:space="preserve">of radionuclides </w:t>
      </w:r>
      <w:r w:rsidR="005C27B2" w:rsidRPr="00C9026A">
        <w:t xml:space="preserve">and </w:t>
      </w:r>
      <w:r w:rsidR="007468BA">
        <w:t xml:space="preserve">their </w:t>
      </w:r>
      <w:r w:rsidR="005C27B2" w:rsidRPr="00C9026A">
        <w:t>decay</w:t>
      </w:r>
      <w:r w:rsidR="001F17AB" w:rsidRPr="00C9026A">
        <w:t xml:space="preserve"> or </w:t>
      </w:r>
      <w:r w:rsidR="00F9367C" w:rsidRPr="00C9026A">
        <w:t>other removal mechanism</w:t>
      </w:r>
      <w:r w:rsidR="007468BA">
        <w:t>s</w:t>
      </w:r>
      <w:r w:rsidR="005C27B2" w:rsidRPr="00C9026A">
        <w:t>, as necessary</w:t>
      </w:r>
      <w:r w:rsidR="0022681C">
        <w:t xml:space="preserve">, </w:t>
      </w:r>
      <w:r w:rsidR="003E5DDD">
        <w:t>with</w:t>
      </w:r>
      <w:r w:rsidR="0022681C">
        <w:t xml:space="preserve"> account</w:t>
      </w:r>
      <w:r w:rsidR="003E5DDD">
        <w:t xml:space="preserve"> taken of</w:t>
      </w:r>
      <w:r w:rsidR="0022681C">
        <w:t xml:space="preserve"> the characteristics of the releases expected during normal operation of the facility or activity</w:t>
      </w:r>
      <w:r w:rsidR="00365D7E" w:rsidRPr="00C9026A">
        <w:t xml:space="preserve">. This includes </w:t>
      </w:r>
      <w:r w:rsidR="006026C5" w:rsidRPr="00C9026A">
        <w:t>the following processes:</w:t>
      </w:r>
    </w:p>
    <w:p w:rsidR="006026C5" w:rsidRPr="00C9026A" w:rsidRDefault="006026C5" w:rsidP="00EC76CF">
      <w:pPr>
        <w:pStyle w:val="BodyTextList"/>
        <w:numPr>
          <w:ilvl w:val="0"/>
          <w:numId w:val="5"/>
        </w:numPr>
        <w:spacing w:after="120" w:line="240" w:lineRule="auto"/>
        <w:ind w:left="0" w:firstLine="0"/>
        <w:rPr>
          <w:noProof w:val="0"/>
        </w:rPr>
      </w:pPr>
      <w:r w:rsidRPr="00C9026A">
        <w:rPr>
          <w:noProof w:val="0"/>
        </w:rPr>
        <w:lastRenderedPageBreak/>
        <w:t>Atmospheric dispersion</w:t>
      </w:r>
      <w:r w:rsidR="00236C47" w:rsidRPr="00C9026A">
        <w:rPr>
          <w:noProof w:val="0"/>
        </w:rPr>
        <w:t>;</w:t>
      </w:r>
    </w:p>
    <w:p w:rsidR="006026C5" w:rsidRPr="00C9026A" w:rsidRDefault="006026C5" w:rsidP="00EC76CF">
      <w:pPr>
        <w:pStyle w:val="BodyTextList"/>
        <w:numPr>
          <w:ilvl w:val="0"/>
          <w:numId w:val="5"/>
        </w:numPr>
        <w:spacing w:after="120" w:line="240" w:lineRule="auto"/>
        <w:ind w:left="0" w:firstLine="0"/>
        <w:rPr>
          <w:noProof w:val="0"/>
        </w:rPr>
      </w:pPr>
      <w:r w:rsidRPr="00C9026A">
        <w:rPr>
          <w:noProof w:val="0"/>
        </w:rPr>
        <w:t xml:space="preserve">Deposition of </w:t>
      </w:r>
      <w:r w:rsidR="00A935DA" w:rsidRPr="00C9026A">
        <w:rPr>
          <w:noProof w:val="0"/>
        </w:rPr>
        <w:t xml:space="preserve">radionuclides </w:t>
      </w:r>
      <w:r w:rsidR="00922FFE" w:rsidRPr="00C9026A">
        <w:rPr>
          <w:noProof w:val="0"/>
        </w:rPr>
        <w:t xml:space="preserve">from the atmosphere </w:t>
      </w:r>
      <w:r w:rsidR="00A935DA" w:rsidRPr="00C9026A">
        <w:rPr>
          <w:noProof w:val="0"/>
        </w:rPr>
        <w:t>on</w:t>
      </w:r>
      <w:r w:rsidR="004B51B8">
        <w:rPr>
          <w:noProof w:val="0"/>
        </w:rPr>
        <w:t>to</w:t>
      </w:r>
      <w:r w:rsidRPr="00C9026A">
        <w:rPr>
          <w:noProof w:val="0"/>
        </w:rPr>
        <w:t xml:space="preserve"> the ground</w:t>
      </w:r>
      <w:r w:rsidR="00A935DA" w:rsidRPr="00C9026A">
        <w:rPr>
          <w:noProof w:val="0"/>
        </w:rPr>
        <w:t xml:space="preserve"> or other surfaces</w:t>
      </w:r>
      <w:r w:rsidR="007468BA" w:rsidRPr="007468BA">
        <w:rPr>
          <w:noProof w:val="0"/>
        </w:rPr>
        <w:t xml:space="preserve"> </w:t>
      </w:r>
      <w:r w:rsidR="007468BA">
        <w:rPr>
          <w:noProof w:val="0"/>
        </w:rPr>
        <w:t>and subsequent resuspension of the radionuclides</w:t>
      </w:r>
      <w:r w:rsidR="00236C47" w:rsidRPr="00C9026A">
        <w:rPr>
          <w:noProof w:val="0"/>
        </w:rPr>
        <w:t>;</w:t>
      </w:r>
    </w:p>
    <w:p w:rsidR="004F21D0" w:rsidRPr="00C9026A" w:rsidRDefault="006026C5" w:rsidP="00EC76CF">
      <w:pPr>
        <w:pStyle w:val="BodyTextList"/>
        <w:numPr>
          <w:ilvl w:val="0"/>
          <w:numId w:val="5"/>
        </w:numPr>
        <w:spacing w:after="120" w:line="240" w:lineRule="auto"/>
        <w:ind w:left="0" w:firstLine="0"/>
        <w:rPr>
          <w:noProof w:val="0"/>
        </w:rPr>
      </w:pPr>
      <w:r w:rsidRPr="00C9026A">
        <w:rPr>
          <w:noProof w:val="0"/>
        </w:rPr>
        <w:t xml:space="preserve">Dispersion of radionuclides in surface water </w:t>
      </w:r>
      <w:r w:rsidR="003F40EC" w:rsidRPr="00C9026A">
        <w:rPr>
          <w:noProof w:val="0"/>
        </w:rPr>
        <w:t xml:space="preserve">(freshwater, brackish </w:t>
      </w:r>
      <w:r w:rsidR="007468BA">
        <w:rPr>
          <w:noProof w:val="0"/>
        </w:rPr>
        <w:t xml:space="preserve">water </w:t>
      </w:r>
      <w:r w:rsidR="003F40EC" w:rsidRPr="00C9026A">
        <w:rPr>
          <w:noProof w:val="0"/>
        </w:rPr>
        <w:t>or marine</w:t>
      </w:r>
      <w:r w:rsidR="007468BA">
        <w:rPr>
          <w:noProof w:val="0"/>
        </w:rPr>
        <w:t xml:space="preserve"> water</w:t>
      </w:r>
      <w:r w:rsidR="003F40EC" w:rsidRPr="00C9026A">
        <w:rPr>
          <w:noProof w:val="0"/>
        </w:rPr>
        <w:t xml:space="preserve">) </w:t>
      </w:r>
      <w:r w:rsidRPr="00C9026A">
        <w:rPr>
          <w:noProof w:val="0"/>
        </w:rPr>
        <w:t>and groundwater</w:t>
      </w:r>
      <w:r w:rsidR="00236C47" w:rsidRPr="00C9026A">
        <w:rPr>
          <w:noProof w:val="0"/>
        </w:rPr>
        <w:t>;</w:t>
      </w:r>
      <w:r w:rsidR="005E25F9" w:rsidRPr="00C9026A">
        <w:rPr>
          <w:noProof w:val="0"/>
        </w:rPr>
        <w:t xml:space="preserve"> </w:t>
      </w:r>
    </w:p>
    <w:p w:rsidR="00731862" w:rsidRPr="00C9026A" w:rsidRDefault="00922FFE" w:rsidP="00EC76CF">
      <w:pPr>
        <w:pStyle w:val="BodyTextList"/>
        <w:numPr>
          <w:ilvl w:val="0"/>
          <w:numId w:val="5"/>
        </w:numPr>
        <w:spacing w:after="120" w:line="240" w:lineRule="auto"/>
        <w:ind w:left="0" w:firstLine="0"/>
        <w:rPr>
          <w:noProof w:val="0"/>
        </w:rPr>
      </w:pPr>
      <w:r w:rsidRPr="00C9026A">
        <w:rPr>
          <w:noProof w:val="0"/>
        </w:rPr>
        <w:t xml:space="preserve">Accumulation </w:t>
      </w:r>
      <w:r w:rsidR="00731862">
        <w:rPr>
          <w:noProof w:val="0"/>
        </w:rPr>
        <w:t xml:space="preserve">and subsequent remobilization </w:t>
      </w:r>
      <w:r w:rsidR="007468BA">
        <w:rPr>
          <w:noProof w:val="0"/>
        </w:rPr>
        <w:t xml:space="preserve">of radionuclides </w:t>
      </w:r>
      <w:r w:rsidRPr="00C9026A">
        <w:rPr>
          <w:noProof w:val="0"/>
        </w:rPr>
        <w:t xml:space="preserve">in aquatic sediments; </w:t>
      </w:r>
    </w:p>
    <w:p w:rsidR="006026C5" w:rsidRPr="00C9026A" w:rsidRDefault="006026C5" w:rsidP="00EC76CF">
      <w:pPr>
        <w:pStyle w:val="BodyTextList"/>
        <w:numPr>
          <w:ilvl w:val="0"/>
          <w:numId w:val="5"/>
        </w:numPr>
        <w:spacing w:after="240" w:line="240" w:lineRule="auto"/>
        <w:ind w:left="0" w:firstLine="0"/>
        <w:rPr>
          <w:noProof w:val="0"/>
        </w:rPr>
      </w:pPr>
      <w:r w:rsidRPr="00C9026A">
        <w:rPr>
          <w:noProof w:val="0"/>
        </w:rPr>
        <w:t>Transfer</w:t>
      </w:r>
      <w:r w:rsidR="0083357B" w:rsidRPr="00C9026A">
        <w:rPr>
          <w:noProof w:val="0"/>
        </w:rPr>
        <w:t xml:space="preserve"> </w:t>
      </w:r>
      <w:r w:rsidRPr="00C9026A">
        <w:rPr>
          <w:noProof w:val="0"/>
        </w:rPr>
        <w:t xml:space="preserve">of </w:t>
      </w:r>
      <w:r w:rsidR="00A935DA" w:rsidRPr="00C9026A">
        <w:rPr>
          <w:noProof w:val="0"/>
        </w:rPr>
        <w:t xml:space="preserve">radionuclides </w:t>
      </w:r>
      <w:r w:rsidRPr="00C9026A">
        <w:rPr>
          <w:noProof w:val="0"/>
        </w:rPr>
        <w:t xml:space="preserve">to </w:t>
      </w:r>
      <w:r w:rsidR="007468BA">
        <w:rPr>
          <w:noProof w:val="0"/>
        </w:rPr>
        <w:t xml:space="preserve">and their accumulation in </w:t>
      </w:r>
      <w:r w:rsidRPr="00C9026A">
        <w:rPr>
          <w:noProof w:val="0"/>
        </w:rPr>
        <w:t xml:space="preserve">plants and animals in the </w:t>
      </w:r>
      <w:r w:rsidR="007468BA">
        <w:rPr>
          <w:noProof w:val="0"/>
        </w:rPr>
        <w:t xml:space="preserve">human </w:t>
      </w:r>
      <w:r w:rsidRPr="00C9026A">
        <w:rPr>
          <w:noProof w:val="0"/>
        </w:rPr>
        <w:t>food chain</w:t>
      </w:r>
      <w:r w:rsidR="005E25F9" w:rsidRPr="00C9026A">
        <w:rPr>
          <w:noProof w:val="0"/>
        </w:rPr>
        <w:t>.</w:t>
      </w:r>
    </w:p>
    <w:p w:rsidR="006026C5" w:rsidRPr="00C9026A" w:rsidRDefault="00C91F70" w:rsidP="00A57A35">
      <w:pPr>
        <w:pStyle w:val="Heading4"/>
        <w:ind w:left="0"/>
      </w:pPr>
      <w:r w:rsidRPr="00C9026A">
        <w:t>T</w:t>
      </w:r>
      <w:r w:rsidR="006026C5" w:rsidRPr="00C9026A">
        <w:t>he model</w:t>
      </w:r>
      <w:r w:rsidR="00824070" w:rsidRPr="00C9026A">
        <w:t>s</w:t>
      </w:r>
      <w:r w:rsidR="006026C5" w:rsidRPr="00C9026A">
        <w:t xml:space="preserve"> used to </w:t>
      </w:r>
      <w:r w:rsidR="005C27B2" w:rsidRPr="00C9026A">
        <w:t>estimate</w:t>
      </w:r>
      <w:r w:rsidR="006026C5" w:rsidRPr="00C9026A">
        <w:t xml:space="preserve"> activity concentrations in </w:t>
      </w:r>
      <w:r w:rsidR="00904F21" w:rsidRPr="00C9026A">
        <w:t xml:space="preserve">environmental media </w:t>
      </w:r>
      <w:r w:rsidR="00CD5346" w:rsidRPr="00C9026A">
        <w:t>should</w:t>
      </w:r>
      <w:r w:rsidR="006026C5" w:rsidRPr="00C9026A">
        <w:t xml:space="preserve"> take account of the </w:t>
      </w:r>
      <w:r w:rsidR="00424F9B" w:rsidRPr="00C9026A">
        <w:t>physicochemical</w:t>
      </w:r>
      <w:r w:rsidR="00424F9B" w:rsidRPr="00C9026A" w:rsidDel="00424F9B">
        <w:t xml:space="preserve"> </w:t>
      </w:r>
      <w:r w:rsidR="006026C5" w:rsidRPr="00C9026A">
        <w:t>properties of the radionuclides being released</w:t>
      </w:r>
      <w:r w:rsidR="00DE093B" w:rsidRPr="00C9026A">
        <w:t>, for example</w:t>
      </w:r>
      <w:r w:rsidR="004B51B8">
        <w:t>, by</w:t>
      </w:r>
      <w:r w:rsidR="003D6BF3">
        <w:t xml:space="preserve"> assess</w:t>
      </w:r>
      <w:r w:rsidR="004B51B8">
        <w:t>ing</w:t>
      </w:r>
      <w:r w:rsidR="006026C5" w:rsidRPr="00C9026A">
        <w:t xml:space="preserve"> the effective release height</w:t>
      </w:r>
      <w:r w:rsidR="006A7851" w:rsidRPr="00C9026A">
        <w:t>,</w:t>
      </w:r>
      <w:r w:rsidR="0083357B" w:rsidRPr="00C9026A">
        <w:t xml:space="preserve"> </w:t>
      </w:r>
      <w:r w:rsidR="003223FB" w:rsidRPr="00C9026A">
        <w:t>the</w:t>
      </w:r>
      <w:r w:rsidR="006026C5" w:rsidRPr="00C9026A">
        <w:t xml:space="preserve"> effects </w:t>
      </w:r>
      <w:r w:rsidR="007468BA">
        <w:t>of</w:t>
      </w:r>
      <w:r w:rsidR="007468BA" w:rsidRPr="00C9026A">
        <w:t xml:space="preserve"> </w:t>
      </w:r>
      <w:r w:rsidR="00881A58" w:rsidRPr="00C9026A">
        <w:t xml:space="preserve">nearby buildings </w:t>
      </w:r>
      <w:r w:rsidR="00B32552" w:rsidRPr="00C9026A">
        <w:t xml:space="preserve">on the dispersion of effluents </w:t>
      </w:r>
      <w:r w:rsidR="0083357B" w:rsidRPr="00C9026A">
        <w:t>or, in water bodies, the effect</w:t>
      </w:r>
      <w:r w:rsidR="007468BA">
        <w:t>s</w:t>
      </w:r>
      <w:r w:rsidR="0083357B" w:rsidRPr="00C9026A">
        <w:t xml:space="preserve"> of local bathymetry,</w:t>
      </w:r>
      <w:r w:rsidR="003223FB" w:rsidRPr="00C9026A">
        <w:t xml:space="preserve"> and removal</w:t>
      </w:r>
      <w:r w:rsidR="007468BA">
        <w:t xml:space="preserve"> or </w:t>
      </w:r>
      <w:r w:rsidR="0083357B" w:rsidRPr="00C9026A">
        <w:t>accumulation</w:t>
      </w:r>
      <w:r w:rsidR="003223FB" w:rsidRPr="00C9026A">
        <w:t xml:space="preserve"> mechanism</w:t>
      </w:r>
      <w:r w:rsidR="006A7851" w:rsidRPr="00C9026A">
        <w:t>s</w:t>
      </w:r>
      <w:r w:rsidR="000F69F0">
        <w:t>,</w:t>
      </w:r>
      <w:r w:rsidR="003223FB" w:rsidRPr="00C9026A">
        <w:t xml:space="preserve"> </w:t>
      </w:r>
      <w:r w:rsidR="007468BA">
        <w:t xml:space="preserve">such as </w:t>
      </w:r>
      <w:r w:rsidR="00922FFE" w:rsidRPr="00C9026A">
        <w:t>decay</w:t>
      </w:r>
      <w:r w:rsidR="007468BA">
        <w:t xml:space="preserve"> of parent radionuclides and growth of</w:t>
      </w:r>
      <w:r w:rsidR="00922FFE" w:rsidRPr="00C9026A">
        <w:t xml:space="preserve"> radioactive </w:t>
      </w:r>
      <w:r w:rsidR="007468BA">
        <w:t>progeny</w:t>
      </w:r>
      <w:r w:rsidR="00922FFE" w:rsidRPr="00C9026A">
        <w:t xml:space="preserve">, </w:t>
      </w:r>
      <w:r w:rsidR="006026C5" w:rsidRPr="00C9026A">
        <w:t>wet and dry deposition</w:t>
      </w:r>
      <w:r w:rsidR="0083357B" w:rsidRPr="00C9026A">
        <w:t xml:space="preserve"> and sedimentation</w:t>
      </w:r>
      <w:r w:rsidR="006026C5" w:rsidRPr="00C9026A">
        <w:t xml:space="preserve">. </w:t>
      </w:r>
    </w:p>
    <w:p w:rsidR="00FE73B5" w:rsidRPr="00C9026A" w:rsidRDefault="005121CC" w:rsidP="00A57A35">
      <w:pPr>
        <w:pStyle w:val="Heading4"/>
        <w:ind w:left="0"/>
      </w:pPr>
      <w:r w:rsidRPr="00C9026A">
        <w:t xml:space="preserve">For </w:t>
      </w:r>
      <w:r w:rsidR="00922FFE" w:rsidRPr="00C9026A">
        <w:t>facilities or activities</w:t>
      </w:r>
      <w:r w:rsidR="00F9367C" w:rsidRPr="00C9026A">
        <w:t xml:space="preserve"> </w:t>
      </w:r>
      <w:r w:rsidR="00CA2938">
        <w:t>necessitating</w:t>
      </w:r>
      <w:r w:rsidR="00CA2938" w:rsidRPr="00C9026A">
        <w:t xml:space="preserve"> </w:t>
      </w:r>
      <w:r w:rsidRPr="00C9026A">
        <w:t>simple assessments</w:t>
      </w:r>
      <w:r w:rsidR="007468BA">
        <w:t>,</w:t>
      </w:r>
      <w:r w:rsidRPr="00C9026A">
        <w:t xml:space="preserve"> the </w:t>
      </w:r>
      <w:r w:rsidR="00E422F8">
        <w:t xml:space="preserve">data on </w:t>
      </w:r>
      <w:r w:rsidRPr="00C9026A">
        <w:t>meteorological</w:t>
      </w:r>
      <w:r w:rsidR="00602DCE" w:rsidRPr="00C9026A">
        <w:t xml:space="preserve"> and hydrological </w:t>
      </w:r>
      <w:r w:rsidRPr="00C9026A">
        <w:t xml:space="preserve">conditions </w:t>
      </w:r>
      <w:r w:rsidR="007468BA">
        <w:t xml:space="preserve">used </w:t>
      </w:r>
      <w:r w:rsidR="0022681C">
        <w:t xml:space="preserve">as an input </w:t>
      </w:r>
      <w:r w:rsidR="003E5DDD">
        <w:t>to</w:t>
      </w:r>
      <w:r w:rsidR="007468BA">
        <w:t xml:space="preserve"> the models </w:t>
      </w:r>
      <w:r w:rsidRPr="00C9026A">
        <w:t xml:space="preserve">could be of a generic character </w:t>
      </w:r>
      <w:r w:rsidR="003E5DDD">
        <w:t xml:space="preserve">and </w:t>
      </w:r>
      <w:r w:rsidRPr="00C9026A">
        <w:t xml:space="preserve">based on </w:t>
      </w:r>
      <w:r w:rsidR="004C0CEA">
        <w:t xml:space="preserve">published data or </w:t>
      </w:r>
      <w:r w:rsidRPr="00C9026A">
        <w:t xml:space="preserve">national records. </w:t>
      </w:r>
      <w:r w:rsidR="006026C5" w:rsidRPr="00C9026A">
        <w:t xml:space="preserve">The meteorological </w:t>
      </w:r>
      <w:r w:rsidR="00602DCE" w:rsidRPr="00C9026A">
        <w:t xml:space="preserve">and hydrological </w:t>
      </w:r>
      <w:r w:rsidR="006026C5" w:rsidRPr="00C9026A">
        <w:t xml:space="preserve">conditions used for </w:t>
      </w:r>
      <w:r w:rsidR="00922FFE" w:rsidRPr="00C9026A">
        <w:t>more</w:t>
      </w:r>
      <w:r w:rsidR="006026C5" w:rsidRPr="00C9026A">
        <w:t xml:space="preserve"> </w:t>
      </w:r>
      <w:r w:rsidRPr="00C9026A">
        <w:t xml:space="preserve">complex </w:t>
      </w:r>
      <w:r w:rsidR="006026C5" w:rsidRPr="00C9026A">
        <w:t>assessment</w:t>
      </w:r>
      <w:r w:rsidRPr="00C9026A">
        <w:t>s</w:t>
      </w:r>
      <w:r w:rsidR="006026C5" w:rsidRPr="00C9026A">
        <w:t xml:space="preserve"> </w:t>
      </w:r>
      <w:r w:rsidR="00CD5346" w:rsidRPr="00C9026A">
        <w:t>should</w:t>
      </w:r>
      <w:r w:rsidR="006026C5" w:rsidRPr="00C9026A">
        <w:t xml:space="preserve"> be appropriate </w:t>
      </w:r>
      <w:r w:rsidR="00824070" w:rsidRPr="00C9026A">
        <w:t xml:space="preserve">and specific </w:t>
      </w:r>
      <w:r w:rsidR="006026C5" w:rsidRPr="00C9026A">
        <w:t xml:space="preserve">for the site in question and </w:t>
      </w:r>
      <w:r w:rsidR="00CD5346" w:rsidRPr="00C9026A">
        <w:t>should</w:t>
      </w:r>
      <w:r w:rsidR="006026C5" w:rsidRPr="00C9026A">
        <w:t xml:space="preserve"> preferably be averaged </w:t>
      </w:r>
      <w:r w:rsidR="007468BA">
        <w:t>over</w:t>
      </w:r>
      <w:r w:rsidR="007468BA" w:rsidRPr="00C9026A">
        <w:t xml:space="preserve"> </w:t>
      </w:r>
      <w:r w:rsidR="006026C5" w:rsidRPr="00C9026A">
        <w:t>several years of data</w:t>
      </w:r>
      <w:r w:rsidR="00922FFE" w:rsidRPr="00C9026A">
        <w:t xml:space="preserve"> (</w:t>
      </w:r>
      <w:r w:rsidR="009B4734">
        <w:t xml:space="preserve">at least </w:t>
      </w:r>
      <w:r w:rsidR="007468BA">
        <w:t xml:space="preserve">three to five </w:t>
      </w:r>
      <w:r w:rsidR="00922FFE" w:rsidRPr="00C9026A">
        <w:t>years)</w:t>
      </w:r>
      <w:r w:rsidR="006026C5" w:rsidRPr="00C9026A">
        <w:t xml:space="preserve">. Such data may be available for the site itself or </w:t>
      </w:r>
      <w:r w:rsidR="007468BA">
        <w:t xml:space="preserve">may be obtained </w:t>
      </w:r>
      <w:r w:rsidR="006026C5" w:rsidRPr="00C9026A">
        <w:t xml:space="preserve">from nearby meteorological </w:t>
      </w:r>
      <w:r w:rsidR="00602DCE" w:rsidRPr="00C9026A">
        <w:t xml:space="preserve">or hydrological </w:t>
      </w:r>
      <w:r w:rsidR="006026C5" w:rsidRPr="00C9026A">
        <w:t>stations.</w:t>
      </w:r>
    </w:p>
    <w:p w:rsidR="006026C5" w:rsidRPr="00C9026A" w:rsidRDefault="00922FFE" w:rsidP="00A57A35">
      <w:pPr>
        <w:pStyle w:val="Heading4"/>
        <w:ind w:left="0"/>
      </w:pPr>
      <w:r w:rsidRPr="00C9026A">
        <w:t xml:space="preserve">In general, </w:t>
      </w:r>
      <w:r w:rsidR="006026C5" w:rsidRPr="00C9026A">
        <w:t xml:space="preserve">Gaussian </w:t>
      </w:r>
      <w:r w:rsidR="00B32552" w:rsidRPr="00C9026A">
        <w:t xml:space="preserve">type </w:t>
      </w:r>
      <w:r w:rsidR="00FE73B5" w:rsidRPr="00C9026A">
        <w:t xml:space="preserve">atmospheric </w:t>
      </w:r>
      <w:r w:rsidR="006026C5" w:rsidRPr="00C9026A">
        <w:t xml:space="preserve">dispersion models can be used </w:t>
      </w:r>
      <w:r w:rsidR="00751869" w:rsidRPr="00C9026A">
        <w:t>[</w:t>
      </w:r>
      <w:r w:rsidR="00105B04">
        <w:t>10</w:t>
      </w:r>
      <w:r w:rsidR="00751869" w:rsidRPr="00C9026A">
        <w:t>]</w:t>
      </w:r>
      <w:r w:rsidR="006D4051" w:rsidRPr="00C9026A">
        <w:t xml:space="preserve">, particularly where </w:t>
      </w:r>
      <w:r w:rsidR="00A53E73" w:rsidRPr="00C9026A">
        <w:t>the geographical characteristics of the sites under consideration</w:t>
      </w:r>
      <w:r w:rsidR="006D4051" w:rsidRPr="00C9026A">
        <w:t xml:space="preserve"> </w:t>
      </w:r>
      <w:r w:rsidR="00B9065B">
        <w:t>mean that</w:t>
      </w:r>
      <w:r w:rsidR="006D4051" w:rsidRPr="00C9026A">
        <w:t xml:space="preserve"> simple dispersion scenarios</w:t>
      </w:r>
      <w:r w:rsidR="00B9065B">
        <w:t xml:space="preserve"> can be </w:t>
      </w:r>
      <w:r w:rsidR="00E422F8">
        <w:t>assumed</w:t>
      </w:r>
      <w:r w:rsidR="00E422F8" w:rsidRPr="00C9026A">
        <w:t xml:space="preserve"> </w:t>
      </w:r>
      <w:r w:rsidR="006D4051" w:rsidRPr="00C9026A">
        <w:t xml:space="preserve">(e.g. </w:t>
      </w:r>
      <w:r w:rsidR="00B9065B">
        <w:t xml:space="preserve">in the case of </w:t>
      </w:r>
      <w:r w:rsidR="006D4051" w:rsidRPr="00C9026A">
        <w:t>relatively flat terrain)</w:t>
      </w:r>
      <w:r w:rsidR="00106932" w:rsidRPr="00C9026A">
        <w:t xml:space="preserve"> and </w:t>
      </w:r>
      <w:r w:rsidR="00B9065B">
        <w:t>the</w:t>
      </w:r>
      <w:r w:rsidR="00A4244F">
        <w:t xml:space="preserve"> </w:t>
      </w:r>
      <w:r w:rsidR="00B9065B">
        <w:t xml:space="preserve">individuals </w:t>
      </w:r>
      <w:r w:rsidR="00C04ECA">
        <w:t>more likely to receive the highest doses</w:t>
      </w:r>
      <w:r w:rsidR="00106932" w:rsidRPr="00C9026A">
        <w:t xml:space="preserve"> </w:t>
      </w:r>
      <w:r w:rsidR="00B9065B">
        <w:t xml:space="preserve">live </w:t>
      </w:r>
      <w:r w:rsidR="00703A6D">
        <w:t>or are postulated to live</w:t>
      </w:r>
      <w:r w:rsidR="00106932" w:rsidRPr="00C9026A">
        <w:t xml:space="preserve"> </w:t>
      </w:r>
      <w:r w:rsidR="00881A58">
        <w:t xml:space="preserve">within </w:t>
      </w:r>
      <w:r w:rsidR="00506C1D">
        <w:t>10−</w:t>
      </w:r>
      <w:r w:rsidR="00106932" w:rsidRPr="00C9026A">
        <w:t xml:space="preserve">20 km </w:t>
      </w:r>
      <w:r w:rsidR="00881A58">
        <w:t xml:space="preserve">of </w:t>
      </w:r>
      <w:r w:rsidR="00106932" w:rsidRPr="00C9026A">
        <w:t>the release point</w:t>
      </w:r>
      <w:r w:rsidR="00A53E73" w:rsidRPr="00C9026A">
        <w:t xml:space="preserve">. However, for more complex dispersion conditions, for example for </w:t>
      </w:r>
      <w:r w:rsidR="00B9065B">
        <w:t>facilities</w:t>
      </w:r>
      <w:r w:rsidR="00B9065B" w:rsidRPr="00C9026A">
        <w:t xml:space="preserve"> </w:t>
      </w:r>
      <w:r w:rsidR="00A53E73" w:rsidRPr="00C9026A">
        <w:t xml:space="preserve">located close to </w:t>
      </w:r>
      <w:r w:rsidR="00245B0B" w:rsidRPr="00C9026A">
        <w:t>mountainous</w:t>
      </w:r>
      <w:r w:rsidR="00A53E73" w:rsidRPr="00C9026A">
        <w:t xml:space="preserve"> regions</w:t>
      </w:r>
      <w:r w:rsidR="00245B0B" w:rsidRPr="00C9026A">
        <w:t xml:space="preserve"> or a</w:t>
      </w:r>
      <w:r w:rsidR="00881A58">
        <w:t>r</w:t>
      </w:r>
      <w:r w:rsidR="00245B0B" w:rsidRPr="00C9026A">
        <w:t>e</w:t>
      </w:r>
      <w:r w:rsidR="00881A58">
        <w:t>a</w:t>
      </w:r>
      <w:r w:rsidR="00245B0B" w:rsidRPr="00C9026A">
        <w:t xml:space="preserve">s where complex local </w:t>
      </w:r>
      <w:r w:rsidR="00F9367C" w:rsidRPr="00C9026A">
        <w:t>atmospheric</w:t>
      </w:r>
      <w:r w:rsidR="00245B0B" w:rsidRPr="00C9026A">
        <w:t xml:space="preserve"> circulations are expected</w:t>
      </w:r>
      <w:r w:rsidR="00A53E73" w:rsidRPr="00C9026A">
        <w:t xml:space="preserve">, </w:t>
      </w:r>
      <w:r w:rsidR="006026C5" w:rsidRPr="00C9026A">
        <w:t>more compl</w:t>
      </w:r>
      <w:r w:rsidR="00FD5919" w:rsidRPr="00C9026A">
        <w:t xml:space="preserve">ex dispersion models </w:t>
      </w:r>
      <w:r w:rsidR="00A53E73" w:rsidRPr="00C9026A">
        <w:t>may be necessary.</w:t>
      </w:r>
      <w:r w:rsidR="00BE1C8A" w:rsidRPr="00C9026A">
        <w:t xml:space="preserve"> </w:t>
      </w:r>
      <w:r w:rsidR="006026C5" w:rsidRPr="00C9026A">
        <w:t xml:space="preserve">In any case, </w:t>
      </w:r>
      <w:r w:rsidR="00B9065B">
        <w:t xml:space="preserve">the </w:t>
      </w:r>
      <w:r w:rsidR="006026C5" w:rsidRPr="00C9026A">
        <w:t xml:space="preserve">predictions </w:t>
      </w:r>
      <w:r w:rsidR="00CD5346" w:rsidRPr="00C9026A">
        <w:t>should</w:t>
      </w:r>
      <w:r w:rsidR="006026C5" w:rsidRPr="00C9026A">
        <w:t xml:space="preserve"> be </w:t>
      </w:r>
      <w:r w:rsidR="00D752AD" w:rsidRPr="00C9026A">
        <w:t xml:space="preserve">based on realistic assumptions as far as possible and </w:t>
      </w:r>
      <w:r w:rsidR="00DB2ED4">
        <w:t xml:space="preserve">on </w:t>
      </w:r>
      <w:r w:rsidR="00881A58">
        <w:t>cautious</w:t>
      </w:r>
      <w:r w:rsidR="00881A58" w:rsidRPr="00C9026A">
        <w:t xml:space="preserve"> </w:t>
      </w:r>
      <w:r w:rsidR="00D752AD" w:rsidRPr="00C9026A">
        <w:t>assumption</w:t>
      </w:r>
      <w:r w:rsidR="00106932" w:rsidRPr="00C9026A">
        <w:t>s</w:t>
      </w:r>
      <w:r w:rsidR="00D752AD" w:rsidRPr="00C9026A">
        <w:t xml:space="preserve"> when uncertainties or variability in the data prevent those realistic assumptions</w:t>
      </w:r>
      <w:r w:rsidR="00B9065B">
        <w:t xml:space="preserve"> from being taken into account</w:t>
      </w:r>
      <w:r w:rsidR="006026C5" w:rsidRPr="00C9026A">
        <w:t xml:space="preserve">. If the location of the facility is known </w:t>
      </w:r>
      <w:r w:rsidR="00F9367C" w:rsidRPr="00C9026A">
        <w:t xml:space="preserve">at the time of the assessment, </w:t>
      </w:r>
      <w:r w:rsidR="006026C5" w:rsidRPr="00C9026A">
        <w:t xml:space="preserve">these assumptions </w:t>
      </w:r>
      <w:r w:rsidR="00CD5346" w:rsidRPr="00C9026A">
        <w:t>should</w:t>
      </w:r>
      <w:r w:rsidR="00502612" w:rsidRPr="00C9026A">
        <w:t xml:space="preserve"> </w:t>
      </w:r>
      <w:r w:rsidR="006026C5" w:rsidRPr="00C9026A">
        <w:t>take account of site</w:t>
      </w:r>
      <w:r w:rsidR="00B9065B">
        <w:t xml:space="preserve"> </w:t>
      </w:r>
      <w:r w:rsidR="006026C5" w:rsidRPr="00C9026A">
        <w:t xml:space="preserve">specific conditions. </w:t>
      </w:r>
      <w:r w:rsidR="005836E8" w:rsidRPr="00C9026A">
        <w:t xml:space="preserve">If </w:t>
      </w:r>
      <w:r w:rsidR="00B9065B">
        <w:t xml:space="preserve">the location of the facility is </w:t>
      </w:r>
      <w:r w:rsidR="005836E8" w:rsidRPr="00C9026A">
        <w:t>not</w:t>
      </w:r>
      <w:r w:rsidR="00B9065B">
        <w:t xml:space="preserve"> known</w:t>
      </w:r>
      <w:r w:rsidR="005836E8" w:rsidRPr="00C9026A">
        <w:t xml:space="preserve">, generic information </w:t>
      </w:r>
      <w:r w:rsidR="00024D67" w:rsidRPr="00C9026A">
        <w:t>at a regional level</w:t>
      </w:r>
      <w:r w:rsidR="005836E8" w:rsidRPr="00C9026A">
        <w:t xml:space="preserve"> </w:t>
      </w:r>
      <w:r w:rsidR="00CD5346" w:rsidRPr="00C9026A">
        <w:t>should</w:t>
      </w:r>
      <w:r w:rsidR="005836E8" w:rsidRPr="00C9026A">
        <w:t xml:space="preserve"> be used until more details </w:t>
      </w:r>
      <w:r w:rsidR="00B9065B">
        <w:t>about</w:t>
      </w:r>
      <w:r w:rsidR="00B9065B" w:rsidRPr="00C9026A">
        <w:t xml:space="preserve"> </w:t>
      </w:r>
      <w:r w:rsidR="005836E8" w:rsidRPr="00C9026A">
        <w:t xml:space="preserve">the </w:t>
      </w:r>
      <w:r w:rsidR="00881A58">
        <w:t>exact location</w:t>
      </w:r>
      <w:r w:rsidR="005836E8" w:rsidRPr="00C9026A">
        <w:t xml:space="preserve"> are known.</w:t>
      </w:r>
    </w:p>
    <w:p w:rsidR="006026C5" w:rsidRPr="00C9026A" w:rsidRDefault="009E6D87" w:rsidP="00A57A35">
      <w:pPr>
        <w:pStyle w:val="Heading4"/>
        <w:ind w:left="0"/>
      </w:pPr>
      <w:r w:rsidRPr="00C9026A">
        <w:t xml:space="preserve">Radionuclides </w:t>
      </w:r>
      <w:r w:rsidR="006026C5" w:rsidRPr="00C9026A">
        <w:t>may be discharged to a freshwater, estuarine or marine environment. Radionuclides discharged to water bodies are dispersed</w:t>
      </w:r>
      <w:r w:rsidR="00605AF1" w:rsidRPr="00C9026A">
        <w:t xml:space="preserve"> or concentrated</w:t>
      </w:r>
      <w:r w:rsidR="006026C5" w:rsidRPr="00C9026A">
        <w:t xml:space="preserve"> by </w:t>
      </w:r>
      <w:r w:rsidR="00605AF1" w:rsidRPr="00C9026A">
        <w:t xml:space="preserve">environmental </w:t>
      </w:r>
      <w:r w:rsidR="006026C5" w:rsidRPr="00C9026A">
        <w:t>processes</w:t>
      </w:r>
      <w:r w:rsidR="00605AF1" w:rsidRPr="00C9026A">
        <w:t xml:space="preserve"> </w:t>
      </w:r>
      <w:r w:rsidR="00B9065B">
        <w:t>such as</w:t>
      </w:r>
      <w:r w:rsidR="00B9065B" w:rsidRPr="00C9026A">
        <w:t xml:space="preserve"> </w:t>
      </w:r>
      <w:r w:rsidR="00605AF1" w:rsidRPr="00C9026A">
        <w:t>water movement and sedimentation</w:t>
      </w:r>
      <w:r w:rsidR="006026C5" w:rsidRPr="00C9026A">
        <w:t xml:space="preserve">. Much depends on the local characteristics of the </w:t>
      </w:r>
      <w:r w:rsidR="00DB2ED4">
        <w:t>aqu</w:t>
      </w:r>
      <w:r w:rsidR="00881A58">
        <w:t>atic</w:t>
      </w:r>
      <w:r w:rsidR="00DB2ED4" w:rsidRPr="00C9026A">
        <w:t xml:space="preserve"> </w:t>
      </w:r>
      <w:r w:rsidR="006026C5" w:rsidRPr="00C9026A">
        <w:t>environment</w:t>
      </w:r>
      <w:r w:rsidR="005E25F9" w:rsidRPr="00C9026A">
        <w:t>,</w:t>
      </w:r>
      <w:r w:rsidR="006026C5" w:rsidRPr="00C9026A">
        <w:t xml:space="preserve"> and </w:t>
      </w:r>
      <w:r w:rsidR="00B9065B">
        <w:t xml:space="preserve">as such </w:t>
      </w:r>
      <w:r w:rsidR="006026C5" w:rsidRPr="00C9026A">
        <w:t xml:space="preserve">it is not possible to have a totally generic model for </w:t>
      </w:r>
      <w:r w:rsidR="00B9065B">
        <w:t>aquatic</w:t>
      </w:r>
      <w:r w:rsidR="00B9065B" w:rsidRPr="00C9026A">
        <w:t xml:space="preserve"> </w:t>
      </w:r>
      <w:r w:rsidR="006026C5" w:rsidRPr="00C9026A">
        <w:t xml:space="preserve">releases. For example, </w:t>
      </w:r>
      <w:r w:rsidR="00B9065B">
        <w:t xml:space="preserve">the </w:t>
      </w:r>
      <w:r w:rsidR="005E25F9" w:rsidRPr="00C9026A">
        <w:t xml:space="preserve">information </w:t>
      </w:r>
      <w:r w:rsidR="003E5DDD">
        <w:t xml:space="preserve">used </w:t>
      </w:r>
      <w:r w:rsidR="00F17D7F">
        <w:t>in</w:t>
      </w:r>
      <w:r w:rsidR="00703A6D">
        <w:t xml:space="preserve"> model</w:t>
      </w:r>
      <w:r w:rsidR="003E5DDD">
        <w:t>ling</w:t>
      </w:r>
      <w:r w:rsidR="00703A6D">
        <w:t xml:space="preserve"> aquatic dispersion by</w:t>
      </w:r>
      <w:r w:rsidR="006026C5" w:rsidRPr="00C9026A">
        <w:t xml:space="preserve"> </w:t>
      </w:r>
      <w:r w:rsidR="00B9065B">
        <w:t xml:space="preserve">a </w:t>
      </w:r>
      <w:r w:rsidR="006026C5" w:rsidRPr="00C9026A">
        <w:t xml:space="preserve">river </w:t>
      </w:r>
      <w:r w:rsidR="00B9065B">
        <w:t>should comprise</w:t>
      </w:r>
      <w:r w:rsidR="00B9065B" w:rsidRPr="00C9026A">
        <w:t xml:space="preserve"> </w:t>
      </w:r>
      <w:r w:rsidR="00351EA6" w:rsidRPr="00C9026A">
        <w:t xml:space="preserve">at least </w:t>
      </w:r>
      <w:r w:rsidR="006026C5" w:rsidRPr="00C9026A">
        <w:t>the size of the river and its flow rate</w:t>
      </w:r>
      <w:r w:rsidR="005E25F9" w:rsidRPr="00C9026A">
        <w:t xml:space="preserve"> [</w:t>
      </w:r>
      <w:r w:rsidR="00105B04">
        <w:t>10</w:t>
      </w:r>
      <w:r w:rsidR="005E25F9" w:rsidRPr="00C9026A">
        <w:t>]</w:t>
      </w:r>
      <w:r w:rsidR="006026C5" w:rsidRPr="00C9026A">
        <w:t xml:space="preserve">. Models </w:t>
      </w:r>
      <w:r w:rsidR="00751869" w:rsidRPr="00C9026A">
        <w:t xml:space="preserve">should be </w:t>
      </w:r>
      <w:r w:rsidR="00270FD7">
        <w:t>suit</w:t>
      </w:r>
      <w:r w:rsidR="00751869" w:rsidRPr="00C9026A">
        <w:t>able</w:t>
      </w:r>
      <w:r w:rsidR="006026C5" w:rsidRPr="00C9026A">
        <w:t xml:space="preserve"> </w:t>
      </w:r>
      <w:r w:rsidR="00292B0D">
        <w:t>for</w:t>
      </w:r>
      <w:r w:rsidR="00292B0D" w:rsidRPr="00C9026A">
        <w:t xml:space="preserve"> </w:t>
      </w:r>
      <w:r w:rsidR="003A6D0B" w:rsidRPr="00C9026A">
        <w:t>estimat</w:t>
      </w:r>
      <w:r w:rsidR="00292B0D">
        <w:t>ing</w:t>
      </w:r>
      <w:r w:rsidR="006026C5" w:rsidRPr="00C9026A">
        <w:t xml:space="preserve"> the activity concentrations in water and in sediment. From these </w:t>
      </w:r>
      <w:r w:rsidR="0078236F">
        <w:t>estimations,</w:t>
      </w:r>
      <w:r w:rsidR="006026C5" w:rsidRPr="00C9026A">
        <w:t xml:space="preserve"> activity concentratio</w:t>
      </w:r>
      <w:r w:rsidR="008C5038" w:rsidRPr="00C9026A">
        <w:t>ns in</w:t>
      </w:r>
      <w:r w:rsidR="00B9065B">
        <w:t xml:space="preserve"> </w:t>
      </w:r>
      <w:r w:rsidR="008C5038" w:rsidRPr="00C9026A">
        <w:t xml:space="preserve">aquatic food, such as fish, molluscs </w:t>
      </w:r>
      <w:r w:rsidR="006026C5" w:rsidRPr="00C9026A">
        <w:t xml:space="preserve">and crustaceans, </w:t>
      </w:r>
      <w:r w:rsidR="009C216D" w:rsidRPr="00C9026A">
        <w:t xml:space="preserve">as relevant, </w:t>
      </w:r>
      <w:r w:rsidR="006026C5" w:rsidRPr="00C9026A">
        <w:t xml:space="preserve">can be </w:t>
      </w:r>
      <w:r w:rsidR="0078236F">
        <w:t>calculated</w:t>
      </w:r>
      <w:r w:rsidR="00B9065B">
        <w:t>,</w:t>
      </w:r>
      <w:r w:rsidR="006026C5" w:rsidRPr="00C9026A">
        <w:t xml:space="preserve"> together with external </w:t>
      </w:r>
      <w:r w:rsidR="00105426">
        <w:t>irradiation</w:t>
      </w:r>
      <w:r w:rsidR="00105426" w:rsidRPr="00C9026A">
        <w:t xml:space="preserve"> </w:t>
      </w:r>
      <w:r w:rsidR="00B9065B">
        <w:t xml:space="preserve">due </w:t>
      </w:r>
      <w:r w:rsidR="006026C5" w:rsidRPr="00C9026A">
        <w:t>to sediments</w:t>
      </w:r>
      <w:r w:rsidR="00256FD8">
        <w:t xml:space="preserve"> on the shore or </w:t>
      </w:r>
      <w:r w:rsidR="003E5DDD">
        <w:t xml:space="preserve">on </w:t>
      </w:r>
      <w:r w:rsidR="00256FD8">
        <w:t>riversides</w:t>
      </w:r>
      <w:r w:rsidR="006026C5" w:rsidRPr="00C9026A">
        <w:t>.</w:t>
      </w:r>
    </w:p>
    <w:p w:rsidR="006026C5" w:rsidRPr="00C9026A" w:rsidRDefault="006026C5" w:rsidP="00A57A35">
      <w:pPr>
        <w:pStyle w:val="Heading4"/>
        <w:ind w:left="0"/>
      </w:pPr>
      <w:r w:rsidRPr="00C9026A">
        <w:lastRenderedPageBreak/>
        <w:t xml:space="preserve">For some </w:t>
      </w:r>
      <w:r w:rsidR="00BA6D7C" w:rsidRPr="00C9026A">
        <w:t xml:space="preserve">facilities and </w:t>
      </w:r>
      <w:r w:rsidR="00A029B6" w:rsidRPr="00C9026A">
        <w:t>activities</w:t>
      </w:r>
      <w:r w:rsidR="005E25F9" w:rsidRPr="00C9026A">
        <w:t>,</w:t>
      </w:r>
      <w:r w:rsidR="00A029B6" w:rsidRPr="00C9026A">
        <w:t xml:space="preserve"> </w:t>
      </w:r>
      <w:r w:rsidRPr="00C9026A">
        <w:t>discharges of radioactive liquid</w:t>
      </w:r>
      <w:r w:rsidR="00D13565">
        <w:t xml:space="preserve"> effluent</w:t>
      </w:r>
      <w:r w:rsidRPr="00C9026A">
        <w:t xml:space="preserve">s to </w:t>
      </w:r>
      <w:r w:rsidR="00D13565">
        <w:t xml:space="preserve">the </w:t>
      </w:r>
      <w:r w:rsidRPr="00C9026A">
        <w:t>sewer</w:t>
      </w:r>
      <w:r w:rsidR="00AA7E0E" w:rsidRPr="00C9026A">
        <w:t>age</w:t>
      </w:r>
      <w:r w:rsidRPr="00C9026A">
        <w:t xml:space="preserve"> </w:t>
      </w:r>
      <w:r w:rsidR="00D13565">
        <w:t xml:space="preserve">system </w:t>
      </w:r>
      <w:r w:rsidRPr="00C9026A">
        <w:t>may occur</w:t>
      </w:r>
      <w:r w:rsidR="00B9065B">
        <w:t>,</w:t>
      </w:r>
      <w:r w:rsidRPr="00C9026A">
        <w:t xml:space="preserve"> with </w:t>
      </w:r>
      <w:r w:rsidR="00A80BF9">
        <w:t>sewage</w:t>
      </w:r>
      <w:r w:rsidRPr="00C9026A">
        <w:t xml:space="preserve"> </w:t>
      </w:r>
      <w:r w:rsidR="00B9065B">
        <w:t xml:space="preserve">then </w:t>
      </w:r>
      <w:r w:rsidRPr="00C9026A">
        <w:t xml:space="preserve">being carried to treatment </w:t>
      </w:r>
      <w:r w:rsidR="00DB2ED4">
        <w:t>plants</w:t>
      </w:r>
      <w:r w:rsidR="00A46D18" w:rsidRPr="00C9026A">
        <w:t xml:space="preserve">. </w:t>
      </w:r>
      <w:r w:rsidRPr="00C9026A">
        <w:t xml:space="preserve">When assessing </w:t>
      </w:r>
      <w:r w:rsidR="00A80BF9">
        <w:t>the</w:t>
      </w:r>
      <w:r w:rsidR="00D13565">
        <w:t xml:space="preserve"> do</w:t>
      </w:r>
      <w:r w:rsidR="00A80BF9">
        <w:t>se</w:t>
      </w:r>
      <w:r w:rsidR="00D13565">
        <w:t xml:space="preserve">s from </w:t>
      </w:r>
      <w:r w:rsidR="00B9065B">
        <w:t xml:space="preserve">such </w:t>
      </w:r>
      <w:r w:rsidRPr="00C9026A">
        <w:t xml:space="preserve">discharges, </w:t>
      </w:r>
      <w:r w:rsidR="00751869" w:rsidRPr="00C9026A">
        <w:t xml:space="preserve">the models should be </w:t>
      </w:r>
      <w:r w:rsidR="00270FD7">
        <w:t>suit</w:t>
      </w:r>
      <w:r w:rsidR="00751869" w:rsidRPr="00C9026A">
        <w:t xml:space="preserve">able </w:t>
      </w:r>
      <w:r w:rsidR="00292B0D">
        <w:t>for</w:t>
      </w:r>
      <w:r w:rsidR="00292B0D" w:rsidRPr="00C9026A">
        <w:t xml:space="preserve"> </w:t>
      </w:r>
      <w:r w:rsidR="00751869" w:rsidRPr="00C9026A">
        <w:t>estimat</w:t>
      </w:r>
      <w:r w:rsidR="00292B0D">
        <w:t>ing</w:t>
      </w:r>
      <w:r w:rsidRPr="00C9026A">
        <w:t xml:space="preserve"> the transfer of the radionuclides </w:t>
      </w:r>
      <w:r w:rsidR="008C02DF">
        <w:t>through</w:t>
      </w:r>
      <w:r w:rsidR="00A80BF9">
        <w:t xml:space="preserve"> </w:t>
      </w:r>
      <w:r w:rsidRPr="00C9026A">
        <w:t>the sew</w:t>
      </w:r>
      <w:r w:rsidR="00E47F9E" w:rsidRPr="00C9026A">
        <w:t>er</w:t>
      </w:r>
      <w:r w:rsidRPr="00C9026A">
        <w:t xml:space="preserve">age </w:t>
      </w:r>
      <w:r w:rsidR="00A80BF9">
        <w:t>system</w:t>
      </w:r>
      <w:r w:rsidRPr="00C9026A">
        <w:t xml:space="preserve"> </w:t>
      </w:r>
      <w:r w:rsidR="009B4734">
        <w:t>(for example, using compartmental models</w:t>
      </w:r>
      <w:r w:rsidR="006D2FC6">
        <w:rPr>
          <w:rStyle w:val="FootnoteReference"/>
        </w:rPr>
        <w:footnoteReference w:id="21"/>
      </w:r>
      <w:r w:rsidR="009B4734">
        <w:t xml:space="preserve">) </w:t>
      </w:r>
      <w:r w:rsidRPr="00C9026A">
        <w:t>and their subsequent release into the environment. Radionuclides could be discharged with the treated effluent to rivers or coastal waters, where the models</w:t>
      </w:r>
      <w:r w:rsidR="00256FD8">
        <w:t xml:space="preserve"> with the features</w:t>
      </w:r>
      <w:r w:rsidRPr="00C9026A">
        <w:t xml:space="preserve"> </w:t>
      </w:r>
      <w:r w:rsidR="008C0F99">
        <w:t>indicated</w:t>
      </w:r>
      <w:r w:rsidR="00F469C7" w:rsidRPr="00C9026A">
        <w:t xml:space="preserve"> </w:t>
      </w:r>
      <w:r w:rsidR="00751869" w:rsidRPr="00C9026A">
        <w:t>in para</w:t>
      </w:r>
      <w:r w:rsidR="00B9065B" w:rsidRPr="005E3463">
        <w:t>. 5.20</w:t>
      </w:r>
      <w:r w:rsidRPr="005E3463">
        <w:t xml:space="preserve"> </w:t>
      </w:r>
      <w:r w:rsidR="00256FD8" w:rsidRPr="005E3463">
        <w:t>should</w:t>
      </w:r>
      <w:r w:rsidRPr="005E3463">
        <w:t xml:space="preserve"> be </w:t>
      </w:r>
      <w:r w:rsidR="00D13565" w:rsidRPr="005E3463">
        <w:t>use</w:t>
      </w:r>
      <w:r w:rsidRPr="005E3463">
        <w:t>d. In addition</w:t>
      </w:r>
      <w:r w:rsidR="00236C47" w:rsidRPr="005E3463">
        <w:t>,</w:t>
      </w:r>
      <w:r w:rsidRPr="005E3463">
        <w:t xml:space="preserve"> radionuclides may be associated with sewage sludge</w:t>
      </w:r>
      <w:r w:rsidR="00EF004B" w:rsidRPr="005E3463">
        <w:t>,</w:t>
      </w:r>
      <w:r w:rsidRPr="005E3463">
        <w:t xml:space="preserve"> which is</w:t>
      </w:r>
      <w:r w:rsidRPr="00C9026A">
        <w:t xml:space="preserve"> </w:t>
      </w:r>
      <w:r w:rsidR="00DF0346" w:rsidRPr="00C9026A">
        <w:t>managed</w:t>
      </w:r>
      <w:r w:rsidRPr="00C9026A">
        <w:t xml:space="preserve"> in various ways</w:t>
      </w:r>
      <w:r w:rsidR="0038115C">
        <w:t>,</w:t>
      </w:r>
      <w:r w:rsidRPr="00C9026A">
        <w:t xml:space="preserve"> including its </w:t>
      </w:r>
      <w:r w:rsidR="00DF0346" w:rsidRPr="00C9026A">
        <w:t>re</w:t>
      </w:r>
      <w:r w:rsidRPr="00C9026A">
        <w:t xml:space="preserve">use as a </w:t>
      </w:r>
      <w:r w:rsidR="00DF0346" w:rsidRPr="00C9026A">
        <w:t>soil conditioner and fertilizer on agricultural land</w:t>
      </w:r>
      <w:r w:rsidR="00EF004B">
        <w:t>, its</w:t>
      </w:r>
      <w:r w:rsidR="00DF0346" w:rsidRPr="00C9026A">
        <w:t xml:space="preserve"> treatment</w:t>
      </w:r>
      <w:r w:rsidR="005E25F9" w:rsidRPr="00C9026A">
        <w:t xml:space="preserve"> or</w:t>
      </w:r>
      <w:r w:rsidR="00DF0346" w:rsidRPr="00C9026A">
        <w:t xml:space="preserve"> </w:t>
      </w:r>
      <w:r w:rsidRPr="00C9026A">
        <w:t>disposal by incineration</w:t>
      </w:r>
      <w:r w:rsidR="00DF0346" w:rsidRPr="00C9026A">
        <w:t xml:space="preserve"> or </w:t>
      </w:r>
      <w:r w:rsidR="00EF004B">
        <w:t xml:space="preserve">its transfer </w:t>
      </w:r>
      <w:r w:rsidR="00DF0346" w:rsidRPr="00C9026A">
        <w:t>to a municipal waste landfill site</w:t>
      </w:r>
      <w:r w:rsidRPr="00C9026A">
        <w:t xml:space="preserve">. </w:t>
      </w:r>
      <w:r w:rsidR="00DB7FC2">
        <w:t>Adequate</w:t>
      </w:r>
      <w:r w:rsidR="00DB7FC2" w:rsidRPr="00C9026A">
        <w:t xml:space="preserve"> </w:t>
      </w:r>
      <w:r w:rsidRPr="00C9026A">
        <w:t xml:space="preserve">models </w:t>
      </w:r>
      <w:r w:rsidR="00751869" w:rsidRPr="00C9026A">
        <w:t xml:space="preserve">should be </w:t>
      </w:r>
      <w:r w:rsidR="00EF004B">
        <w:t>used to estimate</w:t>
      </w:r>
      <w:r w:rsidRPr="00C9026A">
        <w:t xml:space="preserve"> the transfer of radionuclides through terrestrial food</w:t>
      </w:r>
      <w:r w:rsidR="00236C47" w:rsidRPr="00C9026A">
        <w:t xml:space="preserve"> </w:t>
      </w:r>
      <w:r w:rsidRPr="00C9026A">
        <w:t xml:space="preserve">chains and </w:t>
      </w:r>
      <w:r w:rsidR="009B4734">
        <w:t xml:space="preserve">to the atmosphere </w:t>
      </w:r>
      <w:r w:rsidR="00954525">
        <w:t xml:space="preserve">as a result of </w:t>
      </w:r>
      <w:r w:rsidR="00DB7FC2">
        <w:t>resuspension</w:t>
      </w:r>
      <w:r w:rsidR="0078236F">
        <w:t>, as relevant</w:t>
      </w:r>
      <w:r w:rsidRPr="00C9026A">
        <w:t xml:space="preserve">. </w:t>
      </w:r>
      <w:r w:rsidR="00A80BF9">
        <w:t>It may also be necessary to assess the exposure of workers involved in the operation of the sewerage systems</w:t>
      </w:r>
      <w:r w:rsidR="00D13565">
        <w:t xml:space="preserve"> and at the treatment plants</w:t>
      </w:r>
      <w:r w:rsidR="00A80BF9">
        <w:t>.</w:t>
      </w:r>
    </w:p>
    <w:p w:rsidR="006026C5" w:rsidRPr="00C9026A" w:rsidRDefault="006026C5" w:rsidP="00A57A35">
      <w:pPr>
        <w:pStyle w:val="Heading4"/>
        <w:ind w:left="0"/>
      </w:pPr>
      <w:r w:rsidRPr="00C9026A">
        <w:t>When radionuclides are continuously discharged</w:t>
      </w:r>
      <w:r w:rsidR="00EF004B">
        <w:t>,</w:t>
      </w:r>
      <w:r w:rsidRPr="00C9026A">
        <w:t xml:space="preserve"> they accumulate in the environment up to the point </w:t>
      </w:r>
      <w:r w:rsidR="0038115C">
        <w:t>at which</w:t>
      </w:r>
      <w:r w:rsidR="0038115C" w:rsidRPr="00C9026A">
        <w:t xml:space="preserve"> </w:t>
      </w:r>
      <w:r w:rsidRPr="00C9026A">
        <w:t xml:space="preserve">equilibrium conditions </w:t>
      </w:r>
      <w:r w:rsidR="001B1F50" w:rsidRPr="00C9026A">
        <w:t>can be assumed</w:t>
      </w:r>
      <w:r w:rsidRPr="00C9026A">
        <w:t xml:space="preserve">. </w:t>
      </w:r>
      <w:r w:rsidR="00902F47" w:rsidRPr="00C9026A">
        <w:t xml:space="preserve">Dose estimates should be calculated for the time at which the highest </w:t>
      </w:r>
      <w:r w:rsidR="00EF004B">
        <w:t>radiation</w:t>
      </w:r>
      <w:r w:rsidR="00EF004B" w:rsidRPr="00C9026A">
        <w:t xml:space="preserve"> </w:t>
      </w:r>
      <w:r w:rsidR="00902F47" w:rsidRPr="00C9026A">
        <w:t>exposure is expected</w:t>
      </w:r>
      <w:r w:rsidR="00902F47" w:rsidRPr="0078236F">
        <w:t xml:space="preserve">. </w:t>
      </w:r>
      <w:r w:rsidR="00DC1D3D" w:rsidRPr="00C9026A">
        <w:t xml:space="preserve">The </w:t>
      </w:r>
      <w:r w:rsidR="00ED62F3" w:rsidRPr="00C9026A">
        <w:t xml:space="preserve">activity </w:t>
      </w:r>
      <w:r w:rsidR="00DC1D3D" w:rsidRPr="00C9026A">
        <w:t xml:space="preserve">concentrations in environmental media </w:t>
      </w:r>
      <w:r w:rsidR="00EF004B">
        <w:t xml:space="preserve">that are </w:t>
      </w:r>
      <w:r w:rsidR="00DC1D3D" w:rsidRPr="00C9026A">
        <w:t xml:space="preserve">used to estimate doses </w:t>
      </w:r>
      <w:r w:rsidR="00CD5346" w:rsidRPr="00C9026A">
        <w:t>should</w:t>
      </w:r>
      <w:r w:rsidR="00DC1D3D" w:rsidRPr="00C9026A">
        <w:t xml:space="preserve"> be </w:t>
      </w:r>
      <w:r w:rsidR="00602DCE" w:rsidRPr="00C9026A">
        <w:t>representative</w:t>
      </w:r>
      <w:r w:rsidR="00DC1D3D" w:rsidRPr="00C9026A">
        <w:t xml:space="preserve"> of the conditions</w:t>
      </w:r>
      <w:r w:rsidR="00F21737" w:rsidRPr="00C9026A">
        <w:t xml:space="preserve"> when accumulation </w:t>
      </w:r>
      <w:r w:rsidR="00024D67" w:rsidRPr="00C9026A">
        <w:t xml:space="preserve">can be assumed to </w:t>
      </w:r>
      <w:r w:rsidR="00902F47">
        <w:t>be a maximum</w:t>
      </w:r>
      <w:r w:rsidR="000E6378" w:rsidRPr="00C9026A">
        <w:t>.</w:t>
      </w:r>
      <w:r w:rsidR="00351954" w:rsidRPr="00C9026A">
        <w:t xml:space="preserve"> For example, </w:t>
      </w:r>
      <w:r w:rsidR="00EF004B">
        <w:t>if</w:t>
      </w:r>
      <w:r w:rsidR="00EF004B" w:rsidRPr="00C9026A">
        <w:t xml:space="preserve"> </w:t>
      </w:r>
      <w:r w:rsidR="00351954" w:rsidRPr="00C9026A">
        <w:t>a facility is expected to be operational for 30 or 40 years</w:t>
      </w:r>
      <w:r w:rsidR="00C04ECA">
        <w:t>,</w:t>
      </w:r>
      <w:r w:rsidR="00902F47">
        <w:t xml:space="preserve"> maximal activity concentration </w:t>
      </w:r>
      <w:r w:rsidR="00C04ECA">
        <w:t>occurs at the</w:t>
      </w:r>
      <w:r w:rsidR="00081E74" w:rsidRPr="00C9026A">
        <w:t xml:space="preserve"> end of the operational life</w:t>
      </w:r>
      <w:r w:rsidR="00C04ECA">
        <w:t xml:space="preserve"> and</w:t>
      </w:r>
      <w:r w:rsidR="00351954" w:rsidRPr="00C9026A">
        <w:t xml:space="preserve"> </w:t>
      </w:r>
      <w:r w:rsidR="00EF004B">
        <w:t xml:space="preserve">accordingly </w:t>
      </w:r>
      <w:r w:rsidR="00351954" w:rsidRPr="00C9026A">
        <w:t xml:space="preserve">the dose should be assessed </w:t>
      </w:r>
      <w:r w:rsidR="00EF004B">
        <w:t>for</w:t>
      </w:r>
      <w:r w:rsidR="00EF004B" w:rsidRPr="00C9026A">
        <w:t xml:space="preserve"> </w:t>
      </w:r>
      <w:r w:rsidR="00351954" w:rsidRPr="00C9026A">
        <w:t>the 30</w:t>
      </w:r>
      <w:r w:rsidR="00351954" w:rsidRPr="00902F47">
        <w:rPr>
          <w:vertAlign w:val="superscript"/>
        </w:rPr>
        <w:t>th</w:t>
      </w:r>
      <w:r w:rsidR="00351954" w:rsidRPr="00C9026A">
        <w:t xml:space="preserve"> or 40</w:t>
      </w:r>
      <w:r w:rsidR="00351954" w:rsidRPr="0078236F">
        <w:rPr>
          <w:vertAlign w:val="superscript"/>
        </w:rPr>
        <w:t>th</w:t>
      </w:r>
      <w:r w:rsidR="00351954" w:rsidRPr="00C9026A">
        <w:t xml:space="preserve"> year to take accumulation </w:t>
      </w:r>
      <w:r w:rsidR="006F6017">
        <w:t xml:space="preserve">in the environment </w:t>
      </w:r>
      <w:r w:rsidR="00351954" w:rsidRPr="00C9026A">
        <w:t>into account.</w:t>
      </w:r>
      <w:r w:rsidR="00954525">
        <w:t xml:space="preserve"> For facilities</w:t>
      </w:r>
      <w:r w:rsidR="00EC7C71">
        <w:t xml:space="preserve"> or </w:t>
      </w:r>
      <w:r w:rsidR="007270AB">
        <w:t>activities</w:t>
      </w:r>
      <w:r w:rsidR="00954525">
        <w:t xml:space="preserve"> </w:t>
      </w:r>
      <w:r w:rsidR="00EF004B">
        <w:t>from which</w:t>
      </w:r>
      <w:r w:rsidR="00954525">
        <w:t xml:space="preserve"> long-lived </w:t>
      </w:r>
      <w:r w:rsidR="009757AF">
        <w:t>radionuclides</w:t>
      </w:r>
      <w:r w:rsidR="00EF004B">
        <w:t xml:space="preserve"> are discharged</w:t>
      </w:r>
      <w:r w:rsidR="009757AF">
        <w:t xml:space="preserve">, the maximum exposures can occur well after operations cease, for example as a result of </w:t>
      </w:r>
      <w:r w:rsidR="00103DF2">
        <w:t xml:space="preserve">slow </w:t>
      </w:r>
      <w:r w:rsidR="00627C09">
        <w:t xml:space="preserve">migration </w:t>
      </w:r>
      <w:r w:rsidR="009757AF">
        <w:t>processes of radionuclides in the environment</w:t>
      </w:r>
      <w:r w:rsidR="00902F47">
        <w:t xml:space="preserve"> beyond the period of operation</w:t>
      </w:r>
      <w:r w:rsidR="009757AF">
        <w:t>. The assessment should take this possibility into account.</w:t>
      </w:r>
    </w:p>
    <w:p w:rsidR="00D26787" w:rsidRPr="00C9026A" w:rsidRDefault="006F6017" w:rsidP="00A57A35">
      <w:pPr>
        <w:pStyle w:val="Heading4"/>
        <w:ind w:left="0"/>
      </w:pPr>
      <w:r>
        <w:t xml:space="preserve">The contribution to the dose from </w:t>
      </w:r>
      <w:r w:rsidR="00EF004B">
        <w:t xml:space="preserve">radioactive </w:t>
      </w:r>
      <w:r>
        <w:t>progeny in r</w:t>
      </w:r>
      <w:r w:rsidR="008C5038" w:rsidRPr="00C9026A">
        <w:t>adioactive d</w:t>
      </w:r>
      <w:r w:rsidR="0062761B" w:rsidRPr="00C9026A">
        <w:t xml:space="preserve">ecay chains </w:t>
      </w:r>
      <w:r>
        <w:t>should</w:t>
      </w:r>
      <w:r w:rsidR="006026C5" w:rsidRPr="00C9026A">
        <w:t xml:space="preserve"> be taken into account. In some cases, the decay products may be radiologically </w:t>
      </w:r>
      <w:r w:rsidR="0038115C" w:rsidRPr="00C9026A">
        <w:t xml:space="preserve">more </w:t>
      </w:r>
      <w:r w:rsidR="006026C5" w:rsidRPr="00C9026A">
        <w:t>significant than the parent</w:t>
      </w:r>
      <w:r w:rsidR="00EF004B">
        <w:t xml:space="preserve"> radionuclide</w:t>
      </w:r>
      <w:r w:rsidR="006026C5" w:rsidRPr="00C9026A">
        <w:t xml:space="preserve"> and </w:t>
      </w:r>
      <w:r>
        <w:t>therefore</w:t>
      </w:r>
      <w:r w:rsidR="006026C5" w:rsidRPr="00C9026A">
        <w:t xml:space="preserve"> it is important to consider the ingrowth</w:t>
      </w:r>
      <w:r>
        <w:t xml:space="preserve"> of </w:t>
      </w:r>
      <w:r w:rsidR="00EF004B">
        <w:t xml:space="preserve">such </w:t>
      </w:r>
      <w:r>
        <w:t>decay products</w:t>
      </w:r>
      <w:r w:rsidR="006026C5" w:rsidRPr="00C9026A">
        <w:t>. Examples of this are the uranium decay series and plutonium-241</w:t>
      </w:r>
      <w:r w:rsidR="00EF004B">
        <w:t>,</w:t>
      </w:r>
      <w:r w:rsidR="006026C5" w:rsidRPr="00C9026A">
        <w:t xml:space="preserve"> which decays into americium-241</w:t>
      </w:r>
      <w:r w:rsidR="00241C41" w:rsidRPr="00C9026A">
        <w:t xml:space="preserve">. The </w:t>
      </w:r>
      <w:r w:rsidR="00DE093B" w:rsidRPr="00C9026A">
        <w:t xml:space="preserve">assumptions and approaches </w:t>
      </w:r>
      <w:r w:rsidR="00EF004B">
        <w:t xml:space="preserve">used </w:t>
      </w:r>
      <w:r w:rsidR="00DE093B" w:rsidRPr="00C9026A">
        <w:t xml:space="preserve">to deal with </w:t>
      </w:r>
      <w:r w:rsidR="00EF004B">
        <w:t xml:space="preserve">radioactive </w:t>
      </w:r>
      <w:r w:rsidR="00DE093B" w:rsidRPr="00C9026A">
        <w:t xml:space="preserve">progeny, including the </w:t>
      </w:r>
      <w:r w:rsidR="00241C41" w:rsidRPr="00C9026A">
        <w:t xml:space="preserve">exclusion of progeny </w:t>
      </w:r>
      <w:r w:rsidR="00EF004B">
        <w:t xml:space="preserve">from </w:t>
      </w:r>
      <w:r w:rsidR="0038115C">
        <w:t>consideration</w:t>
      </w:r>
      <w:r w:rsidR="00EF004B">
        <w:t xml:space="preserve"> </w:t>
      </w:r>
      <w:r w:rsidR="00A029B6" w:rsidRPr="00C9026A">
        <w:t>if applicable</w:t>
      </w:r>
      <w:r w:rsidR="00857F73" w:rsidRPr="00C9026A">
        <w:t>,</w:t>
      </w:r>
      <w:r w:rsidR="00A029B6" w:rsidRPr="00C9026A">
        <w:t xml:space="preserve"> </w:t>
      </w:r>
      <w:r w:rsidR="00CD5346" w:rsidRPr="00C9026A">
        <w:t>should</w:t>
      </w:r>
      <w:r w:rsidR="00241C41" w:rsidRPr="00C9026A">
        <w:t xml:space="preserve"> be justified.</w:t>
      </w:r>
    </w:p>
    <w:p w:rsidR="00C629BF" w:rsidRPr="00C9026A" w:rsidRDefault="00C629BF" w:rsidP="00A57A35">
      <w:pPr>
        <w:pStyle w:val="Heading4"/>
        <w:ind w:left="0"/>
      </w:pPr>
      <w:r w:rsidRPr="00C9026A">
        <w:t xml:space="preserve">The transfer of </w:t>
      </w:r>
      <w:r w:rsidR="00A935DA" w:rsidRPr="00C9026A">
        <w:t xml:space="preserve">radionuclides </w:t>
      </w:r>
      <w:r w:rsidR="007E3410" w:rsidRPr="00C9026A">
        <w:t>from environmental media</w:t>
      </w:r>
      <w:r w:rsidRPr="00C9026A">
        <w:t xml:space="preserve"> to the plants and animals in the human food chain </w:t>
      </w:r>
      <w:r w:rsidR="00CD5346" w:rsidRPr="00C9026A">
        <w:t>should</w:t>
      </w:r>
      <w:r w:rsidRPr="00C9026A">
        <w:t xml:space="preserve"> be estimated using </w:t>
      </w:r>
      <w:r w:rsidR="00C801DA" w:rsidRPr="00C9026A">
        <w:t xml:space="preserve">generic </w:t>
      </w:r>
      <w:r w:rsidRPr="00C9026A">
        <w:t xml:space="preserve">transfer </w:t>
      </w:r>
      <w:r w:rsidR="00A96C5A">
        <w:t>parameters</w:t>
      </w:r>
      <w:r w:rsidR="00EF004B">
        <w:t>,</w:t>
      </w:r>
      <w:r w:rsidRPr="00C9026A">
        <w:t xml:space="preserve"> </w:t>
      </w:r>
      <w:r w:rsidR="00EF004B">
        <w:t>such as</w:t>
      </w:r>
      <w:r w:rsidR="00EF004B" w:rsidRPr="00C9026A">
        <w:t xml:space="preserve"> </w:t>
      </w:r>
      <w:r w:rsidRPr="00C9026A">
        <w:t>the</w:t>
      </w:r>
      <w:r w:rsidR="00EF004B">
        <w:t xml:space="preserve"> </w:t>
      </w:r>
      <w:r w:rsidR="004C0CEA" w:rsidRPr="00C9026A">
        <w:t>transfer factors for food in the terrestrial, marine and freshwater ecosystems</w:t>
      </w:r>
      <w:r w:rsidR="004C0CEA">
        <w:t xml:space="preserve"> </w:t>
      </w:r>
      <w:r w:rsidR="00EF004B">
        <w:t>provided</w:t>
      </w:r>
      <w:r w:rsidRPr="00C9026A">
        <w:t xml:space="preserve"> in </w:t>
      </w:r>
      <w:r w:rsidR="00EF004B">
        <w:t>Refs</w:t>
      </w:r>
      <w:r w:rsidR="00A96C5A">
        <w:t> </w:t>
      </w:r>
      <w:r w:rsidR="00C801DA" w:rsidRPr="00C9026A">
        <w:t>[</w:t>
      </w:r>
      <w:r w:rsidR="00105B04">
        <w:t>10</w:t>
      </w:r>
      <w:r w:rsidR="00A96C5A">
        <w:t> </w:t>
      </w:r>
      <w:r w:rsidR="00A96C5A">
        <w:noBreakHyphen/>
        <w:t> </w:t>
      </w:r>
      <w:r w:rsidR="00105B04">
        <w:t>12</w:t>
      </w:r>
      <w:r w:rsidR="00C801DA" w:rsidRPr="00C9026A">
        <w:t xml:space="preserve">]. If there is a need to </w:t>
      </w:r>
      <w:r w:rsidR="00365D7E" w:rsidRPr="00C9026A">
        <w:t xml:space="preserve">refine </w:t>
      </w:r>
      <w:r w:rsidR="00C801DA" w:rsidRPr="00C9026A">
        <w:t xml:space="preserve">the assessment, for instance when the doses </w:t>
      </w:r>
      <w:r w:rsidR="00EF004B" w:rsidRPr="00C9026A">
        <w:t>initial</w:t>
      </w:r>
      <w:r w:rsidR="00EF004B">
        <w:t>ly</w:t>
      </w:r>
      <w:r w:rsidR="00EF004B" w:rsidRPr="00C9026A">
        <w:t xml:space="preserve"> estimated </w:t>
      </w:r>
      <w:r w:rsidR="00C801DA" w:rsidRPr="00C9026A">
        <w:t xml:space="preserve">using generic transfer factors are above or close to the </w:t>
      </w:r>
      <w:r w:rsidR="00EF004B">
        <w:t xml:space="preserve">selected </w:t>
      </w:r>
      <w:r w:rsidR="006A7851" w:rsidRPr="00C9026A">
        <w:t xml:space="preserve">dose </w:t>
      </w:r>
      <w:r w:rsidR="00C801DA" w:rsidRPr="00C9026A">
        <w:t xml:space="preserve">criteria, </w:t>
      </w:r>
      <w:r w:rsidR="00EF004B">
        <w:t xml:space="preserve">the use of </w:t>
      </w:r>
      <w:r w:rsidR="00C801DA" w:rsidRPr="00C9026A">
        <w:t>transfer factors based on site specific measurements could be necessary</w:t>
      </w:r>
      <w:r w:rsidR="00A96073">
        <w:t>;</w:t>
      </w:r>
      <w:r w:rsidR="00793C1F" w:rsidRPr="00C9026A">
        <w:t xml:space="preserve"> </w:t>
      </w:r>
      <w:r w:rsidR="00A96073">
        <w:t>h</w:t>
      </w:r>
      <w:r w:rsidR="00A96073" w:rsidRPr="00C9026A">
        <w:t>owever</w:t>
      </w:r>
      <w:r w:rsidR="00793C1F" w:rsidRPr="00C9026A">
        <w:t xml:space="preserve">, this could be difficult </w:t>
      </w:r>
      <w:r w:rsidR="00EF004B">
        <w:t>for</w:t>
      </w:r>
      <w:r w:rsidR="00793C1F" w:rsidRPr="00C9026A">
        <w:t xml:space="preserve"> </w:t>
      </w:r>
      <w:r w:rsidR="00EF004B">
        <w:t xml:space="preserve">a </w:t>
      </w:r>
      <w:r w:rsidR="00793C1F" w:rsidRPr="00C9026A">
        <w:t>prospective assessment</w:t>
      </w:r>
      <w:r w:rsidR="00C801DA" w:rsidRPr="00C9026A">
        <w:t xml:space="preserve">. The regulatory body </w:t>
      </w:r>
      <w:r w:rsidR="00CD5346" w:rsidRPr="00C9026A">
        <w:t>should</w:t>
      </w:r>
      <w:r w:rsidR="00C801DA" w:rsidRPr="00C9026A">
        <w:t xml:space="preserve"> decide </w:t>
      </w:r>
      <w:r w:rsidR="00EF004B">
        <w:t>if</w:t>
      </w:r>
      <w:r w:rsidR="00EF004B" w:rsidRPr="00C9026A">
        <w:t xml:space="preserve"> </w:t>
      </w:r>
      <w:r w:rsidR="00C801DA" w:rsidRPr="00C9026A">
        <w:t xml:space="preserve">site specific data based on measurements </w:t>
      </w:r>
      <w:r w:rsidR="00CD5346" w:rsidRPr="00C9026A">
        <w:t>should</w:t>
      </w:r>
      <w:r w:rsidR="00C801DA" w:rsidRPr="00C9026A">
        <w:t xml:space="preserve"> be used in a</w:t>
      </w:r>
      <w:r w:rsidR="00F1579A" w:rsidRPr="00C9026A">
        <w:t>n</w:t>
      </w:r>
      <w:r w:rsidR="004B73B6" w:rsidRPr="00C9026A">
        <w:t xml:space="preserve"> assessment</w:t>
      </w:r>
      <w:r w:rsidR="00FE2FCD" w:rsidRPr="00C9026A">
        <w:t>.</w:t>
      </w:r>
      <w:r w:rsidR="007E3410" w:rsidRPr="00C9026A">
        <w:t xml:space="preserve"> </w:t>
      </w:r>
      <w:r w:rsidR="00FE2FCD" w:rsidRPr="00C9026A">
        <w:t xml:space="preserve">The uncertainties </w:t>
      </w:r>
      <w:r w:rsidR="004C0CEA">
        <w:t>in</w:t>
      </w:r>
      <w:r w:rsidR="004C0CEA" w:rsidRPr="00C9026A">
        <w:t xml:space="preserve"> transfer parameters </w:t>
      </w:r>
      <w:r w:rsidR="00470BC7">
        <w:t>resulting from</w:t>
      </w:r>
      <w:r w:rsidR="00FE2FCD" w:rsidRPr="00C9026A">
        <w:t xml:space="preserve"> </w:t>
      </w:r>
      <w:r w:rsidR="00EF004B">
        <w:t xml:space="preserve">a </w:t>
      </w:r>
      <w:r w:rsidR="00FE2FCD" w:rsidRPr="00C9026A">
        <w:t>lack of site specific data can be compensated</w:t>
      </w:r>
      <w:r w:rsidR="00EF004B">
        <w:t xml:space="preserve"> for</w:t>
      </w:r>
      <w:r w:rsidR="00FE2FCD" w:rsidRPr="00C9026A">
        <w:t xml:space="preserve"> </w:t>
      </w:r>
      <w:r w:rsidR="007E3410" w:rsidRPr="00C9026A">
        <w:t xml:space="preserve">by the use of generic data </w:t>
      </w:r>
      <w:r w:rsidR="00FE2FCD" w:rsidRPr="00C9026A">
        <w:t xml:space="preserve">with </w:t>
      </w:r>
      <w:r w:rsidR="00EF004B">
        <w:t>cautious</w:t>
      </w:r>
      <w:r w:rsidR="00EF004B" w:rsidRPr="00C9026A">
        <w:t xml:space="preserve"> </w:t>
      </w:r>
      <w:r w:rsidR="00FE2FCD" w:rsidRPr="00C9026A">
        <w:t>assumptions</w:t>
      </w:r>
      <w:r w:rsidR="007E3410" w:rsidRPr="00C9026A">
        <w:t xml:space="preserve">, whilst noting the need not to be grossly pessimistic in </w:t>
      </w:r>
      <w:r w:rsidR="00EF004B">
        <w:t>such</w:t>
      </w:r>
      <w:r w:rsidR="00EF004B" w:rsidRPr="00C9026A">
        <w:t xml:space="preserve"> </w:t>
      </w:r>
      <w:r w:rsidR="007E3410" w:rsidRPr="00C9026A">
        <w:t>assumptions</w:t>
      </w:r>
      <w:r w:rsidR="00FE2FCD" w:rsidRPr="00C9026A">
        <w:t>.</w:t>
      </w:r>
      <w:r w:rsidR="0059029A" w:rsidRPr="00C9026A">
        <w:t xml:space="preserve"> </w:t>
      </w:r>
    </w:p>
    <w:p w:rsidR="006026C5" w:rsidRPr="00C9026A" w:rsidRDefault="006026C5" w:rsidP="00A57A35">
      <w:pPr>
        <w:pStyle w:val="Heading4"/>
        <w:ind w:left="0"/>
      </w:pPr>
      <w:r w:rsidRPr="00C9026A">
        <w:lastRenderedPageBreak/>
        <w:t xml:space="preserve">For </w:t>
      </w:r>
      <w:r w:rsidR="00EF004B">
        <w:t>facilities</w:t>
      </w:r>
      <w:r w:rsidR="00EF004B" w:rsidRPr="00C9026A">
        <w:t xml:space="preserve"> </w:t>
      </w:r>
      <w:r w:rsidR="00CA2938">
        <w:t>necessitating</w:t>
      </w:r>
      <w:r w:rsidR="00CA2938" w:rsidRPr="00C9026A">
        <w:t xml:space="preserve"> </w:t>
      </w:r>
      <w:r w:rsidR="006F6017">
        <w:t xml:space="preserve">a </w:t>
      </w:r>
      <w:r w:rsidRPr="00C9026A">
        <w:t>complex assessment,</w:t>
      </w:r>
      <w:r w:rsidR="00C87EF3" w:rsidRPr="00C9026A">
        <w:t xml:space="preserve"> </w:t>
      </w:r>
      <w:r w:rsidRPr="00C9026A">
        <w:t>a</w:t>
      </w:r>
      <w:r w:rsidR="00C87EF3" w:rsidRPr="00C9026A">
        <w:t xml:space="preserve"> preliminary</w:t>
      </w:r>
      <w:r w:rsidRPr="00C9026A">
        <w:t xml:space="preserve"> estimation of the </w:t>
      </w:r>
      <w:r w:rsidR="00D26787" w:rsidRPr="00C9026A">
        <w:t xml:space="preserve">dispersion and </w:t>
      </w:r>
      <w:r w:rsidRPr="00C9026A">
        <w:t xml:space="preserve">transfer to the environment </w:t>
      </w:r>
      <w:r w:rsidR="006F6017" w:rsidRPr="00C9026A">
        <w:t xml:space="preserve">at the initial stages of an authorization process </w:t>
      </w:r>
      <w:r w:rsidRPr="00C9026A">
        <w:t xml:space="preserve">can be done using simple </w:t>
      </w:r>
      <w:r w:rsidR="000E20C4">
        <w:t>conservative</w:t>
      </w:r>
      <w:r w:rsidR="000E20C4" w:rsidRPr="00C9026A">
        <w:t xml:space="preserve"> </w:t>
      </w:r>
      <w:r w:rsidRPr="00C9026A">
        <w:t>models and meteorological</w:t>
      </w:r>
      <w:r w:rsidR="00470BC7">
        <w:t xml:space="preserve"> </w:t>
      </w:r>
      <w:r w:rsidR="004C0CEA">
        <w:t>and</w:t>
      </w:r>
      <w:r w:rsidR="00470BC7">
        <w:t xml:space="preserve"> </w:t>
      </w:r>
      <w:r w:rsidRPr="00C9026A">
        <w:t xml:space="preserve">hydrological data </w:t>
      </w:r>
      <w:r w:rsidR="00470BC7">
        <w:t xml:space="preserve">that is </w:t>
      </w:r>
      <w:r w:rsidRPr="00C9026A">
        <w:t xml:space="preserve">generic </w:t>
      </w:r>
      <w:r w:rsidR="00470BC7">
        <w:t>for</w:t>
      </w:r>
      <w:r w:rsidRPr="00C9026A">
        <w:t xml:space="preserve"> the region (</w:t>
      </w:r>
      <w:r w:rsidR="009120CD" w:rsidRPr="00C9026A">
        <w:t xml:space="preserve">e.g. </w:t>
      </w:r>
      <w:r w:rsidRPr="00C9026A">
        <w:t>from published data or from records from the closest meteorological</w:t>
      </w:r>
      <w:r w:rsidR="00470BC7">
        <w:t xml:space="preserve"> or </w:t>
      </w:r>
      <w:r w:rsidRPr="00C9026A">
        <w:t xml:space="preserve">hydrological stations, which may sometimes be located at tens to hundreds of </w:t>
      </w:r>
      <w:r w:rsidR="003310B4" w:rsidRPr="00C9026A">
        <w:t>kilometres</w:t>
      </w:r>
      <w:r w:rsidRPr="00C9026A">
        <w:t xml:space="preserve"> from the sites). </w:t>
      </w:r>
      <w:r w:rsidR="00365D7E" w:rsidRPr="00C9026A">
        <w:t xml:space="preserve">At later stages of the authorization process, </w:t>
      </w:r>
      <w:r w:rsidR="00111EE5" w:rsidRPr="00C9026A">
        <w:t xml:space="preserve">meteorological and hydrological </w:t>
      </w:r>
      <w:r w:rsidRPr="00C9026A">
        <w:t>data from measurements conducted on</w:t>
      </w:r>
      <w:r w:rsidR="00470BC7">
        <w:t xml:space="preserve"> the </w:t>
      </w:r>
      <w:r w:rsidRPr="00C9026A">
        <w:t xml:space="preserve">site or very close to the location </w:t>
      </w:r>
      <w:r w:rsidR="00470BC7">
        <w:t xml:space="preserve">of the facility </w:t>
      </w:r>
      <w:r w:rsidR="009120CD" w:rsidRPr="00C9026A">
        <w:t>should be used</w:t>
      </w:r>
      <w:r w:rsidR="00111EE5" w:rsidRPr="00C9026A">
        <w:t>,</w:t>
      </w:r>
      <w:r w:rsidR="009120CD" w:rsidRPr="00C9026A">
        <w:t xml:space="preserve"> as </w:t>
      </w:r>
      <w:r w:rsidR="004C0CEA">
        <w:t>they</w:t>
      </w:r>
      <w:r w:rsidR="004C0CEA" w:rsidRPr="00C9026A">
        <w:t xml:space="preserve"> </w:t>
      </w:r>
      <w:r w:rsidR="009120CD" w:rsidRPr="00C9026A">
        <w:t xml:space="preserve">become </w:t>
      </w:r>
      <w:r w:rsidRPr="00C9026A">
        <w:t>available</w:t>
      </w:r>
      <w:r w:rsidR="00111EE5" w:rsidRPr="00C9026A">
        <w:t xml:space="preserve">. </w:t>
      </w:r>
      <w:r w:rsidR="00470BC7">
        <w:t>Such</w:t>
      </w:r>
      <w:r w:rsidR="00470BC7" w:rsidRPr="00C9026A">
        <w:t xml:space="preserve"> </w:t>
      </w:r>
      <w:r w:rsidR="00506C1D">
        <w:t xml:space="preserve">local </w:t>
      </w:r>
      <w:r w:rsidR="00111EE5" w:rsidRPr="00C9026A">
        <w:t xml:space="preserve">measurements are </w:t>
      </w:r>
      <w:r w:rsidR="006C6FB8">
        <w:t xml:space="preserve">usually </w:t>
      </w:r>
      <w:r w:rsidR="00470BC7">
        <w:t>made at the</w:t>
      </w:r>
      <w:r w:rsidRPr="00C9026A">
        <w:t xml:space="preserve"> site survey and construction stages. </w:t>
      </w:r>
      <w:r w:rsidR="00470BC7">
        <w:t>Requirements and recommendations</w:t>
      </w:r>
      <w:r w:rsidR="00470BC7" w:rsidRPr="00C9026A">
        <w:t xml:space="preserve"> </w:t>
      </w:r>
      <w:r w:rsidRPr="00C9026A">
        <w:t xml:space="preserve">on the type and detail of </w:t>
      </w:r>
      <w:r w:rsidR="00470BC7">
        <w:t>that</w:t>
      </w:r>
      <w:r w:rsidR="00470BC7" w:rsidRPr="00C9026A">
        <w:t xml:space="preserve"> </w:t>
      </w:r>
      <w:r w:rsidRPr="00C9026A">
        <w:t xml:space="preserve">which </w:t>
      </w:r>
      <w:r w:rsidR="00CD5346" w:rsidRPr="00C9026A">
        <w:t>should</w:t>
      </w:r>
      <w:r w:rsidRPr="00C9026A">
        <w:t xml:space="preserve"> be available at the later stages of licensing process can be found in</w:t>
      </w:r>
      <w:r w:rsidR="002900EB" w:rsidRPr="00C9026A">
        <w:t xml:space="preserve"> </w:t>
      </w:r>
      <w:r w:rsidR="004C0CEA">
        <w:t>Site Evaluation for Nuclear Installations, IAEA Safety Standard</w:t>
      </w:r>
      <w:r w:rsidR="00105B04">
        <w:t>s Series No. NS-R-3 (Rev. 1) [</w:t>
      </w:r>
      <w:r w:rsidR="003E5DDD">
        <w:t>41</w:t>
      </w:r>
      <w:r w:rsidR="004C0CEA">
        <w:t xml:space="preserve">], Meteorological and Hydrological Hazards in Site Evaluation for Nuclear Installations, IAEA Safety Standards Series No. </w:t>
      </w:r>
      <w:proofErr w:type="gramStart"/>
      <w:r w:rsidR="00470BC7">
        <w:t>SSG-18</w:t>
      </w:r>
      <w:r w:rsidR="00105B04">
        <w:t xml:space="preserve"> [4</w:t>
      </w:r>
      <w:r w:rsidR="003E5DDD">
        <w:t>2</w:t>
      </w:r>
      <w:r w:rsidR="004C0CEA">
        <w:t>]</w:t>
      </w:r>
      <w:r w:rsidR="00470BC7">
        <w:t xml:space="preserve"> and </w:t>
      </w:r>
      <w:r w:rsidR="004C0CEA">
        <w:t>Dispersion of Radioactive Material in Air and</w:t>
      </w:r>
      <w:r w:rsidR="00574BB7">
        <w:t xml:space="preserve"> Water and Consideration of Popu</w:t>
      </w:r>
      <w:r w:rsidR="004C0CEA">
        <w:t>lation Distribution in Site Evaluation for Nuclear Power Plants, IAEA Safety Standards Series No.</w:t>
      </w:r>
      <w:proofErr w:type="gramEnd"/>
      <w:r w:rsidR="004C0CEA">
        <w:t xml:space="preserve"> </w:t>
      </w:r>
      <w:proofErr w:type="gramStart"/>
      <w:r w:rsidR="00470BC7">
        <w:t>NS-G-3.2</w:t>
      </w:r>
      <w:r w:rsidR="00675528" w:rsidRPr="00C9026A">
        <w:t xml:space="preserve"> </w:t>
      </w:r>
      <w:r w:rsidR="008B6190" w:rsidRPr="00C9026A">
        <w:t>[</w:t>
      </w:r>
      <w:r w:rsidR="002E182F" w:rsidRPr="00C9026A">
        <w:t>4</w:t>
      </w:r>
      <w:r w:rsidR="003E5DDD">
        <w:t>3</w:t>
      </w:r>
      <w:r w:rsidR="008B6190" w:rsidRPr="00C9026A">
        <w:t>].</w:t>
      </w:r>
      <w:proofErr w:type="gramEnd"/>
    </w:p>
    <w:p w:rsidR="006026C5" w:rsidRPr="00C9026A" w:rsidRDefault="006F07AF" w:rsidP="00A57A35">
      <w:pPr>
        <w:pStyle w:val="Heading3"/>
        <w:rPr>
          <w:lang w:val="en-GB"/>
        </w:rPr>
      </w:pPr>
      <w:bookmarkStart w:id="62" w:name="_Toc447613486"/>
      <w:bookmarkStart w:id="63" w:name="_Toc450204009"/>
      <w:r>
        <w:rPr>
          <w:lang w:val="en-GB"/>
        </w:rPr>
        <w:t>Identification</w:t>
      </w:r>
      <w:r w:rsidR="009D6597">
        <w:rPr>
          <w:lang w:val="en-GB"/>
        </w:rPr>
        <w:t xml:space="preserve"> of e</w:t>
      </w:r>
      <w:r w:rsidR="006026C5" w:rsidRPr="00C9026A">
        <w:rPr>
          <w:lang w:val="en-GB"/>
        </w:rPr>
        <w:t>xposure pathways</w:t>
      </w:r>
      <w:bookmarkEnd w:id="62"/>
      <w:bookmarkEnd w:id="63"/>
    </w:p>
    <w:p w:rsidR="006026C5" w:rsidRPr="00C9026A" w:rsidRDefault="006026C5" w:rsidP="00A57A35">
      <w:pPr>
        <w:pStyle w:val="Heading4"/>
        <w:ind w:left="0"/>
      </w:pPr>
      <w:r w:rsidRPr="00C9026A">
        <w:t xml:space="preserve">Doses </w:t>
      </w:r>
      <w:r w:rsidR="00CD5346" w:rsidRPr="00C9026A">
        <w:t>should</w:t>
      </w:r>
      <w:r w:rsidRPr="00C9026A">
        <w:t xml:space="preserve"> be calculated </w:t>
      </w:r>
      <w:r w:rsidR="001F72DD">
        <w:t>for</w:t>
      </w:r>
      <w:r w:rsidRPr="00C9026A">
        <w:t xml:space="preserve"> a number of exposure pathways </w:t>
      </w:r>
      <w:r w:rsidR="00470BC7">
        <w:t>that</w:t>
      </w:r>
      <w:r w:rsidR="00470BC7" w:rsidRPr="00C9026A">
        <w:t xml:space="preserve"> </w:t>
      </w:r>
      <w:r w:rsidRPr="00C9026A">
        <w:t xml:space="preserve">are considered relevant for </w:t>
      </w:r>
      <w:proofErr w:type="gramStart"/>
      <w:r w:rsidR="001F72DD">
        <w:t>discharges</w:t>
      </w:r>
      <w:proofErr w:type="gramEnd"/>
      <w:r w:rsidR="001F72DD" w:rsidRPr="00C9026A">
        <w:t xml:space="preserve"> </w:t>
      </w:r>
      <w:r w:rsidRPr="00C9026A">
        <w:t>to the environment</w:t>
      </w:r>
      <w:r w:rsidR="00341E70" w:rsidRPr="00C9026A">
        <w:t xml:space="preserve"> in particular scenarios</w:t>
      </w:r>
      <w:r w:rsidRPr="00C9026A">
        <w:t>.</w:t>
      </w:r>
      <w:r w:rsidR="003C52EB" w:rsidRPr="00C9026A">
        <w:t xml:space="preserve"> </w:t>
      </w:r>
      <w:r w:rsidR="007F4172">
        <w:t>P</w:t>
      </w:r>
      <w:r w:rsidR="006B6EFD">
        <w:t xml:space="preserve">ossible </w:t>
      </w:r>
      <w:r w:rsidRPr="00C9026A">
        <w:t xml:space="preserve">exposure pathways for both internal </w:t>
      </w:r>
      <w:r w:rsidR="00470BC7">
        <w:t xml:space="preserve">exposure </w:t>
      </w:r>
      <w:r w:rsidRPr="00C9026A">
        <w:t xml:space="preserve">and external </w:t>
      </w:r>
      <w:r w:rsidR="00BC6126" w:rsidRPr="00C9026A">
        <w:t xml:space="preserve">exposure </w:t>
      </w:r>
      <w:r w:rsidR="001F72DD">
        <w:t xml:space="preserve">that could be considered </w:t>
      </w:r>
      <w:r w:rsidR="002D5AE0">
        <w:t>are</w:t>
      </w:r>
      <w:r w:rsidR="002D5AE0" w:rsidRPr="00C9026A">
        <w:t xml:space="preserve"> </w:t>
      </w:r>
      <w:r w:rsidRPr="00C9026A">
        <w:t xml:space="preserve">given </w:t>
      </w:r>
      <w:r w:rsidR="00470BC7">
        <w:t>in the following paragraphs</w:t>
      </w:r>
      <w:r w:rsidR="00D46A27">
        <w:t>.</w:t>
      </w:r>
    </w:p>
    <w:p w:rsidR="006026C5" w:rsidRPr="00C9026A" w:rsidRDefault="00470BC7" w:rsidP="007E60CF">
      <w:pPr>
        <w:pStyle w:val="Heading4"/>
        <w:ind w:left="0"/>
      </w:pPr>
      <w:r>
        <w:t>The possible exposure pathways f</w:t>
      </w:r>
      <w:r w:rsidR="006026C5" w:rsidRPr="00C9026A">
        <w:t>or releases</w:t>
      </w:r>
      <w:r w:rsidR="00D46A27">
        <w:t xml:space="preserve"> of radionuclides</w:t>
      </w:r>
      <w:r w:rsidR="006026C5" w:rsidRPr="00C9026A">
        <w:t xml:space="preserve"> to </w:t>
      </w:r>
      <w:r w:rsidR="002D5AE0">
        <w:t xml:space="preserve">the </w:t>
      </w:r>
      <w:r w:rsidR="006026C5" w:rsidRPr="00C9026A">
        <w:t xml:space="preserve">atmosphere and surface waters </w:t>
      </w:r>
      <w:r w:rsidR="002D5AE0">
        <w:t>in</w:t>
      </w:r>
      <w:r w:rsidR="002D5AE0" w:rsidRPr="00C9026A">
        <w:t xml:space="preserve"> </w:t>
      </w:r>
      <w:r w:rsidR="00F019AF" w:rsidRPr="00C9026A">
        <w:t xml:space="preserve">normal operation </w:t>
      </w:r>
      <w:r w:rsidR="006026C5" w:rsidRPr="00C9026A">
        <w:t xml:space="preserve">(typically, for nuclear </w:t>
      </w:r>
      <w:r w:rsidR="00E008D7">
        <w:t xml:space="preserve">installations </w:t>
      </w:r>
      <w:r>
        <w:t xml:space="preserve">such as </w:t>
      </w:r>
      <w:r w:rsidR="001F72DD">
        <w:t>nuclear</w:t>
      </w:r>
      <w:r w:rsidR="00E008D7">
        <w:t xml:space="preserve"> </w:t>
      </w:r>
      <w:r w:rsidR="006026C5" w:rsidRPr="00C9026A">
        <w:t>power plants)</w:t>
      </w:r>
      <w:r>
        <w:t xml:space="preserve"> are the following</w:t>
      </w:r>
      <w:r w:rsidR="00236C47" w:rsidRPr="00C9026A">
        <w:t>:</w:t>
      </w:r>
    </w:p>
    <w:p w:rsidR="006026C5" w:rsidRPr="00C9026A" w:rsidRDefault="006026C5" w:rsidP="00EC76CF">
      <w:pPr>
        <w:pStyle w:val="BodyTextList"/>
        <w:numPr>
          <w:ilvl w:val="0"/>
          <w:numId w:val="6"/>
        </w:numPr>
        <w:spacing w:after="120" w:line="240" w:lineRule="auto"/>
        <w:ind w:left="0" w:firstLine="0"/>
        <w:rPr>
          <w:noProof w:val="0"/>
        </w:rPr>
      </w:pPr>
      <w:r w:rsidRPr="00C9026A">
        <w:rPr>
          <w:noProof w:val="0"/>
        </w:rPr>
        <w:t xml:space="preserve">Inhalation of </w:t>
      </w:r>
      <w:r w:rsidR="00675528" w:rsidRPr="00C9026A">
        <w:rPr>
          <w:noProof w:val="0"/>
        </w:rPr>
        <w:t xml:space="preserve">radionuclides </w:t>
      </w:r>
      <w:r w:rsidRPr="00C9026A">
        <w:rPr>
          <w:noProof w:val="0"/>
        </w:rPr>
        <w:t>in an atmospheric plume</w:t>
      </w:r>
      <w:r w:rsidR="000F611E" w:rsidRPr="00C9026A">
        <w:rPr>
          <w:noProof w:val="0"/>
        </w:rPr>
        <w:t xml:space="preserve"> (gases, aerosols)</w:t>
      </w:r>
      <w:r w:rsidR="00236C47" w:rsidRPr="00C9026A">
        <w:rPr>
          <w:noProof w:val="0"/>
        </w:rPr>
        <w:t>;</w:t>
      </w:r>
    </w:p>
    <w:p w:rsidR="008C5038" w:rsidRPr="00C9026A" w:rsidRDefault="008C5038" w:rsidP="00EC76CF">
      <w:pPr>
        <w:pStyle w:val="BodyTextList"/>
        <w:numPr>
          <w:ilvl w:val="0"/>
          <w:numId w:val="6"/>
        </w:numPr>
        <w:spacing w:after="120" w:line="240" w:lineRule="auto"/>
        <w:ind w:left="0" w:firstLine="0"/>
        <w:rPr>
          <w:noProof w:val="0"/>
        </w:rPr>
      </w:pPr>
      <w:r w:rsidRPr="00C9026A">
        <w:rPr>
          <w:noProof w:val="0"/>
        </w:rPr>
        <w:t xml:space="preserve">Inhalation of </w:t>
      </w:r>
      <w:proofErr w:type="spellStart"/>
      <w:r w:rsidRPr="00C9026A">
        <w:rPr>
          <w:noProof w:val="0"/>
        </w:rPr>
        <w:t>resuspended</w:t>
      </w:r>
      <w:proofErr w:type="spellEnd"/>
      <w:r w:rsidRPr="00C9026A">
        <w:rPr>
          <w:noProof w:val="0"/>
        </w:rPr>
        <w:t xml:space="preserve"> material</w:t>
      </w:r>
      <w:r w:rsidR="00470BC7">
        <w:rPr>
          <w:noProof w:val="0"/>
        </w:rPr>
        <w:t>;</w:t>
      </w:r>
    </w:p>
    <w:p w:rsidR="00F1579A" w:rsidRPr="00C9026A" w:rsidRDefault="006026C5" w:rsidP="00EC76CF">
      <w:pPr>
        <w:pStyle w:val="BodyTextList"/>
        <w:numPr>
          <w:ilvl w:val="0"/>
          <w:numId w:val="6"/>
        </w:numPr>
        <w:spacing w:after="120" w:line="240" w:lineRule="auto"/>
        <w:ind w:left="0" w:firstLine="0"/>
        <w:rPr>
          <w:noProof w:val="0"/>
        </w:rPr>
      </w:pPr>
      <w:r w:rsidRPr="00C9026A">
        <w:rPr>
          <w:noProof w:val="0"/>
        </w:rPr>
        <w:t>Ingestion of crops</w:t>
      </w:r>
      <w:r w:rsidR="005E25F9" w:rsidRPr="00C9026A">
        <w:rPr>
          <w:noProof w:val="0"/>
        </w:rPr>
        <w:t>;</w:t>
      </w:r>
    </w:p>
    <w:p w:rsidR="006026C5" w:rsidRPr="00C9026A" w:rsidRDefault="00F1579A" w:rsidP="00EC76CF">
      <w:pPr>
        <w:pStyle w:val="BodyTextList"/>
        <w:numPr>
          <w:ilvl w:val="0"/>
          <w:numId w:val="6"/>
        </w:numPr>
        <w:spacing w:after="120" w:line="240" w:lineRule="auto"/>
        <w:ind w:left="0" w:firstLine="0"/>
        <w:rPr>
          <w:noProof w:val="0"/>
        </w:rPr>
      </w:pPr>
      <w:r w:rsidRPr="00C9026A">
        <w:rPr>
          <w:noProof w:val="0"/>
        </w:rPr>
        <w:t>Ingestion of</w:t>
      </w:r>
      <w:r w:rsidR="006026C5" w:rsidRPr="00C9026A">
        <w:rPr>
          <w:noProof w:val="0"/>
        </w:rPr>
        <w:t xml:space="preserve"> animal food products (milk, meat</w:t>
      </w:r>
      <w:r w:rsidRPr="00C9026A">
        <w:rPr>
          <w:noProof w:val="0"/>
        </w:rPr>
        <w:t>, eggs</w:t>
      </w:r>
      <w:r w:rsidR="006026C5" w:rsidRPr="00C9026A">
        <w:rPr>
          <w:noProof w:val="0"/>
        </w:rPr>
        <w:t>)</w:t>
      </w:r>
      <w:r w:rsidR="00236C47" w:rsidRPr="00C9026A">
        <w:rPr>
          <w:noProof w:val="0"/>
        </w:rPr>
        <w:t>;</w:t>
      </w:r>
    </w:p>
    <w:p w:rsidR="006026C5" w:rsidRPr="00C9026A" w:rsidRDefault="006026C5" w:rsidP="00EC76CF">
      <w:pPr>
        <w:pStyle w:val="BodyTextList"/>
        <w:numPr>
          <w:ilvl w:val="0"/>
          <w:numId w:val="6"/>
        </w:numPr>
        <w:spacing w:after="120" w:line="240" w:lineRule="auto"/>
        <w:ind w:left="0" w:firstLine="0"/>
        <w:rPr>
          <w:noProof w:val="0"/>
        </w:rPr>
      </w:pPr>
      <w:r w:rsidRPr="00C9026A">
        <w:rPr>
          <w:noProof w:val="0"/>
        </w:rPr>
        <w:t>Ingestion of drinking water</w:t>
      </w:r>
      <w:r w:rsidR="00236C47" w:rsidRPr="00C9026A">
        <w:rPr>
          <w:noProof w:val="0"/>
        </w:rPr>
        <w:t>;</w:t>
      </w:r>
    </w:p>
    <w:p w:rsidR="006026C5" w:rsidRPr="00C9026A" w:rsidRDefault="006026C5" w:rsidP="00EC76CF">
      <w:pPr>
        <w:pStyle w:val="BodyTextList"/>
        <w:numPr>
          <w:ilvl w:val="0"/>
          <w:numId w:val="6"/>
        </w:numPr>
        <w:spacing w:after="120" w:line="240" w:lineRule="auto"/>
        <w:ind w:left="0" w:firstLine="0"/>
        <w:rPr>
          <w:noProof w:val="0"/>
        </w:rPr>
      </w:pPr>
      <w:r w:rsidRPr="00C9026A">
        <w:rPr>
          <w:noProof w:val="0"/>
        </w:rPr>
        <w:t>Ingestion of aquatic food (freshwater or seawater fish, crustaceans, molluscs)</w:t>
      </w:r>
      <w:r w:rsidR="00236C47" w:rsidRPr="00C9026A">
        <w:rPr>
          <w:noProof w:val="0"/>
        </w:rPr>
        <w:t>;</w:t>
      </w:r>
    </w:p>
    <w:p w:rsidR="00341E70" w:rsidRPr="00C9026A" w:rsidRDefault="00341E70" w:rsidP="00EC76CF">
      <w:pPr>
        <w:pStyle w:val="BodyTextList"/>
        <w:numPr>
          <w:ilvl w:val="0"/>
          <w:numId w:val="6"/>
        </w:numPr>
        <w:spacing w:after="120" w:line="240" w:lineRule="auto"/>
        <w:ind w:left="0" w:firstLine="0"/>
        <w:rPr>
          <w:noProof w:val="0"/>
        </w:rPr>
      </w:pPr>
      <w:r w:rsidRPr="00C9026A">
        <w:rPr>
          <w:noProof w:val="0"/>
        </w:rPr>
        <w:t>Ingestion of forest food (wild mushroom</w:t>
      </w:r>
      <w:r w:rsidR="002D5AE0">
        <w:rPr>
          <w:noProof w:val="0"/>
        </w:rPr>
        <w:t>s</w:t>
      </w:r>
      <w:r w:rsidRPr="00C9026A">
        <w:rPr>
          <w:noProof w:val="0"/>
        </w:rPr>
        <w:t>, wild berries</w:t>
      </w:r>
      <w:r w:rsidR="00C90D16" w:rsidRPr="00C9026A">
        <w:rPr>
          <w:noProof w:val="0"/>
        </w:rPr>
        <w:t>, game</w:t>
      </w:r>
      <w:r w:rsidRPr="00C9026A">
        <w:rPr>
          <w:noProof w:val="0"/>
        </w:rPr>
        <w:t>)</w:t>
      </w:r>
      <w:r w:rsidR="002E182F" w:rsidRPr="00C9026A">
        <w:rPr>
          <w:noProof w:val="0"/>
        </w:rPr>
        <w:t>;</w:t>
      </w:r>
    </w:p>
    <w:p w:rsidR="000D24F4" w:rsidRPr="00C9026A" w:rsidRDefault="000D24F4" w:rsidP="00EC76CF">
      <w:pPr>
        <w:pStyle w:val="BodyTextList"/>
        <w:numPr>
          <w:ilvl w:val="0"/>
          <w:numId w:val="6"/>
        </w:numPr>
        <w:spacing w:after="120" w:line="240" w:lineRule="auto"/>
        <w:ind w:left="0" w:firstLine="0"/>
        <w:rPr>
          <w:noProof w:val="0"/>
        </w:rPr>
      </w:pPr>
      <w:r w:rsidRPr="00C9026A">
        <w:rPr>
          <w:noProof w:val="0"/>
        </w:rPr>
        <w:t xml:space="preserve">Ingestion of breast milk or locally </w:t>
      </w:r>
      <w:r w:rsidR="00470BC7">
        <w:rPr>
          <w:noProof w:val="0"/>
        </w:rPr>
        <w:t xml:space="preserve">prepared </w:t>
      </w:r>
      <w:r w:rsidRPr="00C9026A">
        <w:rPr>
          <w:noProof w:val="0"/>
        </w:rPr>
        <w:t>food</w:t>
      </w:r>
      <w:r w:rsidR="00470BC7">
        <w:rPr>
          <w:noProof w:val="0"/>
        </w:rPr>
        <w:t xml:space="preserve"> for infants</w:t>
      </w:r>
      <w:r w:rsidR="002E182F" w:rsidRPr="00C9026A">
        <w:rPr>
          <w:noProof w:val="0"/>
        </w:rPr>
        <w:t>;</w:t>
      </w:r>
    </w:p>
    <w:p w:rsidR="003C555C" w:rsidRDefault="003C555C" w:rsidP="00EC76CF">
      <w:pPr>
        <w:pStyle w:val="BodyTextList"/>
        <w:numPr>
          <w:ilvl w:val="0"/>
          <w:numId w:val="6"/>
        </w:numPr>
        <w:spacing w:after="120" w:line="240" w:lineRule="auto"/>
        <w:ind w:left="0" w:firstLine="0"/>
        <w:rPr>
          <w:noProof w:val="0"/>
        </w:rPr>
      </w:pPr>
      <w:r w:rsidRPr="00C9026A">
        <w:rPr>
          <w:noProof w:val="0"/>
        </w:rPr>
        <w:t>Inadvertent ingestion of soil and sediments</w:t>
      </w:r>
      <w:r w:rsidR="00470BC7">
        <w:rPr>
          <w:noProof w:val="0"/>
        </w:rPr>
        <w:t>;</w:t>
      </w:r>
      <w:r w:rsidRPr="00C9026A">
        <w:rPr>
          <w:noProof w:val="0"/>
        </w:rPr>
        <w:t xml:space="preserve"> </w:t>
      </w:r>
    </w:p>
    <w:p w:rsidR="006026C5" w:rsidRPr="00C9026A" w:rsidRDefault="006026C5" w:rsidP="00EC76CF">
      <w:pPr>
        <w:pStyle w:val="BodyTextList"/>
        <w:numPr>
          <w:ilvl w:val="0"/>
          <w:numId w:val="6"/>
        </w:numPr>
        <w:spacing w:after="120" w:line="240" w:lineRule="auto"/>
        <w:ind w:left="0" w:firstLine="0"/>
        <w:rPr>
          <w:noProof w:val="0"/>
        </w:rPr>
      </w:pPr>
      <w:r w:rsidRPr="00C9026A">
        <w:rPr>
          <w:noProof w:val="0"/>
        </w:rPr>
        <w:t xml:space="preserve">External exposure </w:t>
      </w:r>
      <w:r w:rsidR="00675528" w:rsidRPr="00C9026A">
        <w:rPr>
          <w:noProof w:val="0"/>
        </w:rPr>
        <w:t>from radionuclides</w:t>
      </w:r>
      <w:r w:rsidRPr="00C9026A">
        <w:rPr>
          <w:noProof w:val="0"/>
        </w:rPr>
        <w:t xml:space="preserve"> in an atmospheric plume</w:t>
      </w:r>
      <w:r w:rsidR="00E008D7">
        <w:rPr>
          <w:noProof w:val="0"/>
        </w:rPr>
        <w:t xml:space="preserve"> (cloud</w:t>
      </w:r>
      <w:r w:rsidR="008C02DF">
        <w:rPr>
          <w:noProof w:val="0"/>
        </w:rPr>
        <w:t xml:space="preserve"> </w:t>
      </w:r>
      <w:r w:rsidR="00E008D7">
        <w:rPr>
          <w:noProof w:val="0"/>
        </w:rPr>
        <w:t>shine)</w:t>
      </w:r>
      <w:r w:rsidR="00236C47" w:rsidRPr="00C9026A">
        <w:rPr>
          <w:noProof w:val="0"/>
        </w:rPr>
        <w:t>;</w:t>
      </w:r>
    </w:p>
    <w:p w:rsidR="006026C5" w:rsidRPr="00C9026A" w:rsidRDefault="006026C5" w:rsidP="00EC76CF">
      <w:pPr>
        <w:pStyle w:val="BodyTextList"/>
        <w:numPr>
          <w:ilvl w:val="0"/>
          <w:numId w:val="6"/>
        </w:numPr>
        <w:spacing w:after="120" w:line="240" w:lineRule="auto"/>
        <w:ind w:left="0" w:firstLine="0"/>
        <w:rPr>
          <w:noProof w:val="0"/>
        </w:rPr>
      </w:pPr>
      <w:r w:rsidRPr="00C9026A">
        <w:rPr>
          <w:noProof w:val="0"/>
        </w:rPr>
        <w:t xml:space="preserve">External exposure </w:t>
      </w:r>
      <w:r w:rsidR="00675528" w:rsidRPr="00C9026A">
        <w:rPr>
          <w:noProof w:val="0"/>
        </w:rPr>
        <w:t xml:space="preserve">from radionuclides </w:t>
      </w:r>
      <w:r w:rsidRPr="00C9026A">
        <w:rPr>
          <w:noProof w:val="0"/>
        </w:rPr>
        <w:t>deposited on ground</w:t>
      </w:r>
      <w:r w:rsidR="008C5038" w:rsidRPr="00C9026A">
        <w:rPr>
          <w:noProof w:val="0"/>
        </w:rPr>
        <w:t xml:space="preserve"> </w:t>
      </w:r>
      <w:r w:rsidR="00E008D7">
        <w:rPr>
          <w:noProof w:val="0"/>
        </w:rPr>
        <w:t>(gro</w:t>
      </w:r>
      <w:r w:rsidR="008C02DF">
        <w:rPr>
          <w:noProof w:val="0"/>
        </w:rPr>
        <w:t>u</w:t>
      </w:r>
      <w:r w:rsidR="00E008D7">
        <w:rPr>
          <w:noProof w:val="0"/>
        </w:rPr>
        <w:t>nd</w:t>
      </w:r>
      <w:r w:rsidR="008C02DF">
        <w:rPr>
          <w:noProof w:val="0"/>
        </w:rPr>
        <w:t xml:space="preserve"> </w:t>
      </w:r>
      <w:r w:rsidR="00E008D7">
        <w:rPr>
          <w:noProof w:val="0"/>
        </w:rPr>
        <w:t xml:space="preserve">shine) </w:t>
      </w:r>
      <w:r w:rsidR="008C5038" w:rsidRPr="00C9026A">
        <w:rPr>
          <w:noProof w:val="0"/>
        </w:rPr>
        <w:t>and surfaces</w:t>
      </w:r>
      <w:r w:rsidR="00236C47" w:rsidRPr="00C9026A">
        <w:rPr>
          <w:noProof w:val="0"/>
        </w:rPr>
        <w:t>;</w:t>
      </w:r>
    </w:p>
    <w:p w:rsidR="006026C5" w:rsidRPr="00C9026A" w:rsidRDefault="006026C5" w:rsidP="00EC76CF">
      <w:pPr>
        <w:pStyle w:val="BodyTextList"/>
        <w:numPr>
          <w:ilvl w:val="0"/>
          <w:numId w:val="6"/>
        </w:numPr>
        <w:spacing w:after="240" w:line="240" w:lineRule="auto"/>
        <w:ind w:left="0" w:firstLine="0"/>
        <w:rPr>
          <w:noProof w:val="0"/>
        </w:rPr>
      </w:pPr>
      <w:r w:rsidRPr="00C9026A">
        <w:rPr>
          <w:noProof w:val="0"/>
        </w:rPr>
        <w:t xml:space="preserve">External exposure </w:t>
      </w:r>
      <w:r w:rsidR="00675528" w:rsidRPr="00C9026A">
        <w:rPr>
          <w:noProof w:val="0"/>
        </w:rPr>
        <w:t>from radionuclides</w:t>
      </w:r>
      <w:r w:rsidRPr="00C9026A">
        <w:rPr>
          <w:noProof w:val="0"/>
        </w:rPr>
        <w:t xml:space="preserve"> in water and sediments (</w:t>
      </w:r>
      <w:r w:rsidR="008C5038" w:rsidRPr="00C9026A">
        <w:rPr>
          <w:noProof w:val="0"/>
        </w:rPr>
        <w:t>i.e</w:t>
      </w:r>
      <w:r w:rsidRPr="00C9026A">
        <w:rPr>
          <w:noProof w:val="0"/>
        </w:rPr>
        <w:t xml:space="preserve">. from </w:t>
      </w:r>
      <w:r w:rsidR="002C3C75" w:rsidRPr="00C9026A">
        <w:rPr>
          <w:noProof w:val="0"/>
        </w:rPr>
        <w:t xml:space="preserve">activities on shores, </w:t>
      </w:r>
      <w:r w:rsidRPr="00C9026A">
        <w:rPr>
          <w:noProof w:val="0"/>
        </w:rPr>
        <w:t>swimming</w:t>
      </w:r>
      <w:r w:rsidR="008C5038" w:rsidRPr="00C9026A">
        <w:rPr>
          <w:noProof w:val="0"/>
        </w:rPr>
        <w:t xml:space="preserve"> and fishing</w:t>
      </w:r>
      <w:r w:rsidRPr="00C9026A">
        <w:rPr>
          <w:noProof w:val="0"/>
        </w:rPr>
        <w:t>)</w:t>
      </w:r>
      <w:r w:rsidR="00470BC7">
        <w:rPr>
          <w:noProof w:val="0"/>
        </w:rPr>
        <w:t>.</w:t>
      </w:r>
      <w:r w:rsidR="005E25F9" w:rsidRPr="00C9026A">
        <w:rPr>
          <w:noProof w:val="0"/>
        </w:rPr>
        <w:t xml:space="preserve"> </w:t>
      </w:r>
    </w:p>
    <w:p w:rsidR="006026C5" w:rsidRPr="00C9026A" w:rsidRDefault="00470BC7" w:rsidP="007E60CF">
      <w:pPr>
        <w:pStyle w:val="Heading4"/>
        <w:ind w:left="0"/>
      </w:pPr>
      <w:r>
        <w:t>The possible exposure pathways</w:t>
      </w:r>
      <w:r w:rsidRPr="00C9026A">
        <w:t xml:space="preserve"> </w:t>
      </w:r>
      <w:r>
        <w:t>f</w:t>
      </w:r>
      <w:r w:rsidR="006026C5" w:rsidRPr="00C9026A">
        <w:t xml:space="preserve">or releases </w:t>
      </w:r>
      <w:r w:rsidR="008011D0" w:rsidRPr="00C9026A">
        <w:t>to the sew</w:t>
      </w:r>
      <w:r w:rsidR="00E47F9E" w:rsidRPr="00C9026A">
        <w:t>er</w:t>
      </w:r>
      <w:r w:rsidR="008011D0" w:rsidRPr="00C9026A">
        <w:t xml:space="preserve">age system </w:t>
      </w:r>
      <w:r w:rsidR="002D5AE0">
        <w:t>in</w:t>
      </w:r>
      <w:r w:rsidR="002D5AE0" w:rsidRPr="00C9026A">
        <w:t xml:space="preserve"> </w:t>
      </w:r>
      <w:r w:rsidR="00F019AF" w:rsidRPr="00C9026A">
        <w:t xml:space="preserve">normal operation </w:t>
      </w:r>
      <w:r w:rsidR="008011D0" w:rsidRPr="00C9026A">
        <w:t>(typically</w:t>
      </w:r>
      <w:r w:rsidR="006026C5" w:rsidRPr="00C9026A">
        <w:t xml:space="preserve"> for</w:t>
      </w:r>
      <w:r w:rsidR="002C3C75" w:rsidRPr="00C9026A">
        <w:t xml:space="preserve"> </w:t>
      </w:r>
      <w:r w:rsidR="006026C5" w:rsidRPr="00C9026A">
        <w:t>hospitals</w:t>
      </w:r>
      <w:r w:rsidR="008D1B74" w:rsidRPr="00C9026A">
        <w:t xml:space="preserve"> with nuclear medicine departments</w:t>
      </w:r>
      <w:r w:rsidR="006026C5" w:rsidRPr="00C9026A">
        <w:t>)</w:t>
      </w:r>
      <w:r>
        <w:t xml:space="preserve"> are the following</w:t>
      </w:r>
      <w:r w:rsidR="00236C47" w:rsidRPr="00C9026A">
        <w:t>:</w:t>
      </w:r>
    </w:p>
    <w:p w:rsidR="006026C5" w:rsidRDefault="006026C5" w:rsidP="00EC76CF">
      <w:pPr>
        <w:pStyle w:val="BodyTextList"/>
        <w:numPr>
          <w:ilvl w:val="0"/>
          <w:numId w:val="7"/>
        </w:numPr>
        <w:spacing w:after="120" w:line="240" w:lineRule="auto"/>
        <w:ind w:left="0" w:firstLine="0"/>
        <w:rPr>
          <w:noProof w:val="0"/>
        </w:rPr>
      </w:pPr>
      <w:r w:rsidRPr="00C9026A">
        <w:rPr>
          <w:noProof w:val="0"/>
        </w:rPr>
        <w:t xml:space="preserve">Inhalation of </w:t>
      </w:r>
      <w:proofErr w:type="spellStart"/>
      <w:r w:rsidRPr="00C9026A">
        <w:rPr>
          <w:noProof w:val="0"/>
        </w:rPr>
        <w:t>resuspended</w:t>
      </w:r>
      <w:proofErr w:type="spellEnd"/>
      <w:r w:rsidRPr="00C9026A">
        <w:rPr>
          <w:noProof w:val="0"/>
        </w:rPr>
        <w:t xml:space="preserve"> </w:t>
      </w:r>
      <w:r w:rsidR="00CD7111">
        <w:rPr>
          <w:noProof w:val="0"/>
        </w:rPr>
        <w:t>dried</w:t>
      </w:r>
      <w:r w:rsidR="00755B19">
        <w:rPr>
          <w:noProof w:val="0"/>
        </w:rPr>
        <w:t xml:space="preserve"> </w:t>
      </w:r>
      <w:r w:rsidRPr="00C9026A">
        <w:rPr>
          <w:noProof w:val="0"/>
        </w:rPr>
        <w:t>sewage sludge</w:t>
      </w:r>
      <w:r w:rsidR="00236C47" w:rsidRPr="00C9026A">
        <w:rPr>
          <w:noProof w:val="0"/>
        </w:rPr>
        <w:t>;</w:t>
      </w:r>
      <w:r w:rsidR="005E25F9" w:rsidRPr="00C9026A">
        <w:rPr>
          <w:noProof w:val="0"/>
        </w:rPr>
        <w:t xml:space="preserve"> </w:t>
      </w:r>
    </w:p>
    <w:p w:rsidR="006026C5" w:rsidRPr="00C9026A" w:rsidRDefault="006026C5" w:rsidP="00EC76CF">
      <w:pPr>
        <w:pStyle w:val="BodyTextList"/>
        <w:numPr>
          <w:ilvl w:val="0"/>
          <w:numId w:val="7"/>
        </w:numPr>
        <w:spacing w:after="240" w:line="240" w:lineRule="auto"/>
        <w:ind w:left="0" w:firstLine="0"/>
        <w:rPr>
          <w:noProof w:val="0"/>
        </w:rPr>
      </w:pPr>
      <w:r w:rsidRPr="00C9026A">
        <w:rPr>
          <w:noProof w:val="0"/>
        </w:rPr>
        <w:t xml:space="preserve">External exposure </w:t>
      </w:r>
      <w:r w:rsidR="00675528" w:rsidRPr="00C9026A">
        <w:rPr>
          <w:noProof w:val="0"/>
        </w:rPr>
        <w:t xml:space="preserve">from radionuclides </w:t>
      </w:r>
      <w:r w:rsidRPr="00C9026A">
        <w:rPr>
          <w:noProof w:val="0"/>
        </w:rPr>
        <w:t xml:space="preserve">in </w:t>
      </w:r>
      <w:r w:rsidR="00755B19">
        <w:rPr>
          <w:noProof w:val="0"/>
        </w:rPr>
        <w:t xml:space="preserve">dried or wet </w:t>
      </w:r>
      <w:r w:rsidRPr="00C9026A">
        <w:rPr>
          <w:noProof w:val="0"/>
        </w:rPr>
        <w:t>sewage sludge</w:t>
      </w:r>
      <w:r w:rsidR="00236C47" w:rsidRPr="00C9026A">
        <w:rPr>
          <w:noProof w:val="0"/>
        </w:rPr>
        <w:t>.</w:t>
      </w:r>
    </w:p>
    <w:p w:rsidR="00265CB5" w:rsidRPr="00C9026A" w:rsidRDefault="00A04E30" w:rsidP="007E60CF">
      <w:pPr>
        <w:pStyle w:val="Heading4"/>
        <w:ind w:left="0"/>
      </w:pPr>
      <w:r>
        <w:lastRenderedPageBreak/>
        <w:t>For</w:t>
      </w:r>
      <w:r w:rsidRPr="00C9026A">
        <w:t xml:space="preserve"> </w:t>
      </w:r>
      <w:r w:rsidR="00265CB5" w:rsidRPr="00C9026A">
        <w:t xml:space="preserve">some facilities or activities, sources </w:t>
      </w:r>
      <w:r w:rsidR="009407C9">
        <w:t xml:space="preserve">of radiation </w:t>
      </w:r>
      <w:r w:rsidR="00265CB5" w:rsidRPr="00C9026A">
        <w:t>could contribute to doses to member</w:t>
      </w:r>
      <w:r w:rsidR="009757AF">
        <w:t>s</w:t>
      </w:r>
      <w:r w:rsidR="00265CB5" w:rsidRPr="00C9026A">
        <w:t xml:space="preserve"> of the public living in the close vicinity of the </w:t>
      </w:r>
      <w:r w:rsidR="00470BC7">
        <w:t>facility</w:t>
      </w:r>
      <w:r w:rsidR="00470BC7" w:rsidRPr="00C9026A">
        <w:t xml:space="preserve"> </w:t>
      </w:r>
      <w:r w:rsidR="00265CB5" w:rsidRPr="00C9026A">
        <w:t>or working</w:t>
      </w:r>
      <w:r w:rsidR="0064605F" w:rsidRPr="007E60CF">
        <w:rPr>
          <w:vertAlign w:val="superscript"/>
        </w:rPr>
        <w:footnoteReference w:id="22"/>
      </w:r>
      <w:r w:rsidR="00265CB5" w:rsidRPr="00C9026A">
        <w:t xml:space="preserve"> on site. Additional </w:t>
      </w:r>
      <w:r w:rsidR="009407C9">
        <w:t xml:space="preserve">exposure </w:t>
      </w:r>
      <w:r w:rsidR="00265CB5" w:rsidRPr="00C9026A">
        <w:t>pathways to be considered are</w:t>
      </w:r>
      <w:r w:rsidR="00470BC7">
        <w:t xml:space="preserve"> the following</w:t>
      </w:r>
      <w:r w:rsidR="00265CB5" w:rsidRPr="00C9026A">
        <w:t>:</w:t>
      </w:r>
    </w:p>
    <w:p w:rsidR="00265CB5" w:rsidRPr="00C9026A" w:rsidRDefault="009407C9" w:rsidP="00EC76CF">
      <w:pPr>
        <w:pStyle w:val="BodyTextList"/>
        <w:numPr>
          <w:ilvl w:val="0"/>
          <w:numId w:val="12"/>
        </w:numPr>
        <w:spacing w:after="120" w:line="240" w:lineRule="auto"/>
        <w:ind w:left="0" w:firstLine="0"/>
        <w:rPr>
          <w:noProof w:val="0"/>
        </w:rPr>
      </w:pPr>
      <w:r>
        <w:rPr>
          <w:noProof w:val="0"/>
        </w:rPr>
        <w:t>External exposure due to d</w:t>
      </w:r>
      <w:r w:rsidR="00265CB5" w:rsidRPr="00C9026A">
        <w:rPr>
          <w:noProof w:val="0"/>
        </w:rPr>
        <w:t xml:space="preserve">irect irradiation from sources </w:t>
      </w:r>
      <w:r>
        <w:rPr>
          <w:noProof w:val="0"/>
        </w:rPr>
        <w:t xml:space="preserve">of radiation </w:t>
      </w:r>
      <w:r w:rsidR="00265CB5" w:rsidRPr="00C9026A">
        <w:rPr>
          <w:noProof w:val="0"/>
        </w:rPr>
        <w:t xml:space="preserve">stored </w:t>
      </w:r>
      <w:r>
        <w:rPr>
          <w:noProof w:val="0"/>
        </w:rPr>
        <w:t>at</w:t>
      </w:r>
      <w:r w:rsidRPr="00C9026A">
        <w:rPr>
          <w:noProof w:val="0"/>
        </w:rPr>
        <w:t xml:space="preserve"> </w:t>
      </w:r>
      <w:r w:rsidR="00265CB5" w:rsidRPr="00C9026A">
        <w:rPr>
          <w:noProof w:val="0"/>
        </w:rPr>
        <w:t>the facility (</w:t>
      </w:r>
      <w:r w:rsidR="00470BC7">
        <w:rPr>
          <w:noProof w:val="0"/>
        </w:rPr>
        <w:t>e.g.</w:t>
      </w:r>
      <w:r w:rsidR="00265CB5" w:rsidRPr="00C9026A">
        <w:rPr>
          <w:noProof w:val="0"/>
        </w:rPr>
        <w:t xml:space="preserve"> from spent fuel or radioactive waste)</w:t>
      </w:r>
      <w:r w:rsidR="005E25F9" w:rsidRPr="00C9026A">
        <w:rPr>
          <w:noProof w:val="0"/>
        </w:rPr>
        <w:t>;</w:t>
      </w:r>
    </w:p>
    <w:p w:rsidR="00265CB5" w:rsidRPr="00C9026A" w:rsidRDefault="0003511B" w:rsidP="00EC76CF">
      <w:pPr>
        <w:pStyle w:val="BodyTextList"/>
        <w:numPr>
          <w:ilvl w:val="0"/>
          <w:numId w:val="12"/>
        </w:numPr>
        <w:spacing w:after="120" w:line="240" w:lineRule="auto"/>
        <w:ind w:left="0" w:firstLine="0"/>
        <w:rPr>
          <w:noProof w:val="0"/>
        </w:rPr>
      </w:pPr>
      <w:r>
        <w:rPr>
          <w:noProof w:val="0"/>
        </w:rPr>
        <w:t xml:space="preserve">External exposure </w:t>
      </w:r>
      <w:r w:rsidR="009407C9">
        <w:rPr>
          <w:noProof w:val="0"/>
        </w:rPr>
        <w:t>due to</w:t>
      </w:r>
      <w:r w:rsidRPr="00C9026A">
        <w:rPr>
          <w:noProof w:val="0"/>
        </w:rPr>
        <w:t xml:space="preserve"> </w:t>
      </w:r>
      <w:r w:rsidR="009407C9">
        <w:rPr>
          <w:noProof w:val="0"/>
        </w:rPr>
        <w:t>d</w:t>
      </w:r>
      <w:r w:rsidR="00265CB5" w:rsidRPr="00C9026A">
        <w:rPr>
          <w:noProof w:val="0"/>
        </w:rPr>
        <w:t>irect irradiation from sources used in the facility (</w:t>
      </w:r>
      <w:r w:rsidR="00470BC7">
        <w:rPr>
          <w:noProof w:val="0"/>
        </w:rPr>
        <w:t>e.g.</w:t>
      </w:r>
      <w:r w:rsidR="00265CB5" w:rsidRPr="00C9026A">
        <w:rPr>
          <w:noProof w:val="0"/>
        </w:rPr>
        <w:t xml:space="preserve"> from </w:t>
      </w:r>
      <w:r w:rsidR="005E25F9" w:rsidRPr="00C9026A">
        <w:rPr>
          <w:noProof w:val="0"/>
        </w:rPr>
        <w:t xml:space="preserve">industrial </w:t>
      </w:r>
      <w:r w:rsidR="00265CB5" w:rsidRPr="00C9026A">
        <w:rPr>
          <w:noProof w:val="0"/>
        </w:rPr>
        <w:t>irradiators)</w:t>
      </w:r>
      <w:r w:rsidR="005E25F9" w:rsidRPr="00C9026A">
        <w:rPr>
          <w:noProof w:val="0"/>
        </w:rPr>
        <w:t xml:space="preserve">; </w:t>
      </w:r>
    </w:p>
    <w:p w:rsidR="005E610C" w:rsidRPr="00C9026A" w:rsidRDefault="0003511B" w:rsidP="00EC76CF">
      <w:pPr>
        <w:pStyle w:val="BodyTextList"/>
        <w:numPr>
          <w:ilvl w:val="0"/>
          <w:numId w:val="12"/>
        </w:numPr>
        <w:spacing w:after="240" w:line="240" w:lineRule="auto"/>
        <w:ind w:left="0" w:firstLine="0"/>
        <w:rPr>
          <w:noProof w:val="0"/>
        </w:rPr>
      </w:pPr>
      <w:r>
        <w:rPr>
          <w:noProof w:val="0"/>
        </w:rPr>
        <w:t xml:space="preserve">External exposure </w:t>
      </w:r>
      <w:r w:rsidR="009407C9">
        <w:rPr>
          <w:noProof w:val="0"/>
        </w:rPr>
        <w:t>due to</w:t>
      </w:r>
      <w:r w:rsidRPr="00C9026A">
        <w:rPr>
          <w:noProof w:val="0"/>
        </w:rPr>
        <w:t xml:space="preserve"> </w:t>
      </w:r>
      <w:r w:rsidR="009407C9">
        <w:rPr>
          <w:noProof w:val="0"/>
        </w:rPr>
        <w:t>d</w:t>
      </w:r>
      <w:r w:rsidR="00265CB5" w:rsidRPr="00C9026A">
        <w:rPr>
          <w:noProof w:val="0"/>
        </w:rPr>
        <w:t>irect irradiation from the facility (</w:t>
      </w:r>
      <w:r w:rsidR="00470BC7">
        <w:rPr>
          <w:noProof w:val="0"/>
        </w:rPr>
        <w:t>e.g.</w:t>
      </w:r>
      <w:r w:rsidR="00265CB5" w:rsidRPr="00C9026A">
        <w:rPr>
          <w:noProof w:val="0"/>
        </w:rPr>
        <w:t xml:space="preserve"> from</w:t>
      </w:r>
      <w:r w:rsidR="00755B19">
        <w:rPr>
          <w:noProof w:val="0"/>
        </w:rPr>
        <w:t xml:space="preserve"> nuclear or radioactive </w:t>
      </w:r>
      <w:r w:rsidR="00265CB5" w:rsidRPr="00C9026A">
        <w:rPr>
          <w:noProof w:val="0"/>
        </w:rPr>
        <w:t xml:space="preserve">components of the facility or </w:t>
      </w:r>
      <w:r w:rsidR="000527C4">
        <w:rPr>
          <w:noProof w:val="0"/>
        </w:rPr>
        <w:t xml:space="preserve">secondary components such as </w:t>
      </w:r>
      <w:r w:rsidR="009F7110">
        <w:rPr>
          <w:noProof w:val="0"/>
        </w:rPr>
        <w:t xml:space="preserve">stored </w:t>
      </w:r>
      <w:r w:rsidR="00B60582">
        <w:rPr>
          <w:noProof w:val="0"/>
        </w:rPr>
        <w:t xml:space="preserve">wastes, </w:t>
      </w:r>
      <w:r w:rsidR="00265CB5" w:rsidRPr="00C9026A">
        <w:rPr>
          <w:noProof w:val="0"/>
        </w:rPr>
        <w:t>coolant</w:t>
      </w:r>
      <w:r w:rsidR="00B60582">
        <w:rPr>
          <w:noProof w:val="0"/>
        </w:rPr>
        <w:t xml:space="preserve"> systems</w:t>
      </w:r>
      <w:r w:rsidR="00FF093D">
        <w:rPr>
          <w:noProof w:val="0"/>
        </w:rPr>
        <w:t xml:space="preserve"> or steam</w:t>
      </w:r>
      <w:r w:rsidR="00265CB5" w:rsidRPr="00C9026A">
        <w:rPr>
          <w:noProof w:val="0"/>
        </w:rPr>
        <w:t xml:space="preserve"> systems)</w:t>
      </w:r>
      <w:r w:rsidR="005E25F9" w:rsidRPr="00C9026A">
        <w:rPr>
          <w:noProof w:val="0"/>
        </w:rPr>
        <w:t>.</w:t>
      </w:r>
    </w:p>
    <w:p w:rsidR="006026C5" w:rsidRPr="00C9026A" w:rsidRDefault="002731CC" w:rsidP="00A57A35">
      <w:pPr>
        <w:pStyle w:val="Heading4"/>
        <w:ind w:left="0"/>
      </w:pPr>
      <w:r w:rsidRPr="00C9026A">
        <w:t>Depending on the exposure scenarios</w:t>
      </w:r>
      <w:r w:rsidR="00C90D16" w:rsidRPr="00C9026A">
        <w:t xml:space="preserve"> and the site</w:t>
      </w:r>
      <w:r w:rsidR="00AC436B" w:rsidRPr="00C9026A">
        <w:t xml:space="preserve"> characteristics</w:t>
      </w:r>
      <w:r w:rsidRPr="00C9026A">
        <w:t>, n</w:t>
      </w:r>
      <w:r w:rsidR="006026C5" w:rsidRPr="00C9026A">
        <w:t xml:space="preserve">ot all the exposure pathways listed in </w:t>
      </w:r>
      <w:r w:rsidR="005E25F9" w:rsidRPr="00C9026A">
        <w:t xml:space="preserve">the </w:t>
      </w:r>
      <w:r w:rsidR="006026C5" w:rsidRPr="00C9026A">
        <w:t>para</w:t>
      </w:r>
      <w:r w:rsidR="009C2D92" w:rsidRPr="00C9026A">
        <w:t>graph</w:t>
      </w:r>
      <w:r w:rsidRPr="00C9026A">
        <w:t>s</w:t>
      </w:r>
      <w:r w:rsidR="009C2D92" w:rsidRPr="00C9026A">
        <w:t xml:space="preserve"> above</w:t>
      </w:r>
      <w:r w:rsidR="006026C5" w:rsidRPr="00C9026A">
        <w:t xml:space="preserve"> may need to be included in the assessment</w:t>
      </w:r>
      <w:r w:rsidR="00CD7111">
        <w:t>. I</w:t>
      </w:r>
      <w:r w:rsidR="000527C4">
        <w:t xml:space="preserve">n particular cases, additional pathways </w:t>
      </w:r>
      <w:r w:rsidR="003E5DDD">
        <w:t>might</w:t>
      </w:r>
      <w:r w:rsidR="000527C4">
        <w:t xml:space="preserve"> be identified</w:t>
      </w:r>
      <w:r w:rsidR="00CD7111">
        <w:t>.</w:t>
      </w:r>
      <w:r w:rsidR="006026C5" w:rsidRPr="00C9026A">
        <w:t xml:space="preserve"> </w:t>
      </w:r>
      <w:r w:rsidR="00CD7111">
        <w:t>T</w:t>
      </w:r>
      <w:r w:rsidR="006026C5" w:rsidRPr="00C9026A">
        <w:t>he contribution of an exposure pathway to the overall dose depends on the radionuclides involved, the habit data</w:t>
      </w:r>
      <w:r w:rsidR="00265CB5" w:rsidRPr="00C9026A">
        <w:t xml:space="preserve">, the </w:t>
      </w:r>
      <w:r w:rsidR="009239A4">
        <w:t>time</w:t>
      </w:r>
      <w:r w:rsidR="00D502D0">
        <w:t xml:space="preserve"> </w:t>
      </w:r>
      <w:r w:rsidR="00265CB5" w:rsidRPr="00C9026A">
        <w:t>s</w:t>
      </w:r>
      <w:r w:rsidR="00D502D0">
        <w:t>pent at a location</w:t>
      </w:r>
      <w:r w:rsidR="006026C5" w:rsidRPr="00C9026A">
        <w:t xml:space="preserve"> and other characteristics of the population being considered. Therefore some exposure pathways may be excluded from the assessment on the grounds that the doses associated with </w:t>
      </w:r>
      <w:r w:rsidR="00D502D0">
        <w:rPr>
          <w:szCs w:val="24"/>
        </w:rPr>
        <w:t>them</w:t>
      </w:r>
      <w:r w:rsidR="006026C5" w:rsidRPr="00C9026A">
        <w:t xml:space="preserve"> are </w:t>
      </w:r>
      <w:r w:rsidR="00FF093D">
        <w:t xml:space="preserve">evaluated to be </w:t>
      </w:r>
      <w:r w:rsidR="00470BC7">
        <w:t>non-</w:t>
      </w:r>
      <w:r w:rsidR="002A2F7E">
        <w:t xml:space="preserve">existent or </w:t>
      </w:r>
      <w:r w:rsidR="006026C5" w:rsidRPr="00C9026A">
        <w:t>negligible.</w:t>
      </w:r>
      <w:r w:rsidR="0010217D">
        <w:t xml:space="preserve"> </w:t>
      </w:r>
      <w:r w:rsidR="00D502D0">
        <w:t xml:space="preserve">The decision to exclude </w:t>
      </w:r>
      <w:r w:rsidR="0010217D">
        <w:t xml:space="preserve">particular exposure pathways </w:t>
      </w:r>
      <w:r w:rsidR="00BB2D7B">
        <w:t xml:space="preserve">from </w:t>
      </w:r>
      <w:r w:rsidR="009407C9">
        <w:t>consideration</w:t>
      </w:r>
      <w:r w:rsidR="00BB2D7B">
        <w:t xml:space="preserve"> </w:t>
      </w:r>
      <w:r w:rsidR="0010217D">
        <w:t>should be justified.</w:t>
      </w:r>
    </w:p>
    <w:p w:rsidR="006026C5" w:rsidRPr="00C9026A" w:rsidRDefault="00D77F2F" w:rsidP="00A57A35">
      <w:pPr>
        <w:pStyle w:val="Heading4"/>
        <w:ind w:left="0"/>
      </w:pPr>
      <w:r w:rsidRPr="00C9026A">
        <w:t xml:space="preserve">In some circumstances, it may be possible to calculate doses </w:t>
      </w:r>
      <w:r w:rsidR="00F14798">
        <w:t xml:space="preserve">from ingestion </w:t>
      </w:r>
      <w:r w:rsidR="009407C9" w:rsidRPr="00C9026A">
        <w:t xml:space="preserve">only </w:t>
      </w:r>
      <w:r w:rsidRPr="00C9026A">
        <w:t>for very general categories of food using generic values. For example</w:t>
      </w:r>
      <w:r w:rsidR="00BB2D7B">
        <w:t>,</w:t>
      </w:r>
      <w:r w:rsidRPr="00C9026A">
        <w:t xml:space="preserve"> doses can </w:t>
      </w:r>
      <w:r w:rsidR="00BB2D7B">
        <w:t xml:space="preserve">generally </w:t>
      </w:r>
      <w:r w:rsidRPr="00C9026A">
        <w:t>only be calculated for ingestion of crops, without</w:t>
      </w:r>
      <w:r w:rsidR="009407C9">
        <w:t xml:space="preserve"> it</w:t>
      </w:r>
      <w:r w:rsidRPr="00C9026A">
        <w:t xml:space="preserve"> being </w:t>
      </w:r>
      <w:r w:rsidR="009407C9">
        <w:t>possible</w:t>
      </w:r>
      <w:r w:rsidR="009407C9" w:rsidRPr="00C9026A">
        <w:t xml:space="preserve"> </w:t>
      </w:r>
      <w:r w:rsidRPr="00C9026A">
        <w:t xml:space="preserve">to specify which types of crops </w:t>
      </w:r>
      <w:r w:rsidR="008A71FF" w:rsidRPr="00C9026A">
        <w:t>are likely to be consumed</w:t>
      </w:r>
      <w:r w:rsidRPr="00C9026A">
        <w:t xml:space="preserve">. However, if surveys have been made close to the site then it may be appropriate to use site specific values </w:t>
      </w:r>
      <w:r w:rsidR="00BB2D7B">
        <w:t>for</w:t>
      </w:r>
      <w:r w:rsidR="00BB2D7B" w:rsidRPr="00C9026A">
        <w:t xml:space="preserve"> </w:t>
      </w:r>
      <w:r w:rsidRPr="00C9026A">
        <w:t>the actual crops in the region.</w:t>
      </w:r>
    </w:p>
    <w:p w:rsidR="006026C5" w:rsidRPr="00C9026A" w:rsidRDefault="004C7806" w:rsidP="00A57A35">
      <w:pPr>
        <w:pStyle w:val="Heading3"/>
        <w:rPr>
          <w:lang w:val="en-GB"/>
        </w:rPr>
      </w:pPr>
      <w:bookmarkStart w:id="64" w:name="_Toc447613487"/>
      <w:bookmarkStart w:id="65" w:name="_Toc450204010"/>
      <w:r w:rsidRPr="00C9026A">
        <w:rPr>
          <w:lang w:val="en-GB"/>
        </w:rPr>
        <w:t xml:space="preserve">Identification of </w:t>
      </w:r>
      <w:r w:rsidR="0026746E">
        <w:rPr>
          <w:lang w:val="en-GB"/>
        </w:rPr>
        <w:t xml:space="preserve">the </w:t>
      </w:r>
      <w:r w:rsidRPr="00C9026A">
        <w:rPr>
          <w:lang w:val="en-GB"/>
        </w:rPr>
        <w:t>r</w:t>
      </w:r>
      <w:r w:rsidR="006026C5" w:rsidRPr="00C9026A">
        <w:rPr>
          <w:lang w:val="en-GB"/>
        </w:rPr>
        <w:t>epresentative person for normal operation</w:t>
      </w:r>
      <w:bookmarkEnd w:id="64"/>
      <w:bookmarkEnd w:id="65"/>
    </w:p>
    <w:p w:rsidR="006026C5" w:rsidRPr="00C9026A" w:rsidRDefault="009407C9" w:rsidP="00A57A35">
      <w:pPr>
        <w:pStyle w:val="Heading4"/>
        <w:ind w:left="0"/>
      </w:pPr>
      <w:r>
        <w:t>The d</w:t>
      </w:r>
      <w:r w:rsidR="006026C5" w:rsidRPr="00C9026A">
        <w:t xml:space="preserve">ose to </w:t>
      </w:r>
      <w:r w:rsidR="00BB2D7B">
        <w:t>the</w:t>
      </w:r>
      <w:r w:rsidR="006026C5" w:rsidRPr="00C9026A">
        <w:t xml:space="preserve"> </w:t>
      </w:r>
      <w:r w:rsidR="00257A6D" w:rsidRPr="00C9026A">
        <w:t>representative person</w:t>
      </w:r>
      <w:r w:rsidR="00503DC5" w:rsidRPr="00C9026A">
        <w:rPr>
          <w:rStyle w:val="FootnoteReference"/>
        </w:rPr>
        <w:footnoteReference w:id="23"/>
      </w:r>
      <w:r w:rsidR="00257A6D" w:rsidRPr="00C9026A">
        <w:t xml:space="preserve"> </w:t>
      </w:r>
      <w:r w:rsidR="00BB2D7B" w:rsidRPr="00C9026A">
        <w:t xml:space="preserve">should be calculated </w:t>
      </w:r>
      <w:r w:rsidR="00D04338" w:rsidRPr="00C9026A">
        <w:t xml:space="preserve">using characteristics </w:t>
      </w:r>
      <w:r w:rsidR="00192CF3" w:rsidRPr="00C9026A">
        <w:t xml:space="preserve">selected </w:t>
      </w:r>
      <w:r w:rsidR="006026C5" w:rsidRPr="00C9026A">
        <w:t>from a group of individuals representative of those mo</w:t>
      </w:r>
      <w:r w:rsidR="00D04338" w:rsidRPr="00C9026A">
        <w:t>re</w:t>
      </w:r>
      <w:r w:rsidR="006026C5" w:rsidRPr="00C9026A">
        <w:t xml:space="preserve"> highly exposed in the population</w:t>
      </w:r>
      <w:r w:rsidR="00FB4F50" w:rsidRPr="00C9026A">
        <w:t>.</w:t>
      </w:r>
      <w:r w:rsidR="009C2D92" w:rsidRPr="00C9026A">
        <w:t xml:space="preserve"> </w:t>
      </w:r>
      <w:r w:rsidR="0026746E">
        <w:t xml:space="preserve">ICRP Publication 101 </w:t>
      </w:r>
      <w:r w:rsidR="009C2D92" w:rsidRPr="00C9026A">
        <w:t>[</w:t>
      </w:r>
      <w:r w:rsidR="002E182F" w:rsidRPr="00C9026A">
        <w:t>4</w:t>
      </w:r>
      <w:r w:rsidR="003E5DDD">
        <w:t>4</w:t>
      </w:r>
      <w:r w:rsidR="009C2D92" w:rsidRPr="00C9026A">
        <w:t>] gives guidance on the characteristics of the representative person.</w:t>
      </w:r>
    </w:p>
    <w:p w:rsidR="00365D7E" w:rsidRPr="00C9026A" w:rsidRDefault="00365D7E" w:rsidP="00A57A35">
      <w:pPr>
        <w:pStyle w:val="Heading4"/>
        <w:ind w:left="0"/>
      </w:pPr>
      <w:r w:rsidRPr="00C9026A">
        <w:t xml:space="preserve">The characteristics of the representative person </w:t>
      </w:r>
      <w:r w:rsidR="00CD5346" w:rsidRPr="00C9026A">
        <w:t>should</w:t>
      </w:r>
      <w:r w:rsidRPr="00C9026A">
        <w:t xml:space="preserve"> be</w:t>
      </w:r>
      <w:r w:rsidR="0040677A">
        <w:t xml:space="preserve"> specified</w:t>
      </w:r>
      <w:r w:rsidR="0026746E" w:rsidRPr="00C9026A">
        <w:t xml:space="preserve"> </w:t>
      </w:r>
      <w:r w:rsidR="00922FFE" w:rsidRPr="00C9026A">
        <w:t xml:space="preserve">by the applicant </w:t>
      </w:r>
      <w:r w:rsidR="0040677A">
        <w:t>in accordance with</w:t>
      </w:r>
      <w:r w:rsidRPr="00C9026A">
        <w:t xml:space="preserve"> national regulations and </w:t>
      </w:r>
      <w:r w:rsidR="009407C9">
        <w:t>in agreement with</w:t>
      </w:r>
      <w:r w:rsidR="0040677A">
        <w:t xml:space="preserve"> </w:t>
      </w:r>
      <w:r w:rsidRPr="00C9026A">
        <w:t>the regulator</w:t>
      </w:r>
      <w:r w:rsidR="0026746E">
        <w:t>y body</w:t>
      </w:r>
      <w:r w:rsidRPr="00C9026A">
        <w:t>. For example, the regulatory body may require the use of more detailed and site specific habit data for assessments carried out for certain types of facilities or at later stages in the authorization process.</w:t>
      </w:r>
    </w:p>
    <w:p w:rsidR="00FE73B5" w:rsidRPr="00C9026A" w:rsidRDefault="00257A6D" w:rsidP="00A57A35">
      <w:pPr>
        <w:pStyle w:val="Heading4"/>
        <w:ind w:left="0"/>
      </w:pPr>
      <w:r w:rsidRPr="00C9026A">
        <w:lastRenderedPageBreak/>
        <w:t xml:space="preserve">Habit data of the representative person </w:t>
      </w:r>
      <w:r w:rsidR="00CD5346" w:rsidRPr="00C9026A">
        <w:t>should</w:t>
      </w:r>
      <w:r w:rsidRPr="00C9026A">
        <w:t xml:space="preserve"> </w:t>
      </w:r>
      <w:r w:rsidR="0040677A">
        <w:t>represent</w:t>
      </w:r>
      <w:r w:rsidRPr="00C9026A">
        <w:t xml:space="preserve"> habits typical of the population living in the region where the facility is located or </w:t>
      </w:r>
      <w:r w:rsidR="0040677A">
        <w:t>in the State</w:t>
      </w:r>
      <w:r w:rsidRPr="00C9026A">
        <w:t xml:space="preserve"> at large. Habit data used </w:t>
      </w:r>
      <w:r w:rsidR="00D05021" w:rsidRPr="00C9026A">
        <w:t xml:space="preserve">in </w:t>
      </w:r>
      <w:r w:rsidR="00BD315E" w:rsidRPr="00C9026A">
        <w:t>an assessment</w:t>
      </w:r>
      <w:r w:rsidRPr="00C9026A">
        <w:t xml:space="preserve"> can be obtained from statistics collected at national, regional or international level</w:t>
      </w:r>
      <w:r w:rsidR="009407C9">
        <w:t>s</w:t>
      </w:r>
      <w:r w:rsidRPr="00C9026A">
        <w:t xml:space="preserve"> or, where possible, from surveys carried out at or near the location where the facility will operate. Habit data include consumption r</w:t>
      </w:r>
      <w:r w:rsidR="00CE1943" w:rsidRPr="00C9026A">
        <w:t>ates of food and drinking water and inhalation</w:t>
      </w:r>
      <w:r w:rsidRPr="00C9026A">
        <w:t xml:space="preserve"> rates</w:t>
      </w:r>
      <w:r w:rsidR="00CE1943" w:rsidRPr="00C9026A">
        <w:t xml:space="preserve">. Important characteristics when assessing doses to the representative person </w:t>
      </w:r>
      <w:r w:rsidR="00252E93">
        <w:t>are</w:t>
      </w:r>
      <w:r w:rsidR="00252E93" w:rsidRPr="00C9026A">
        <w:t xml:space="preserve"> </w:t>
      </w:r>
      <w:r w:rsidR="00CE1943" w:rsidRPr="00C9026A">
        <w:t xml:space="preserve">the assumed </w:t>
      </w:r>
      <w:r w:rsidRPr="00C9026A">
        <w:t>location</w:t>
      </w:r>
      <w:r w:rsidR="0040677A">
        <w:t xml:space="preserve"> of the representative person</w:t>
      </w:r>
      <w:r w:rsidRPr="00C9026A">
        <w:t xml:space="preserve"> (e.g. </w:t>
      </w:r>
      <w:r w:rsidR="0040677A">
        <w:t xml:space="preserve">their </w:t>
      </w:r>
      <w:r w:rsidRPr="00C9026A">
        <w:t>distance and direction from the point of release</w:t>
      </w:r>
      <w:r w:rsidR="0040677A">
        <w:t xml:space="preserve"> of radionuclides</w:t>
      </w:r>
      <w:r w:rsidRPr="00C9026A">
        <w:t>)</w:t>
      </w:r>
      <w:r w:rsidR="00553F58">
        <w:t xml:space="preserve">. It is also important </w:t>
      </w:r>
      <w:r w:rsidR="009252B5" w:rsidRPr="00C9026A">
        <w:t xml:space="preserve">where </w:t>
      </w:r>
      <w:r w:rsidR="003E5DDD">
        <w:t xml:space="preserve">the </w:t>
      </w:r>
      <w:r w:rsidR="00252E93">
        <w:t>representative person</w:t>
      </w:r>
      <w:r w:rsidR="00FA3BAC" w:rsidRPr="00C9026A">
        <w:t xml:space="preserve"> </w:t>
      </w:r>
      <w:r w:rsidR="009252B5" w:rsidRPr="00C9026A">
        <w:t>obtain</w:t>
      </w:r>
      <w:r w:rsidR="00252E93">
        <w:t>s</w:t>
      </w:r>
      <w:r w:rsidR="009252B5" w:rsidRPr="00C9026A">
        <w:t xml:space="preserve"> food</w:t>
      </w:r>
      <w:r w:rsidR="0040677A">
        <w:t>;</w:t>
      </w:r>
      <w:r w:rsidR="009252B5" w:rsidRPr="00C9026A">
        <w:t xml:space="preserve"> </w:t>
      </w:r>
      <w:r w:rsidR="00CE1943" w:rsidRPr="00C9026A">
        <w:t>the</w:t>
      </w:r>
      <w:r w:rsidR="009252B5" w:rsidRPr="00C9026A">
        <w:t xml:space="preserve"> </w:t>
      </w:r>
      <w:r w:rsidRPr="00C9026A">
        <w:t xml:space="preserve">fraction of the food consumed that is of local </w:t>
      </w:r>
      <w:r w:rsidR="00252E93">
        <w:t xml:space="preserve">or regional </w:t>
      </w:r>
      <w:r w:rsidRPr="00C9026A">
        <w:t>origin</w:t>
      </w:r>
      <w:r w:rsidR="0040677A">
        <w:t>;</w:t>
      </w:r>
      <w:r w:rsidRPr="00C9026A">
        <w:t xml:space="preserve"> </w:t>
      </w:r>
      <w:r w:rsidR="0040677A">
        <w:t xml:space="preserve">the </w:t>
      </w:r>
      <w:r w:rsidRPr="00C9026A">
        <w:t>occupancy times at different locations and</w:t>
      </w:r>
      <w:r w:rsidR="0040677A">
        <w:t xml:space="preserve"> the</w:t>
      </w:r>
      <w:r w:rsidRPr="00C9026A">
        <w:t xml:space="preserve"> </w:t>
      </w:r>
      <w:r w:rsidR="0026746E">
        <w:t xml:space="preserve">fractions of </w:t>
      </w:r>
      <w:r w:rsidRPr="00C9026A">
        <w:t xml:space="preserve">time spent outdoors and indoors. </w:t>
      </w:r>
      <w:r w:rsidR="003342A7" w:rsidRPr="00C9026A">
        <w:t xml:space="preserve">The </w:t>
      </w:r>
      <w:r w:rsidR="00F45B6F">
        <w:t>location</w:t>
      </w:r>
      <w:r w:rsidR="00F14798">
        <w:t xml:space="preserve"> </w:t>
      </w:r>
      <w:r w:rsidR="00F45B6F">
        <w:t>where</w:t>
      </w:r>
      <w:r w:rsidR="003342A7" w:rsidRPr="00C9026A">
        <w:t xml:space="preserve"> the representative person </w:t>
      </w:r>
      <w:r w:rsidR="00F45B6F">
        <w:t xml:space="preserve">lives </w:t>
      </w:r>
      <w:r w:rsidR="003342A7" w:rsidRPr="00C9026A">
        <w:t xml:space="preserve">can be based on an actual </w:t>
      </w:r>
      <w:r w:rsidR="0040677A">
        <w:t xml:space="preserve">person or group of persons, </w:t>
      </w:r>
      <w:r w:rsidR="003342A7" w:rsidRPr="00C9026A">
        <w:t xml:space="preserve">or </w:t>
      </w:r>
      <w:r w:rsidR="00FC78F5">
        <w:t xml:space="preserve">on </w:t>
      </w:r>
      <w:r w:rsidR="003342A7" w:rsidRPr="00C9026A">
        <w:t xml:space="preserve">a postulated person or group of persons </w:t>
      </w:r>
      <w:r w:rsidR="003342A7">
        <w:t xml:space="preserve">living at a </w:t>
      </w:r>
      <w:r w:rsidR="003342A7" w:rsidRPr="00C9026A">
        <w:t xml:space="preserve">location </w:t>
      </w:r>
      <w:r w:rsidR="003342A7">
        <w:t>selected using cautious assumptions</w:t>
      </w:r>
      <w:r w:rsidR="00292008">
        <w:t xml:space="preserve"> </w:t>
      </w:r>
      <w:r w:rsidR="003342A7" w:rsidRPr="00C9026A">
        <w:t>(</w:t>
      </w:r>
      <w:r w:rsidR="003342A7">
        <w:t>e</w:t>
      </w:r>
      <w:r w:rsidR="003342A7" w:rsidRPr="00C9026A">
        <w:t>.</w:t>
      </w:r>
      <w:r w:rsidR="003342A7">
        <w:t>g.</w:t>
      </w:r>
      <w:r w:rsidR="003342A7" w:rsidRPr="00C9026A">
        <w:t xml:space="preserve"> close to the fence or in </w:t>
      </w:r>
      <w:r w:rsidR="00FC78F5">
        <w:t>a</w:t>
      </w:r>
      <w:r w:rsidR="00FC78F5" w:rsidRPr="00C9026A">
        <w:t xml:space="preserve"> </w:t>
      </w:r>
      <w:r w:rsidR="003342A7" w:rsidRPr="00C9026A">
        <w:t>region where the highest deposition of radionuclides in the ground can be expected).</w:t>
      </w:r>
    </w:p>
    <w:p w:rsidR="004C7806" w:rsidRPr="00C9026A" w:rsidRDefault="00257A6D" w:rsidP="00A57A35">
      <w:pPr>
        <w:pStyle w:val="Heading4"/>
        <w:ind w:left="0"/>
      </w:pPr>
      <w:r w:rsidRPr="00C9026A">
        <w:t xml:space="preserve">Account </w:t>
      </w:r>
      <w:r w:rsidR="00CD5346" w:rsidRPr="00C9026A">
        <w:t>should</w:t>
      </w:r>
      <w:r w:rsidRPr="00C9026A">
        <w:t xml:space="preserve"> be taken of factors </w:t>
      </w:r>
      <w:r w:rsidR="0026746E">
        <w:t xml:space="preserve">that </w:t>
      </w:r>
      <w:r w:rsidRPr="00C9026A">
        <w:t>reduc</w:t>
      </w:r>
      <w:r w:rsidR="0026746E">
        <w:t>e</w:t>
      </w:r>
      <w:r w:rsidRPr="00C9026A">
        <w:t xml:space="preserve"> the level of exposure</w:t>
      </w:r>
      <w:r w:rsidR="009775CC" w:rsidRPr="00C9026A">
        <w:t xml:space="preserve"> where people live</w:t>
      </w:r>
      <w:r w:rsidRPr="00C9026A">
        <w:t xml:space="preserve">, such as the degree of shielding or filtering offered by buildings assumed to be inhabited. </w:t>
      </w:r>
    </w:p>
    <w:p w:rsidR="006026C5" w:rsidRPr="00C9026A" w:rsidRDefault="006026C5" w:rsidP="00A57A35">
      <w:pPr>
        <w:pStyle w:val="Heading3"/>
        <w:rPr>
          <w:lang w:val="en-GB"/>
        </w:rPr>
      </w:pPr>
      <w:bookmarkStart w:id="66" w:name="_Toc447613488"/>
      <w:bookmarkStart w:id="67" w:name="_Toc450204011"/>
      <w:r w:rsidRPr="00C9026A">
        <w:rPr>
          <w:lang w:val="en-GB"/>
        </w:rPr>
        <w:t>Assessment of</w:t>
      </w:r>
      <w:r w:rsidR="0040677A">
        <w:rPr>
          <w:lang w:val="en-GB"/>
        </w:rPr>
        <w:t xml:space="preserve"> the</w:t>
      </w:r>
      <w:r w:rsidRPr="00C9026A">
        <w:rPr>
          <w:lang w:val="en-GB"/>
        </w:rPr>
        <w:t xml:space="preserve"> dose to </w:t>
      </w:r>
      <w:r w:rsidR="00BC38EB">
        <w:rPr>
          <w:lang w:val="en-GB"/>
        </w:rPr>
        <w:t xml:space="preserve">the </w:t>
      </w:r>
      <w:r w:rsidRPr="00C9026A">
        <w:rPr>
          <w:lang w:val="en-GB"/>
        </w:rPr>
        <w:t>representative person</w:t>
      </w:r>
      <w:bookmarkEnd w:id="66"/>
      <w:bookmarkEnd w:id="67"/>
    </w:p>
    <w:p w:rsidR="004F6FEF" w:rsidRPr="00C9026A" w:rsidRDefault="004F6FEF" w:rsidP="00A57A35">
      <w:pPr>
        <w:pStyle w:val="Heading4"/>
        <w:ind w:left="0"/>
      </w:pPr>
      <w:r w:rsidRPr="00C9026A">
        <w:t xml:space="preserve">The assessment of </w:t>
      </w:r>
      <w:r w:rsidR="00A3142D" w:rsidRPr="00C9026A">
        <w:t xml:space="preserve">radiological impact </w:t>
      </w:r>
      <w:r w:rsidR="00FC78F5">
        <w:t>on</w:t>
      </w:r>
      <w:r w:rsidR="00FC78F5" w:rsidRPr="00C9026A">
        <w:t xml:space="preserve"> </w:t>
      </w:r>
      <w:r w:rsidRPr="00C9026A">
        <w:t xml:space="preserve">the public </w:t>
      </w:r>
      <w:r w:rsidR="00FE73B5" w:rsidRPr="00C9026A">
        <w:t>should</w:t>
      </w:r>
      <w:r w:rsidR="00917990" w:rsidRPr="00C9026A">
        <w:t xml:space="preserve"> be estimated using </w:t>
      </w:r>
      <w:r w:rsidR="004D3D2C">
        <w:t xml:space="preserve">the </w:t>
      </w:r>
      <w:r w:rsidRPr="00C9026A">
        <w:t>individual effective dose</w:t>
      </w:r>
      <w:r w:rsidR="00B81C19" w:rsidRPr="00C9026A">
        <w:t xml:space="preserve"> to the representative person</w:t>
      </w:r>
      <w:r w:rsidR="00917990" w:rsidRPr="00C9026A">
        <w:t xml:space="preserve">, which is </w:t>
      </w:r>
      <w:r w:rsidRPr="00C9026A">
        <w:t>the sum of the committed effective dose from intakes of radionuclides</w:t>
      </w:r>
      <w:r w:rsidR="00D87BCE" w:rsidRPr="00C9026A">
        <w:rPr>
          <w:rStyle w:val="FootnoteReference"/>
        </w:rPr>
        <w:footnoteReference w:id="24"/>
      </w:r>
      <w:r w:rsidRPr="00C9026A">
        <w:t xml:space="preserve"> (</w:t>
      </w:r>
      <w:r w:rsidR="00D87BCE">
        <w:t>i.e.</w:t>
      </w:r>
      <w:r w:rsidR="00BC38EB">
        <w:t xml:space="preserve"> </w:t>
      </w:r>
      <w:r w:rsidR="00D87BCE">
        <w:t xml:space="preserve">from internal </w:t>
      </w:r>
      <w:r w:rsidR="00437DFD">
        <w:t xml:space="preserve">exposure </w:t>
      </w:r>
      <w:r w:rsidR="00D87BCE">
        <w:t xml:space="preserve">by </w:t>
      </w:r>
      <w:r w:rsidRPr="00C9026A">
        <w:t xml:space="preserve">ingestion and inhalation) and </w:t>
      </w:r>
      <w:r w:rsidR="00437DFD">
        <w:t xml:space="preserve">the </w:t>
      </w:r>
      <w:r w:rsidRPr="00C9026A">
        <w:t xml:space="preserve">effective dose from external </w:t>
      </w:r>
      <w:r w:rsidR="00072A6A">
        <w:t>exposure</w:t>
      </w:r>
      <w:r w:rsidR="00072A6A" w:rsidRPr="00C9026A">
        <w:t xml:space="preserve"> </w:t>
      </w:r>
      <w:r w:rsidRPr="00C9026A">
        <w:t xml:space="preserve">[1, 3]. Doses from internal </w:t>
      </w:r>
      <w:r w:rsidR="00437DFD">
        <w:t>exposure</w:t>
      </w:r>
      <w:r w:rsidR="00437DFD" w:rsidRPr="00C9026A">
        <w:t xml:space="preserve"> </w:t>
      </w:r>
      <w:r w:rsidRPr="00C9026A">
        <w:t xml:space="preserve">are calculated using dose coefficients from intakes of radionuclides by ingestion and inhalation, which provide </w:t>
      </w:r>
      <w:r w:rsidR="00437DFD">
        <w:t xml:space="preserve">the </w:t>
      </w:r>
      <w:r w:rsidRPr="00C9026A">
        <w:t xml:space="preserve">committed effective dose per unit activity of intake, expressed in units of </w:t>
      </w:r>
      <w:proofErr w:type="spellStart"/>
      <w:r w:rsidRPr="00C9026A">
        <w:t>Sv</w:t>
      </w:r>
      <w:proofErr w:type="spellEnd"/>
      <w:r w:rsidRPr="00C9026A">
        <w:t xml:space="preserve"> Bq</w:t>
      </w:r>
      <w:r w:rsidRPr="00C9026A">
        <w:rPr>
          <w:vertAlign w:val="superscript"/>
        </w:rPr>
        <w:t>-1</w:t>
      </w:r>
      <w:r w:rsidRPr="00C9026A">
        <w:t xml:space="preserve">. Tabulated values of dose coefficients applicable for members of the public are available in a number of publications [1, </w:t>
      </w:r>
      <w:r w:rsidR="002E182F" w:rsidRPr="00C9026A">
        <w:t>4</w:t>
      </w:r>
      <w:r w:rsidR="003E5DDD">
        <w:t>5</w:t>
      </w:r>
      <w:r w:rsidRPr="00C9026A">
        <w:t>].</w:t>
      </w:r>
      <w:r w:rsidR="0059029A" w:rsidRPr="00C9026A">
        <w:t xml:space="preserve"> </w:t>
      </w:r>
      <w:r w:rsidR="00E63C59">
        <w:t>T</w:t>
      </w:r>
      <w:r w:rsidR="00E63C59" w:rsidRPr="00C9026A">
        <w:t xml:space="preserve">he period </w:t>
      </w:r>
      <w:r w:rsidR="00027DE3">
        <w:t xml:space="preserve">of commitment assumed </w:t>
      </w:r>
      <w:r w:rsidR="00E63C59">
        <w:t xml:space="preserve">by </w:t>
      </w:r>
      <w:r w:rsidR="00255010">
        <w:t xml:space="preserve">the </w:t>
      </w:r>
      <w:r w:rsidR="00E63C59">
        <w:t>ICRP to</w:t>
      </w:r>
      <w:r w:rsidR="00E63C59" w:rsidRPr="00C9026A">
        <w:t xml:space="preserve"> calculat</w:t>
      </w:r>
      <w:r w:rsidR="00E63C59">
        <w:t>e</w:t>
      </w:r>
      <w:r w:rsidR="00E63C59" w:rsidRPr="00C9026A">
        <w:t xml:space="preserve"> the </w:t>
      </w:r>
      <w:r w:rsidR="00027DE3">
        <w:t xml:space="preserve">dose coefficients </w:t>
      </w:r>
      <w:r w:rsidR="00ED2C66">
        <w:t xml:space="preserve">presented in </w:t>
      </w:r>
      <w:r w:rsidR="00437DFD">
        <w:t xml:space="preserve">Refs </w:t>
      </w:r>
      <w:r w:rsidR="00ED2C66">
        <w:t>[1] and [4</w:t>
      </w:r>
      <w:r w:rsidR="003E5DDD">
        <w:t>5</w:t>
      </w:r>
      <w:r w:rsidR="00ED2C66">
        <w:t xml:space="preserve">] </w:t>
      </w:r>
      <w:r w:rsidR="00E63C59">
        <w:t xml:space="preserve">is </w:t>
      </w:r>
      <w:r w:rsidR="00E63C59" w:rsidRPr="00C9026A">
        <w:t xml:space="preserve">50 years for intakes by adults and </w:t>
      </w:r>
      <w:r w:rsidR="00027DE3">
        <w:t xml:space="preserve">up to </w:t>
      </w:r>
      <w:r w:rsidR="00E63C59" w:rsidRPr="00C9026A">
        <w:t xml:space="preserve">70 years </w:t>
      </w:r>
      <w:r w:rsidR="00027DE3">
        <w:t xml:space="preserve">of age </w:t>
      </w:r>
      <w:r w:rsidR="00E63C59" w:rsidRPr="00C9026A">
        <w:t>for intakes by children.</w:t>
      </w:r>
      <w:r w:rsidR="00E63C59">
        <w:t xml:space="preserve"> </w:t>
      </w:r>
      <w:r w:rsidR="00D87BCE">
        <w:t>S</w:t>
      </w:r>
      <w:r w:rsidRPr="00C9026A">
        <w:t xml:space="preserve">tandard models exist </w:t>
      </w:r>
      <w:r w:rsidR="00D87BCE">
        <w:t>to</w:t>
      </w:r>
      <w:r w:rsidR="00D87BCE" w:rsidRPr="00C9026A">
        <w:t xml:space="preserve"> calculat</w:t>
      </w:r>
      <w:r w:rsidR="00D87BCE">
        <w:t>e</w:t>
      </w:r>
      <w:r w:rsidR="00D87BCE" w:rsidRPr="00C9026A">
        <w:t xml:space="preserve"> </w:t>
      </w:r>
      <w:r w:rsidR="00437DFD">
        <w:t xml:space="preserve">the </w:t>
      </w:r>
      <w:r w:rsidR="00D87BCE" w:rsidRPr="00C9026A">
        <w:t xml:space="preserve">effective dose from external </w:t>
      </w:r>
      <w:r w:rsidR="00072A6A">
        <w:t>exposure</w:t>
      </w:r>
      <w:r w:rsidR="00D87BCE" w:rsidRPr="00C9026A">
        <w:t xml:space="preserve">, </w:t>
      </w:r>
      <w:r w:rsidRPr="00C9026A">
        <w:t>as well as compilations of dose coefficients [</w:t>
      </w:r>
      <w:r w:rsidR="004A17C0" w:rsidRPr="00C9026A">
        <w:t xml:space="preserve">1, </w:t>
      </w:r>
      <w:r w:rsidR="002E182F" w:rsidRPr="00C9026A">
        <w:t>4</w:t>
      </w:r>
      <w:r w:rsidR="003E5DDD">
        <w:t>6</w:t>
      </w:r>
      <w:r w:rsidRPr="00C9026A">
        <w:t>].</w:t>
      </w:r>
    </w:p>
    <w:p w:rsidR="006026C5" w:rsidRPr="00C9026A" w:rsidRDefault="008E6163" w:rsidP="00A57A35">
      <w:pPr>
        <w:pStyle w:val="Heading4"/>
        <w:ind w:left="0"/>
      </w:pPr>
      <w:r w:rsidRPr="00C9026A">
        <w:t xml:space="preserve">Dose coefficients for internal </w:t>
      </w:r>
      <w:r w:rsidR="00437DFD">
        <w:t>exposure</w:t>
      </w:r>
      <w:r w:rsidR="00437DFD" w:rsidRPr="00C9026A">
        <w:t xml:space="preserve"> </w:t>
      </w:r>
      <w:r w:rsidRPr="00C9026A">
        <w:t>are provided for different age groups [1,</w:t>
      </w:r>
      <w:r w:rsidR="00164704" w:rsidRPr="00C9026A">
        <w:t> </w:t>
      </w:r>
      <w:r w:rsidR="002E182F" w:rsidRPr="00C9026A">
        <w:t>4</w:t>
      </w:r>
      <w:r w:rsidR="003E5DDD">
        <w:t>5</w:t>
      </w:r>
      <w:r w:rsidRPr="00C9026A">
        <w:t xml:space="preserve">]. </w:t>
      </w:r>
      <w:r w:rsidR="006026C5" w:rsidRPr="00C9026A">
        <w:t>If there are factors that may r</w:t>
      </w:r>
      <w:r w:rsidRPr="00C9026A">
        <w:t xml:space="preserve">esult in a particular age group </w:t>
      </w:r>
      <w:r w:rsidR="006026C5" w:rsidRPr="00C9026A">
        <w:t xml:space="preserve">being </w:t>
      </w:r>
      <w:r w:rsidR="00A447A5" w:rsidRPr="00C9026A">
        <w:t>mo</w:t>
      </w:r>
      <w:r w:rsidR="00A84843" w:rsidRPr="00C9026A">
        <w:t>re</w:t>
      </w:r>
      <w:r w:rsidR="006026C5" w:rsidRPr="00C9026A">
        <w:t xml:space="preserve"> highly exposed</w:t>
      </w:r>
      <w:r w:rsidR="00437DFD">
        <w:t>,</w:t>
      </w:r>
      <w:r w:rsidR="006026C5" w:rsidRPr="00C9026A">
        <w:t xml:space="preserve"> </w:t>
      </w:r>
      <w:r w:rsidR="00A447A5" w:rsidRPr="00C9026A">
        <w:t>then this</w:t>
      </w:r>
      <w:r w:rsidR="002D7EBA" w:rsidRPr="00C9026A">
        <w:t xml:space="preserve"> age group</w:t>
      </w:r>
      <w:r w:rsidR="00DB5364" w:rsidRPr="00C9026A">
        <w:t xml:space="preserve"> </w:t>
      </w:r>
      <w:r w:rsidR="00CD5346" w:rsidRPr="00C9026A">
        <w:t>should</w:t>
      </w:r>
      <w:r w:rsidR="006026C5" w:rsidRPr="00C9026A">
        <w:t xml:space="preserve"> be considered</w:t>
      </w:r>
      <w:r w:rsidR="00437DFD">
        <w:t xml:space="preserve"> in the assessment</w:t>
      </w:r>
      <w:r w:rsidRPr="00C9026A">
        <w:t>.</w:t>
      </w:r>
      <w:r w:rsidR="00ED55B5" w:rsidRPr="00C9026A">
        <w:t xml:space="preserve"> The application of </w:t>
      </w:r>
      <w:r w:rsidR="00437DFD">
        <w:t xml:space="preserve">different </w:t>
      </w:r>
      <w:r w:rsidR="00ED55B5" w:rsidRPr="00C9026A">
        <w:t xml:space="preserve">dose coefficients for </w:t>
      </w:r>
      <w:r w:rsidR="00437DFD">
        <w:t xml:space="preserve">different </w:t>
      </w:r>
      <w:r w:rsidR="00ED55B5" w:rsidRPr="00C9026A">
        <w:t xml:space="preserve">age groups </w:t>
      </w:r>
      <w:r w:rsidR="00CD5346" w:rsidRPr="00C9026A">
        <w:t>should</w:t>
      </w:r>
      <w:r w:rsidR="00ED55B5" w:rsidRPr="00C9026A">
        <w:t xml:space="preserve"> be weighed in relation to the ability to predict concentrations </w:t>
      </w:r>
      <w:r w:rsidR="004A5B04">
        <w:t xml:space="preserve">of radionuclides </w:t>
      </w:r>
      <w:r w:rsidR="00ED55B5" w:rsidRPr="00C9026A">
        <w:t xml:space="preserve">in the environment from a source and the ability to account for uncertainties in habit data for </w:t>
      </w:r>
      <w:r w:rsidR="004A5B04">
        <w:t xml:space="preserve">the exposed </w:t>
      </w:r>
      <w:r w:rsidR="00ED55B5" w:rsidRPr="00C9026A">
        <w:t xml:space="preserve">individuals. Uncertainties in estimates of dose, particularly for prospective calculations, are generally not reduced significantly by increasing the number of age </w:t>
      </w:r>
      <w:r w:rsidR="004A5B04">
        <w:t>groups</w:t>
      </w:r>
      <w:r w:rsidR="004A5B04" w:rsidRPr="00C9026A">
        <w:t xml:space="preserve"> </w:t>
      </w:r>
      <w:r w:rsidR="00ED55B5" w:rsidRPr="00C9026A">
        <w:t xml:space="preserve">for which dose coefficients </w:t>
      </w:r>
      <w:r w:rsidR="004A5B04">
        <w:t>are</w:t>
      </w:r>
      <w:r w:rsidR="00ED55B5" w:rsidRPr="00C9026A">
        <w:t xml:space="preserve"> provided [</w:t>
      </w:r>
      <w:r w:rsidR="002E182F" w:rsidRPr="00C9026A">
        <w:t>4</w:t>
      </w:r>
      <w:r w:rsidR="003E5DDD">
        <w:t>4</w:t>
      </w:r>
      <w:r w:rsidR="00ED55B5" w:rsidRPr="00C9026A">
        <w:t>].</w:t>
      </w:r>
      <w:r w:rsidR="005E610C">
        <w:t xml:space="preserve"> The </w:t>
      </w:r>
      <w:r w:rsidR="004A5B04">
        <w:t xml:space="preserve">specification </w:t>
      </w:r>
      <w:r w:rsidR="005E610C">
        <w:t>of the age groups should be based on the exposure scenarios for the facility and activity at the site under consideration</w:t>
      </w:r>
      <w:r w:rsidR="00627C09">
        <w:t>. G</w:t>
      </w:r>
      <w:r w:rsidR="005E610C">
        <w:t>enerally</w:t>
      </w:r>
      <w:r w:rsidR="004A5B04">
        <w:t>,</w:t>
      </w:r>
      <w:r w:rsidR="005E610C">
        <w:t xml:space="preserve"> </w:t>
      </w:r>
      <w:r w:rsidR="00D87BCE">
        <w:t xml:space="preserve">calculation of doses for </w:t>
      </w:r>
      <w:r w:rsidR="004A5B04">
        <w:t>between two and four</w:t>
      </w:r>
      <w:r w:rsidR="005E610C">
        <w:t xml:space="preserve"> age groups should be sufficient in most cases</w:t>
      </w:r>
      <w:r w:rsidR="00F311BC" w:rsidRPr="00F311BC">
        <w:rPr>
          <w:rFonts w:eastAsia="Calibri"/>
          <w:bCs w:val="0"/>
          <w:szCs w:val="24"/>
        </w:rPr>
        <w:t xml:space="preserve"> </w:t>
      </w:r>
      <w:r w:rsidR="00F311BC" w:rsidRPr="00F311BC">
        <w:t>(</w:t>
      </w:r>
      <w:r w:rsidR="00F311BC">
        <w:t xml:space="preserve">for example, </w:t>
      </w:r>
      <w:r w:rsidR="00F311BC" w:rsidRPr="00F311BC">
        <w:t xml:space="preserve">1 </w:t>
      </w:r>
      <w:r w:rsidR="004A5B04">
        <w:t xml:space="preserve">year old infants, </w:t>
      </w:r>
      <w:r w:rsidR="00F311BC" w:rsidRPr="00F311BC">
        <w:t>10 year old children</w:t>
      </w:r>
      <w:r w:rsidR="004D3D2C">
        <w:t>,</w:t>
      </w:r>
      <w:r w:rsidR="00F311BC" w:rsidRPr="00F311BC">
        <w:t xml:space="preserve"> and adults)</w:t>
      </w:r>
      <w:r w:rsidR="00446784">
        <w:t xml:space="preserve">. Exposures </w:t>
      </w:r>
      <w:r w:rsidR="00437DFD">
        <w:t xml:space="preserve">of </w:t>
      </w:r>
      <w:r w:rsidR="00F311BC" w:rsidRPr="00F311BC">
        <w:t>the embryo</w:t>
      </w:r>
      <w:r w:rsidR="00437DFD">
        <w:t xml:space="preserve"> or</w:t>
      </w:r>
      <w:r w:rsidR="00B82793">
        <w:t xml:space="preserve"> </w:t>
      </w:r>
      <w:proofErr w:type="spellStart"/>
      <w:r w:rsidR="00F311BC" w:rsidRPr="00F311BC">
        <w:t>fetus</w:t>
      </w:r>
      <w:proofErr w:type="spellEnd"/>
      <w:r w:rsidR="00F311BC" w:rsidRPr="00F311BC">
        <w:t xml:space="preserve"> and </w:t>
      </w:r>
      <w:r w:rsidR="00437DFD">
        <w:t xml:space="preserve">of </w:t>
      </w:r>
      <w:r w:rsidR="00F311BC" w:rsidRPr="00F311BC">
        <w:t xml:space="preserve">breast fed infants </w:t>
      </w:r>
      <w:r w:rsidR="00446784">
        <w:t xml:space="preserve">may need to be </w:t>
      </w:r>
      <w:r w:rsidR="00F311BC" w:rsidRPr="00F311BC">
        <w:t>considered</w:t>
      </w:r>
      <w:r w:rsidR="004A5B04">
        <w:t xml:space="preserve"> separately</w:t>
      </w:r>
      <w:r w:rsidR="00604EF5">
        <w:t xml:space="preserve">, </w:t>
      </w:r>
      <w:r w:rsidR="00B82793">
        <w:t>in</w:t>
      </w:r>
      <w:r w:rsidR="00446784">
        <w:t xml:space="preserve"> particular </w:t>
      </w:r>
      <w:r w:rsidR="00A822A7">
        <w:t>if discharges</w:t>
      </w:r>
      <w:r w:rsidR="00D87BCE">
        <w:t xml:space="preserve"> of </w:t>
      </w:r>
      <w:r w:rsidR="000B1056" w:rsidRPr="00C10D10">
        <w:rPr>
          <w:szCs w:val="24"/>
        </w:rPr>
        <w:t>radioiodine</w:t>
      </w:r>
      <w:r w:rsidR="000B1056">
        <w:rPr>
          <w:szCs w:val="24"/>
        </w:rPr>
        <w:t xml:space="preserve"> </w:t>
      </w:r>
      <w:r w:rsidR="00D87BCE">
        <w:rPr>
          <w:szCs w:val="24"/>
        </w:rPr>
        <w:t>a</w:t>
      </w:r>
      <w:r w:rsidR="000B1056">
        <w:rPr>
          <w:szCs w:val="24"/>
        </w:rPr>
        <w:t>re</w:t>
      </w:r>
      <w:r w:rsidR="00D87BCE">
        <w:rPr>
          <w:szCs w:val="24"/>
        </w:rPr>
        <w:t xml:space="preserve"> significant</w:t>
      </w:r>
      <w:r w:rsidR="005E610C">
        <w:t>.</w:t>
      </w:r>
    </w:p>
    <w:p w:rsidR="006026C5" w:rsidRPr="00C9026A" w:rsidRDefault="003D6C97" w:rsidP="00A57A35">
      <w:pPr>
        <w:pStyle w:val="Heading3"/>
        <w:rPr>
          <w:lang w:val="en-GB"/>
        </w:rPr>
      </w:pPr>
      <w:bookmarkStart w:id="68" w:name="_Toc447613489"/>
      <w:bookmarkStart w:id="69" w:name="_Toc450204012"/>
      <w:r w:rsidRPr="00C9026A">
        <w:rPr>
          <w:lang w:val="en-GB"/>
        </w:rPr>
        <w:lastRenderedPageBreak/>
        <w:t xml:space="preserve">Comparison of </w:t>
      </w:r>
      <w:r w:rsidR="00C0646F">
        <w:rPr>
          <w:lang w:val="en-GB"/>
        </w:rPr>
        <w:t xml:space="preserve">estimated </w:t>
      </w:r>
      <w:r w:rsidRPr="00C9026A">
        <w:rPr>
          <w:lang w:val="en-GB"/>
        </w:rPr>
        <w:t xml:space="preserve">doses </w:t>
      </w:r>
      <w:r w:rsidR="00806432" w:rsidRPr="00C9026A">
        <w:rPr>
          <w:lang w:val="en-GB"/>
        </w:rPr>
        <w:t>with</w:t>
      </w:r>
      <w:r w:rsidRPr="00C9026A">
        <w:rPr>
          <w:lang w:val="en-GB"/>
        </w:rPr>
        <w:t xml:space="preserve"> </w:t>
      </w:r>
      <w:r w:rsidR="00C0646F">
        <w:rPr>
          <w:lang w:val="en-GB"/>
        </w:rPr>
        <w:t xml:space="preserve">dose </w:t>
      </w:r>
      <w:r w:rsidR="006026C5" w:rsidRPr="00C9026A">
        <w:rPr>
          <w:lang w:val="en-GB"/>
        </w:rPr>
        <w:t>constraint</w:t>
      </w:r>
      <w:r w:rsidR="00C0646F">
        <w:rPr>
          <w:lang w:val="en-GB"/>
        </w:rPr>
        <w:t>s</w:t>
      </w:r>
      <w:r w:rsidR="006026C5" w:rsidRPr="00C9026A">
        <w:rPr>
          <w:lang w:val="en-GB"/>
        </w:rPr>
        <w:t xml:space="preserve"> and</w:t>
      </w:r>
      <w:r w:rsidR="00C0646F">
        <w:rPr>
          <w:lang w:val="en-GB"/>
        </w:rPr>
        <w:t xml:space="preserve"> dose</w:t>
      </w:r>
      <w:r w:rsidR="006026C5" w:rsidRPr="00C9026A">
        <w:rPr>
          <w:lang w:val="en-GB"/>
        </w:rPr>
        <w:t xml:space="preserve"> limits</w:t>
      </w:r>
      <w:bookmarkEnd w:id="68"/>
      <w:bookmarkEnd w:id="69"/>
    </w:p>
    <w:p w:rsidR="00C502C1" w:rsidRPr="00C9026A" w:rsidRDefault="00CB31E6" w:rsidP="00A57A35">
      <w:pPr>
        <w:pStyle w:val="Heading4"/>
        <w:ind w:left="0"/>
      </w:pPr>
      <w:r w:rsidRPr="00C9026A">
        <w:t>For the purpose</w:t>
      </w:r>
      <w:r w:rsidR="004A5B04">
        <w:t>s</w:t>
      </w:r>
      <w:r w:rsidRPr="00C9026A">
        <w:t xml:space="preserve"> of comparison with the dose estimations</w:t>
      </w:r>
      <w:r w:rsidR="00A3142D" w:rsidRPr="00C9026A">
        <w:t>,</w:t>
      </w:r>
      <w:r w:rsidRPr="00C9026A">
        <w:t xml:space="preserve"> t</w:t>
      </w:r>
      <w:r w:rsidR="00FA7B4D" w:rsidRPr="00C9026A">
        <w:t xml:space="preserve">he </w:t>
      </w:r>
      <w:r w:rsidR="00121E3D" w:rsidRPr="00C9026A">
        <w:t xml:space="preserve">government or the </w:t>
      </w:r>
      <w:r w:rsidR="00FA7B4D" w:rsidRPr="00C9026A">
        <w:t xml:space="preserve">regulatory body </w:t>
      </w:r>
      <w:r w:rsidR="00CE6844">
        <w:t>is required to</w:t>
      </w:r>
      <w:r w:rsidR="00CE6844" w:rsidRPr="00C9026A">
        <w:t xml:space="preserve"> </w:t>
      </w:r>
      <w:r w:rsidR="00D87BCE">
        <w:t xml:space="preserve">establish </w:t>
      </w:r>
      <w:r w:rsidR="00D0673C">
        <w:t>or approve</w:t>
      </w:r>
      <w:r w:rsidRPr="00C9026A">
        <w:t xml:space="preserve"> </w:t>
      </w:r>
      <w:r w:rsidR="00CE6844">
        <w:t xml:space="preserve">a </w:t>
      </w:r>
      <w:r w:rsidR="002902D4" w:rsidRPr="00C9026A">
        <w:t xml:space="preserve">dose </w:t>
      </w:r>
      <w:r w:rsidRPr="00C9026A">
        <w:t xml:space="preserve">constraint </w:t>
      </w:r>
      <w:r w:rsidR="009F521C" w:rsidRPr="00C9026A">
        <w:t xml:space="preserve">below the dose limit </w:t>
      </w:r>
      <w:r w:rsidRPr="00C9026A">
        <w:t>for members of the public</w:t>
      </w:r>
      <w:r w:rsidR="007F4172">
        <w:t xml:space="preserve"> </w:t>
      </w:r>
      <w:r w:rsidR="00057906" w:rsidRPr="00C9026A">
        <w:t>[</w:t>
      </w:r>
      <w:r w:rsidR="00C70F5C" w:rsidRPr="00C9026A">
        <w:t>1</w:t>
      </w:r>
      <w:r w:rsidR="00057906" w:rsidRPr="00C9026A">
        <w:t>]</w:t>
      </w:r>
      <w:r w:rsidR="00FA7B4D" w:rsidRPr="00C9026A">
        <w:t>.</w:t>
      </w:r>
      <w:r w:rsidR="00A447A5" w:rsidRPr="00C9026A">
        <w:t xml:space="preserve"> </w:t>
      </w:r>
      <w:r w:rsidR="00B17BE6">
        <w:t>DS432 [</w:t>
      </w:r>
      <w:r w:rsidR="00FC78F5">
        <w:t>7</w:t>
      </w:r>
      <w:r w:rsidR="00B17BE6">
        <w:t>]</w:t>
      </w:r>
      <w:r w:rsidR="00B17BE6" w:rsidRPr="00C9026A">
        <w:t xml:space="preserve"> </w:t>
      </w:r>
      <w:r w:rsidR="00057906" w:rsidRPr="00C9026A">
        <w:t>provide</w:t>
      </w:r>
      <w:r w:rsidR="008D1B74" w:rsidRPr="00C9026A">
        <w:t>s</w:t>
      </w:r>
      <w:r w:rsidR="00057906" w:rsidRPr="00C9026A">
        <w:t xml:space="preserve"> guidance </w:t>
      </w:r>
      <w:r w:rsidR="00B17BE6">
        <w:t>on</w:t>
      </w:r>
      <w:r w:rsidR="00B17BE6" w:rsidRPr="00C9026A">
        <w:t xml:space="preserve"> </w:t>
      </w:r>
      <w:r w:rsidR="00057906" w:rsidRPr="00C9026A">
        <w:t>the definition and use of dose constraint</w:t>
      </w:r>
      <w:r w:rsidR="00CE6844">
        <w:t>s</w:t>
      </w:r>
      <w:r w:rsidR="00057906" w:rsidRPr="00C9026A">
        <w:t xml:space="preserve"> for protection of members of the public in planned exposure situations.</w:t>
      </w:r>
    </w:p>
    <w:p w:rsidR="00013366" w:rsidRPr="00C9026A" w:rsidRDefault="00EA3AE0" w:rsidP="00B17BE6">
      <w:pPr>
        <w:pStyle w:val="Heading4"/>
        <w:ind w:left="0"/>
      </w:pPr>
      <w:r w:rsidRPr="00C9026A">
        <w:t xml:space="preserve">GSR </w:t>
      </w:r>
      <w:r w:rsidR="00D34DBD" w:rsidRPr="00C9026A">
        <w:t xml:space="preserve">Part </w:t>
      </w:r>
      <w:r w:rsidRPr="00C9026A">
        <w:t>3</w:t>
      </w:r>
      <w:r w:rsidR="003D6C97" w:rsidRPr="00C9026A">
        <w:t xml:space="preserve"> </w:t>
      </w:r>
      <w:r w:rsidR="00057906" w:rsidRPr="00C9026A">
        <w:t>[</w:t>
      </w:r>
      <w:r w:rsidR="006358D4" w:rsidRPr="00C9026A">
        <w:t>1</w:t>
      </w:r>
      <w:r w:rsidR="00057906" w:rsidRPr="00C9026A">
        <w:t xml:space="preserve">] </w:t>
      </w:r>
      <w:r w:rsidR="00B17BE6">
        <w:t xml:space="preserve">requires </w:t>
      </w:r>
      <w:r w:rsidR="00B82793">
        <w:t xml:space="preserve">an </w:t>
      </w:r>
      <w:r w:rsidR="00ED2C66">
        <w:t xml:space="preserve">annual </w:t>
      </w:r>
      <w:r w:rsidR="00EB3D26" w:rsidRPr="00C9026A">
        <w:t xml:space="preserve">effective </w:t>
      </w:r>
      <w:r w:rsidR="003D6C97" w:rsidRPr="00C9026A">
        <w:t>dose of 1</w:t>
      </w:r>
      <w:r w:rsidR="009C2236" w:rsidRPr="00C9026A">
        <w:t xml:space="preserve"> </w:t>
      </w:r>
      <w:proofErr w:type="spellStart"/>
      <w:r w:rsidR="003D6C97" w:rsidRPr="00C9026A">
        <w:t>mSv</w:t>
      </w:r>
      <w:proofErr w:type="spellEnd"/>
      <w:r w:rsidR="00010A39">
        <w:t xml:space="preserve"> </w:t>
      </w:r>
      <w:r w:rsidR="000E55CC">
        <w:t xml:space="preserve">to </w:t>
      </w:r>
      <w:r w:rsidR="00B17BE6">
        <w:t xml:space="preserve">be set </w:t>
      </w:r>
      <w:r w:rsidR="00010A39">
        <w:t xml:space="preserve">as a limit </w:t>
      </w:r>
      <w:r w:rsidR="003D6C97" w:rsidRPr="00C9026A">
        <w:t>for members of the public</w:t>
      </w:r>
      <w:r w:rsidR="00010A39">
        <w:t xml:space="preserve"> in planned exposure situations</w:t>
      </w:r>
      <w:r w:rsidR="003D6C97" w:rsidRPr="00C9026A">
        <w:t>.</w:t>
      </w:r>
      <w:r w:rsidR="00D0673C">
        <w:t xml:space="preserve"> In </w:t>
      </w:r>
      <w:r w:rsidR="008454ED">
        <w:t xml:space="preserve">special circumstances, a higher value in a single year could apply if the average dose during five consecutive years does not exceed 1 </w:t>
      </w:r>
      <w:proofErr w:type="spellStart"/>
      <w:r w:rsidR="008454ED">
        <w:t>mSv</w:t>
      </w:r>
      <w:proofErr w:type="spellEnd"/>
      <w:r w:rsidR="008454ED">
        <w:t>.</w:t>
      </w:r>
      <w:r w:rsidR="00057906" w:rsidRPr="00C9026A">
        <w:t xml:space="preserve"> Dose constraints should </w:t>
      </w:r>
      <w:r w:rsidR="00CE6844">
        <w:t>be selected</w:t>
      </w:r>
      <w:r w:rsidR="00CE6844" w:rsidRPr="00C9026A">
        <w:t xml:space="preserve"> </w:t>
      </w:r>
      <w:r w:rsidR="00CE6844">
        <w:t xml:space="preserve">to </w:t>
      </w:r>
      <w:r w:rsidR="00057906" w:rsidRPr="00C9026A">
        <w:t>fall within the range of 0.1</w:t>
      </w:r>
      <w:r w:rsidR="00D24871">
        <w:t xml:space="preserve"> </w:t>
      </w:r>
      <w:r w:rsidR="00B17BE6">
        <w:t xml:space="preserve">to &lt; </w:t>
      </w:r>
      <w:r w:rsidR="00057906" w:rsidRPr="00C9026A">
        <w:t xml:space="preserve">1 </w:t>
      </w:r>
      <w:proofErr w:type="spellStart"/>
      <w:r w:rsidR="00057906" w:rsidRPr="00C9026A">
        <w:t>mSv</w:t>
      </w:r>
      <w:proofErr w:type="spellEnd"/>
      <w:r w:rsidR="00057906" w:rsidRPr="00C9026A">
        <w:t xml:space="preserve"> </w:t>
      </w:r>
      <w:r w:rsidR="00D24871">
        <w:t xml:space="preserve">in a year </w:t>
      </w:r>
      <w:r w:rsidR="00B46EE1" w:rsidRPr="00C9026A">
        <w:t>and could be different for different facilities and activities or exposure scenarios</w:t>
      </w:r>
      <w:r w:rsidR="008F5369">
        <w:t xml:space="preserve"> </w:t>
      </w:r>
      <w:r w:rsidR="008F5369" w:rsidRPr="00C9026A">
        <w:t>[</w:t>
      </w:r>
      <w:r w:rsidR="00FC78F5">
        <w:t>7</w:t>
      </w:r>
      <w:r w:rsidR="008F5369" w:rsidRPr="00C9026A">
        <w:t>]</w:t>
      </w:r>
      <w:r w:rsidR="00057906" w:rsidRPr="00C9026A">
        <w:t>.</w:t>
      </w:r>
      <w:r w:rsidR="00EB3D26" w:rsidRPr="00C9026A">
        <w:t xml:space="preserve"> </w:t>
      </w:r>
      <w:r w:rsidR="00121E3D" w:rsidRPr="00C9026A">
        <w:t xml:space="preserve">The government or the regulatory body </w:t>
      </w:r>
      <w:r w:rsidR="001B4E3D" w:rsidRPr="00C9026A">
        <w:t>may</w:t>
      </w:r>
      <w:r w:rsidR="00121E3D" w:rsidRPr="00C9026A">
        <w:t xml:space="preserve"> define a</w:t>
      </w:r>
      <w:r w:rsidR="001B4E3D" w:rsidRPr="00C9026A">
        <w:t xml:space="preserve"> generic</w:t>
      </w:r>
      <w:r w:rsidR="005D4CFA" w:rsidRPr="00C9026A">
        <w:t xml:space="preserve"> </w:t>
      </w:r>
      <w:r w:rsidR="00121E3D" w:rsidRPr="00C9026A">
        <w:t xml:space="preserve">value for </w:t>
      </w:r>
      <w:r w:rsidR="00B17BE6">
        <w:t xml:space="preserve">the </w:t>
      </w:r>
      <w:r w:rsidR="00121E3D" w:rsidRPr="00C9026A">
        <w:t xml:space="preserve">dose constraint for </w:t>
      </w:r>
      <w:r w:rsidR="00B17BE6">
        <w:t>certain types of facility or</w:t>
      </w:r>
      <w:r w:rsidR="00B17BE6" w:rsidRPr="00C9026A">
        <w:t xml:space="preserve"> </w:t>
      </w:r>
      <w:r w:rsidR="00121E3D" w:rsidRPr="00C9026A">
        <w:t>activit</w:t>
      </w:r>
      <w:r w:rsidR="00B17BE6">
        <w:t>y</w:t>
      </w:r>
      <w:r w:rsidR="00121E3D" w:rsidRPr="00C9026A">
        <w:t xml:space="preserve"> </w:t>
      </w:r>
      <w:r w:rsidR="008454ED">
        <w:t xml:space="preserve">and a specific </w:t>
      </w:r>
      <w:r w:rsidR="008F5369">
        <w:t xml:space="preserve">dose </w:t>
      </w:r>
      <w:r w:rsidR="008454ED">
        <w:t>constrain</w:t>
      </w:r>
      <w:r w:rsidR="00B82793">
        <w:t>t</w:t>
      </w:r>
      <w:r w:rsidR="008454ED">
        <w:t xml:space="preserve"> (above or below the generic constrain</w:t>
      </w:r>
      <w:r w:rsidR="00B82793">
        <w:t>t</w:t>
      </w:r>
      <w:r w:rsidR="008454ED">
        <w:t>) for a particular case [</w:t>
      </w:r>
      <w:r w:rsidR="00FC78F5">
        <w:t>9</w:t>
      </w:r>
      <w:r w:rsidR="008454ED">
        <w:t>]</w:t>
      </w:r>
      <w:r w:rsidR="00121E3D" w:rsidRPr="00C9026A">
        <w:t>.</w:t>
      </w:r>
    </w:p>
    <w:p w:rsidR="006026C5" w:rsidRPr="00C9026A" w:rsidRDefault="008B448C" w:rsidP="00A57A35">
      <w:pPr>
        <w:pStyle w:val="Heading4"/>
        <w:ind w:left="0"/>
      </w:pPr>
      <w:r w:rsidRPr="00C9026A">
        <w:t>Because dose constraints refer</w:t>
      </w:r>
      <w:r w:rsidR="00013366" w:rsidRPr="00C9026A">
        <w:t xml:space="preserve"> to a single source, the regulatory body</w:t>
      </w:r>
      <w:r w:rsidR="00F565BB">
        <w:t>, when setting the specific dose constraint for a facility or activity,</w:t>
      </w:r>
      <w:r w:rsidR="00013366" w:rsidRPr="00C9026A">
        <w:t xml:space="preserve"> </w:t>
      </w:r>
      <w:r w:rsidR="00CD5346" w:rsidRPr="00C9026A">
        <w:t>should</w:t>
      </w:r>
      <w:r w:rsidR="00013366" w:rsidRPr="00C9026A">
        <w:t xml:space="preserve"> take account of the possible contribution to the dose</w:t>
      </w:r>
      <w:r w:rsidR="00C143FE">
        <w:t xml:space="preserve"> </w:t>
      </w:r>
      <w:r w:rsidR="00F565BB">
        <w:t xml:space="preserve">to </w:t>
      </w:r>
      <w:r w:rsidR="00C143FE">
        <w:t>the representative person</w:t>
      </w:r>
      <w:r w:rsidR="00013366" w:rsidRPr="00C9026A">
        <w:t xml:space="preserve"> </w:t>
      </w:r>
      <w:r w:rsidR="00F565BB">
        <w:t>from</w:t>
      </w:r>
      <w:r w:rsidR="00F565BB" w:rsidRPr="00C9026A">
        <w:t xml:space="preserve"> </w:t>
      </w:r>
      <w:r w:rsidR="00207DD5" w:rsidRPr="00C9026A">
        <w:t xml:space="preserve">other </w:t>
      </w:r>
      <w:r w:rsidR="00B17BE6">
        <w:t>facilities</w:t>
      </w:r>
      <w:r w:rsidR="00B17BE6" w:rsidRPr="00C9026A">
        <w:t xml:space="preserve"> </w:t>
      </w:r>
      <w:r w:rsidR="00F27C13">
        <w:t xml:space="preserve">or activities </w:t>
      </w:r>
      <w:r w:rsidR="00013366" w:rsidRPr="00C9026A">
        <w:t xml:space="preserve">located </w:t>
      </w:r>
      <w:r w:rsidR="000E6BF4">
        <w:t xml:space="preserve">in the vicinity or </w:t>
      </w:r>
      <w:r w:rsidR="00B17BE6">
        <w:t>on</w:t>
      </w:r>
      <w:r w:rsidR="00B17BE6" w:rsidRPr="00C9026A">
        <w:t xml:space="preserve"> </w:t>
      </w:r>
      <w:r w:rsidR="00013366" w:rsidRPr="00C9026A">
        <w:t>the same</w:t>
      </w:r>
      <w:r w:rsidR="00207DD5" w:rsidRPr="00C9026A">
        <w:t xml:space="preserve"> site</w:t>
      </w:r>
      <w:r w:rsidR="00013366" w:rsidRPr="00C9026A">
        <w:t>.</w:t>
      </w:r>
    </w:p>
    <w:p w:rsidR="007E7A99" w:rsidRPr="008F5369" w:rsidRDefault="00B17BE6" w:rsidP="00A57A35">
      <w:pPr>
        <w:pStyle w:val="Heading4"/>
        <w:ind w:left="0"/>
        <w:rPr>
          <w:szCs w:val="24"/>
          <w:lang w:eastAsia="en-GB"/>
        </w:rPr>
      </w:pPr>
      <w:r>
        <w:t>As part of</w:t>
      </w:r>
      <w:r w:rsidRPr="00C9026A">
        <w:t xml:space="preserve"> </w:t>
      </w:r>
      <w:r w:rsidR="00A8047E" w:rsidRPr="00C9026A">
        <w:t xml:space="preserve">a </w:t>
      </w:r>
      <w:r w:rsidR="00F25A9A" w:rsidRPr="00C9026A">
        <w:t xml:space="preserve">governmental </w:t>
      </w:r>
      <w:r w:rsidR="00A8047E" w:rsidRPr="00C9026A">
        <w:t>decision</w:t>
      </w:r>
      <w:r>
        <w:t xml:space="preserve"> </w:t>
      </w:r>
      <w:r w:rsidR="00F25A9A" w:rsidRPr="00C9026A">
        <w:t>making</w:t>
      </w:r>
      <w:r w:rsidR="009D07EA" w:rsidRPr="00C9026A">
        <w:t xml:space="preserve"> process</w:t>
      </w:r>
      <w:r w:rsidR="00F25A9A" w:rsidRPr="00C9026A">
        <w:t xml:space="preserve"> </w:t>
      </w:r>
      <w:r w:rsidR="00A8047E" w:rsidRPr="00C9026A">
        <w:t xml:space="preserve">or </w:t>
      </w:r>
      <w:r>
        <w:t xml:space="preserve">at </w:t>
      </w:r>
      <w:r w:rsidR="001B7AD7" w:rsidRPr="00C9026A">
        <w:t xml:space="preserve">an early stage of </w:t>
      </w:r>
      <w:r w:rsidR="00FF0A30" w:rsidRPr="00C9026A">
        <w:t>a</w:t>
      </w:r>
      <w:r w:rsidR="008F5369">
        <w:t>n</w:t>
      </w:r>
      <w:r w:rsidR="00F25A9A" w:rsidRPr="00C9026A">
        <w:t xml:space="preserve"> </w:t>
      </w:r>
      <w:r w:rsidR="00A0632E" w:rsidRPr="00C9026A">
        <w:t>authorization process,</w:t>
      </w:r>
      <w:r w:rsidR="00790CE7" w:rsidRPr="00C9026A">
        <w:t xml:space="preserve"> </w:t>
      </w:r>
      <w:r w:rsidR="00F565BB">
        <w:t>a</w:t>
      </w:r>
      <w:r w:rsidR="00F565BB" w:rsidRPr="00C9026A">
        <w:t xml:space="preserve"> </w:t>
      </w:r>
      <w:r w:rsidR="00197FD1" w:rsidRPr="00C9026A">
        <w:t xml:space="preserve">generic </w:t>
      </w:r>
      <w:r w:rsidR="006358D4" w:rsidRPr="00C9026A">
        <w:t xml:space="preserve">value of a </w:t>
      </w:r>
      <w:r w:rsidR="006026C5" w:rsidRPr="00C9026A">
        <w:t>dose constraint</w:t>
      </w:r>
      <w:r w:rsidR="006358D4" w:rsidRPr="00C9026A">
        <w:t xml:space="preserve"> for different types of </w:t>
      </w:r>
      <w:r>
        <w:t xml:space="preserve">facility or </w:t>
      </w:r>
      <w:r w:rsidR="006358D4" w:rsidRPr="00C9026A">
        <w:t>activit</w:t>
      </w:r>
      <w:r>
        <w:t>y</w:t>
      </w:r>
      <w:r w:rsidR="00F25A9A" w:rsidRPr="00C9026A">
        <w:t xml:space="preserve"> </w:t>
      </w:r>
      <w:r w:rsidR="006358D4" w:rsidRPr="00C9026A">
        <w:t xml:space="preserve">(i.e. </w:t>
      </w:r>
      <w:r w:rsidR="00C70F5C" w:rsidRPr="00C9026A">
        <w:t xml:space="preserve">for </w:t>
      </w:r>
      <w:r w:rsidR="00A630D0" w:rsidRPr="00C9026A">
        <w:t xml:space="preserve">nuclear </w:t>
      </w:r>
      <w:r w:rsidR="006358D4" w:rsidRPr="00C9026A">
        <w:t>fuel cycle facilities)</w:t>
      </w:r>
      <w:r w:rsidR="00F25A9A" w:rsidRPr="00C9026A">
        <w:t xml:space="preserve"> [</w:t>
      </w:r>
      <w:r w:rsidR="00FC78F5">
        <w:t>7</w:t>
      </w:r>
      <w:r w:rsidR="001B7AD7" w:rsidRPr="00C9026A">
        <w:t xml:space="preserve">, </w:t>
      </w:r>
      <w:r w:rsidR="00FC78F5">
        <w:t>9</w:t>
      </w:r>
      <w:r w:rsidR="00F25A9A" w:rsidRPr="00C9026A">
        <w:t>]</w:t>
      </w:r>
      <w:r w:rsidR="006026C5" w:rsidRPr="00C9026A">
        <w:t xml:space="preserve"> </w:t>
      </w:r>
      <w:r w:rsidR="00121E3D" w:rsidRPr="00C9026A">
        <w:t xml:space="preserve">could </w:t>
      </w:r>
      <w:r w:rsidR="009E0474" w:rsidRPr="00C9026A">
        <w:t>be used</w:t>
      </w:r>
      <w:r w:rsidR="00A0632E" w:rsidRPr="00C9026A">
        <w:t xml:space="preserve"> for comparison with the results of the </w:t>
      </w:r>
      <w:r w:rsidR="00790CE7" w:rsidRPr="00C9026A">
        <w:t xml:space="preserve">initial </w:t>
      </w:r>
      <w:r w:rsidR="00F25A9A" w:rsidRPr="00C9026A">
        <w:t xml:space="preserve">radiological environmental impact </w:t>
      </w:r>
      <w:r w:rsidR="00A0632E" w:rsidRPr="00C9026A">
        <w:t>assessment</w:t>
      </w:r>
      <w:r w:rsidR="006026C5" w:rsidRPr="00C9026A">
        <w:t>.</w:t>
      </w:r>
      <w:r w:rsidR="0059029A" w:rsidRPr="00C9026A">
        <w:t xml:space="preserve"> </w:t>
      </w:r>
      <w:r w:rsidR="00A0632E" w:rsidRPr="00C9026A">
        <w:t>Later</w:t>
      </w:r>
      <w:r w:rsidR="00F565BB">
        <w:t>,</w:t>
      </w:r>
      <w:r w:rsidR="00A0632E" w:rsidRPr="00C9026A">
        <w:t xml:space="preserve"> </w:t>
      </w:r>
      <w:r w:rsidR="00790CE7" w:rsidRPr="00C9026A">
        <w:t xml:space="preserve">the results of the </w:t>
      </w:r>
      <w:r w:rsidRPr="00C9026A">
        <w:t xml:space="preserve">radiological environmental impact </w:t>
      </w:r>
      <w:r w:rsidR="00790CE7" w:rsidRPr="00C9026A">
        <w:t xml:space="preserve">assessment should be compared with the specific </w:t>
      </w:r>
      <w:r w:rsidR="00F25A9A" w:rsidRPr="00C9026A">
        <w:t xml:space="preserve">dose </w:t>
      </w:r>
      <w:r w:rsidR="00197FD1" w:rsidRPr="00C9026A">
        <w:t xml:space="preserve">constraint </w:t>
      </w:r>
      <w:r w:rsidR="00790CE7" w:rsidRPr="00C9026A">
        <w:t xml:space="preserve">for the </w:t>
      </w:r>
      <w:r w:rsidR="00027DE3">
        <w:t xml:space="preserve">facility or </w:t>
      </w:r>
      <w:r w:rsidR="00790CE7" w:rsidRPr="00C9026A">
        <w:t>activity under consideration</w:t>
      </w:r>
      <w:r w:rsidR="00197FD1" w:rsidRPr="00C9026A">
        <w:t>,</w:t>
      </w:r>
      <w:r w:rsidR="00790CE7" w:rsidRPr="00C9026A">
        <w:t xml:space="preserve"> </w:t>
      </w:r>
      <w:r w:rsidR="00197FD1" w:rsidRPr="00C9026A">
        <w:t xml:space="preserve">as </w:t>
      </w:r>
      <w:r w:rsidR="00790CE7" w:rsidRPr="00C9026A">
        <w:t>defined by the regulatory body</w:t>
      </w:r>
      <w:r w:rsidR="00B03AFB" w:rsidRPr="00C9026A">
        <w:t>.</w:t>
      </w:r>
    </w:p>
    <w:p w:rsidR="00640C97" w:rsidRPr="00C9026A" w:rsidRDefault="006026C5" w:rsidP="00A57A35">
      <w:pPr>
        <w:pStyle w:val="Heading4"/>
        <w:ind w:left="0"/>
      </w:pPr>
      <w:r w:rsidRPr="00C9026A">
        <w:t>When considering transboundary impacts</w:t>
      </w:r>
      <w:r w:rsidR="00B17BE6">
        <w:t>,</w:t>
      </w:r>
      <w:r w:rsidRPr="00C9026A">
        <w:t xml:space="preserve"> the criteria used for </w:t>
      </w:r>
      <w:r w:rsidR="00BD315E" w:rsidRPr="00C9026A">
        <w:t>the assessment of the level of protection</w:t>
      </w:r>
      <w:r w:rsidRPr="00C9026A">
        <w:t xml:space="preserve"> </w:t>
      </w:r>
      <w:r w:rsidR="000F48A6" w:rsidRPr="00C9026A">
        <w:t xml:space="preserve">in other States </w:t>
      </w:r>
      <w:r w:rsidR="00CD5346" w:rsidRPr="00C9026A">
        <w:t>should</w:t>
      </w:r>
      <w:r w:rsidRPr="00C9026A">
        <w:t xml:space="preserve"> be </w:t>
      </w:r>
      <w:r w:rsidR="000F48A6" w:rsidRPr="00C9026A">
        <w:t xml:space="preserve">in line with the criteria </w:t>
      </w:r>
      <w:r w:rsidR="00F469C7">
        <w:t>set out</w:t>
      </w:r>
      <w:r w:rsidR="00F469C7" w:rsidRPr="00C9026A">
        <w:t xml:space="preserve"> </w:t>
      </w:r>
      <w:r w:rsidR="000F48A6" w:rsidRPr="00C9026A">
        <w:t xml:space="preserve">in this </w:t>
      </w:r>
      <w:r w:rsidR="00F469C7">
        <w:t>S</w:t>
      </w:r>
      <w:r w:rsidR="000F48A6" w:rsidRPr="00C9026A">
        <w:t xml:space="preserve">afety </w:t>
      </w:r>
      <w:r w:rsidR="00F469C7">
        <w:t>G</w:t>
      </w:r>
      <w:r w:rsidR="000F48A6" w:rsidRPr="00C9026A">
        <w:t xml:space="preserve">uide and, </w:t>
      </w:r>
      <w:r w:rsidR="00027DE3">
        <w:t>should</w:t>
      </w:r>
      <w:r w:rsidR="00272907" w:rsidRPr="00C9026A">
        <w:t xml:space="preserve"> be </w:t>
      </w:r>
      <w:r w:rsidRPr="00C9026A">
        <w:t>the same</w:t>
      </w:r>
      <w:r w:rsidR="000F48A6" w:rsidRPr="00C9026A">
        <w:t xml:space="preserve"> </w:t>
      </w:r>
      <w:r w:rsidR="00B17BE6">
        <w:t xml:space="preserve">as those </w:t>
      </w:r>
      <w:r w:rsidR="000F48A6" w:rsidRPr="00C9026A">
        <w:t xml:space="preserve">used </w:t>
      </w:r>
      <w:r w:rsidR="00F565BB">
        <w:t>for</w:t>
      </w:r>
      <w:r w:rsidR="00F565BB" w:rsidRPr="00C9026A">
        <w:t xml:space="preserve"> </w:t>
      </w:r>
      <w:r w:rsidR="000F48A6" w:rsidRPr="00C9026A">
        <w:t>the State where the facility or activity is located</w:t>
      </w:r>
      <w:r w:rsidRPr="00C9026A">
        <w:t>.</w:t>
      </w:r>
    </w:p>
    <w:p w:rsidR="006026C5" w:rsidRPr="00C9026A" w:rsidRDefault="00A41423" w:rsidP="00A57A35">
      <w:pPr>
        <w:pStyle w:val="Heading2"/>
      </w:pPr>
      <w:bookmarkStart w:id="70" w:name="_Toc447613490"/>
      <w:bookmarkStart w:id="71" w:name="_Toc450204013"/>
      <w:r w:rsidRPr="00C9026A">
        <w:t xml:space="preserve">Assessment </w:t>
      </w:r>
      <w:r w:rsidR="00384375" w:rsidRPr="00C9026A">
        <w:t>for</w:t>
      </w:r>
      <w:r w:rsidR="00295641" w:rsidRPr="00C9026A">
        <w:t xml:space="preserve"> </w:t>
      </w:r>
      <w:r w:rsidR="00CD447E" w:rsidRPr="00C9026A">
        <w:t xml:space="preserve">protection of the public against </w:t>
      </w:r>
      <w:r w:rsidRPr="00C9026A">
        <w:t xml:space="preserve">potential </w:t>
      </w:r>
      <w:r w:rsidR="00630BDA" w:rsidRPr="00C9026A">
        <w:t>exposures</w:t>
      </w:r>
      <w:bookmarkEnd w:id="70"/>
      <w:bookmarkEnd w:id="71"/>
      <w:r w:rsidR="0059029A" w:rsidRPr="00C9026A">
        <w:t xml:space="preserve"> </w:t>
      </w:r>
    </w:p>
    <w:p w:rsidR="00D36B6F" w:rsidRPr="00C9026A" w:rsidRDefault="00D36B6F" w:rsidP="00A57A35">
      <w:pPr>
        <w:pStyle w:val="Heading4"/>
        <w:ind w:left="0"/>
      </w:pPr>
      <w:r w:rsidRPr="00C9026A">
        <w:t xml:space="preserve">Facilities and activities are designed, </w:t>
      </w:r>
      <w:r w:rsidR="0067675A" w:rsidRPr="00C9026A">
        <w:t>constructed,</w:t>
      </w:r>
      <w:r w:rsidR="00292845" w:rsidRPr="00C9026A">
        <w:t xml:space="preserve"> commissioned,</w:t>
      </w:r>
      <w:r w:rsidR="0067675A" w:rsidRPr="00C9026A">
        <w:t xml:space="preserve"> </w:t>
      </w:r>
      <w:r w:rsidRPr="00C9026A">
        <w:t>operated or conducted</w:t>
      </w:r>
      <w:r w:rsidR="00D6386B" w:rsidRPr="00C9026A">
        <w:t>,</w:t>
      </w:r>
      <w:r w:rsidRPr="00C9026A">
        <w:t xml:space="preserve"> maintained </w:t>
      </w:r>
      <w:r w:rsidR="0067675A" w:rsidRPr="00C9026A">
        <w:t>and decommissioned</w:t>
      </w:r>
      <w:r w:rsidR="001504AE">
        <w:t>,</w:t>
      </w:r>
      <w:r w:rsidR="00A4244F">
        <w:t xml:space="preserve"> </w:t>
      </w:r>
      <w:r w:rsidR="00292845" w:rsidRPr="00C9026A">
        <w:t xml:space="preserve">and </w:t>
      </w:r>
      <w:r w:rsidR="001504AE">
        <w:t xml:space="preserve">are </w:t>
      </w:r>
      <w:r w:rsidR="00292845" w:rsidRPr="00C9026A">
        <w:t xml:space="preserve">regulated throughout all these stages, </w:t>
      </w:r>
      <w:r w:rsidRPr="00C9026A">
        <w:t xml:space="preserve">in </w:t>
      </w:r>
      <w:r w:rsidR="00EB2022">
        <w:t xml:space="preserve">order </w:t>
      </w:r>
      <w:r w:rsidRPr="00C9026A">
        <w:t xml:space="preserve">to prevent </w:t>
      </w:r>
      <w:r w:rsidR="00B660E9" w:rsidRPr="00C9026A">
        <w:t>accidents</w:t>
      </w:r>
      <w:r w:rsidR="001504AE">
        <w:t xml:space="preserve"> and mitigate their consequences</w:t>
      </w:r>
      <w:r w:rsidR="00EB2022">
        <w:t xml:space="preserve">, </w:t>
      </w:r>
      <w:r w:rsidR="0028015E">
        <w:t>and</w:t>
      </w:r>
      <w:r w:rsidR="00F565BB">
        <w:t>,</w:t>
      </w:r>
      <w:r w:rsidR="0028015E">
        <w:t xml:space="preserve"> </w:t>
      </w:r>
      <w:r w:rsidR="00EB2022">
        <w:t>thereby, to avoid or minimize the risk of significant radiological</w:t>
      </w:r>
      <w:r w:rsidRPr="00C9026A">
        <w:t xml:space="preserve"> consequences </w:t>
      </w:r>
      <w:r w:rsidR="00D6386B" w:rsidRPr="00C9026A">
        <w:t>for the</w:t>
      </w:r>
      <w:r w:rsidRPr="00C9026A">
        <w:t xml:space="preserve"> public</w:t>
      </w:r>
      <w:r w:rsidR="00D10053">
        <w:t>,</w:t>
      </w:r>
      <w:r w:rsidR="00CE103F">
        <w:t xml:space="preserve"> </w:t>
      </w:r>
      <w:r w:rsidR="00F73DF8">
        <w:t xml:space="preserve">such as </w:t>
      </w:r>
      <w:r w:rsidR="00CE103F">
        <w:t>deterministic effects</w:t>
      </w:r>
      <w:r w:rsidR="00D10053">
        <w:t xml:space="preserve"> and</w:t>
      </w:r>
      <w:r w:rsidR="00CE103F">
        <w:t xml:space="preserve"> increase</w:t>
      </w:r>
      <w:r w:rsidR="00F01F27">
        <w:t>s</w:t>
      </w:r>
      <w:r w:rsidR="00CE103F">
        <w:t xml:space="preserve"> in stochastic effects</w:t>
      </w:r>
      <w:r w:rsidR="00F01F27">
        <w:t>,</w:t>
      </w:r>
      <w:r w:rsidR="00D10053">
        <w:t xml:space="preserve"> </w:t>
      </w:r>
      <w:r w:rsidR="00CE103F">
        <w:t xml:space="preserve">and adverse effects on the environment and </w:t>
      </w:r>
      <w:r w:rsidR="00F73DF8">
        <w:t xml:space="preserve">on </w:t>
      </w:r>
      <w:r w:rsidR="00CE103F">
        <w:t>property</w:t>
      </w:r>
      <w:r w:rsidRPr="00C9026A">
        <w:t xml:space="preserve"> [</w:t>
      </w:r>
      <w:r w:rsidR="000562FB" w:rsidRPr="00C9026A">
        <w:t xml:space="preserve">1, 2, </w:t>
      </w:r>
      <w:r w:rsidR="002E182F" w:rsidRPr="00C9026A">
        <w:t>4</w:t>
      </w:r>
      <w:r w:rsidR="000F273D">
        <w:t>7</w:t>
      </w:r>
      <w:r w:rsidR="000562FB" w:rsidRPr="00C9026A">
        <w:t xml:space="preserve">, </w:t>
      </w:r>
      <w:r w:rsidR="002E182F" w:rsidRPr="00C9026A">
        <w:t>4</w:t>
      </w:r>
      <w:r w:rsidR="000F273D">
        <w:t>8</w:t>
      </w:r>
      <w:r w:rsidR="00FC2724" w:rsidRPr="00C9026A">
        <w:t>].</w:t>
      </w:r>
      <w:r w:rsidR="00253056" w:rsidRPr="00C9026A">
        <w:t xml:space="preserve"> </w:t>
      </w:r>
    </w:p>
    <w:p w:rsidR="00F63573" w:rsidRPr="00C9026A" w:rsidRDefault="00027DE3" w:rsidP="00A57A35">
      <w:pPr>
        <w:pStyle w:val="Heading4"/>
        <w:ind w:left="0"/>
      </w:pPr>
      <w:r>
        <w:t xml:space="preserve">As part of </w:t>
      </w:r>
      <w:r w:rsidR="0074347C" w:rsidRPr="00C9026A">
        <w:t xml:space="preserve">the safety assessments </w:t>
      </w:r>
      <w:r w:rsidR="0028015E">
        <w:t xml:space="preserve">required to be </w:t>
      </w:r>
      <w:r w:rsidR="0074347C" w:rsidRPr="00C9026A">
        <w:t xml:space="preserve">carried out </w:t>
      </w:r>
      <w:r w:rsidR="00B660E9" w:rsidRPr="00C9026A">
        <w:t xml:space="preserve">for </w:t>
      </w:r>
      <w:r w:rsidR="00BA6D7C" w:rsidRPr="00C9026A">
        <w:t xml:space="preserve">facilities and </w:t>
      </w:r>
      <w:r w:rsidR="00B660E9" w:rsidRPr="00C9026A">
        <w:t xml:space="preserve">activities </w:t>
      </w:r>
      <w:r w:rsidR="00A57A29" w:rsidRPr="00C9026A">
        <w:t>[</w:t>
      </w:r>
      <w:r w:rsidR="001B7AD7" w:rsidRPr="00C9026A">
        <w:t xml:space="preserve">1, </w:t>
      </w:r>
      <w:r w:rsidR="002E182F" w:rsidRPr="00C9026A">
        <w:t>5</w:t>
      </w:r>
      <w:r w:rsidR="00A57A29" w:rsidRPr="00C9026A">
        <w:t>]</w:t>
      </w:r>
      <w:r w:rsidR="0074347C" w:rsidRPr="00C9026A">
        <w:t xml:space="preserve">, various types of </w:t>
      </w:r>
      <w:r w:rsidR="00B660E9" w:rsidRPr="00C9026A">
        <w:t>accident</w:t>
      </w:r>
      <w:r w:rsidR="00A57A29" w:rsidRPr="00C9026A">
        <w:t xml:space="preserve">s are postulated </w:t>
      </w:r>
      <w:r>
        <w:t xml:space="preserve">in order to </w:t>
      </w:r>
      <w:r w:rsidR="00A57A29" w:rsidRPr="00C9026A">
        <w:t xml:space="preserve">identify engineered safety features and </w:t>
      </w:r>
      <w:r w:rsidR="005606AB">
        <w:t xml:space="preserve">operational actions </w:t>
      </w:r>
      <w:r w:rsidR="00A57A29" w:rsidRPr="00C9026A">
        <w:t>to reduce their likelihood and</w:t>
      </w:r>
      <w:r w:rsidR="001504AE">
        <w:t xml:space="preserve">, if an accident does occur, to </w:t>
      </w:r>
      <w:r w:rsidR="00A57A29" w:rsidRPr="00C9026A">
        <w:t xml:space="preserve">mitigate </w:t>
      </w:r>
      <w:r w:rsidR="001504AE">
        <w:t>it</w:t>
      </w:r>
      <w:r w:rsidR="0028015E">
        <w:t>s</w:t>
      </w:r>
      <w:r w:rsidR="001504AE" w:rsidRPr="00C9026A">
        <w:t xml:space="preserve"> </w:t>
      </w:r>
      <w:r w:rsidR="00A57A29" w:rsidRPr="00C9026A">
        <w:t>consequences. These safety assessment</w:t>
      </w:r>
      <w:r w:rsidR="003B0ABF">
        <w:t>s</w:t>
      </w:r>
      <w:r w:rsidR="00A57A29" w:rsidRPr="00C9026A">
        <w:t xml:space="preserve"> enable analys</w:t>
      </w:r>
      <w:r w:rsidR="003B0ABF">
        <w:t>is of</w:t>
      </w:r>
      <w:r w:rsidR="00A57A29" w:rsidRPr="00C9026A">
        <w:t xml:space="preserve"> whether adequate defence in depth has been achieved and give insights </w:t>
      </w:r>
      <w:r w:rsidR="00F565BB">
        <w:t>into</w:t>
      </w:r>
      <w:r w:rsidR="00F565BB" w:rsidRPr="00C9026A">
        <w:t xml:space="preserve"> </w:t>
      </w:r>
      <w:r w:rsidR="00A57A29" w:rsidRPr="00C9026A">
        <w:t xml:space="preserve">the probability of various accidents and the potential source terms (if any) for such </w:t>
      </w:r>
      <w:r w:rsidR="005201D9">
        <w:t xml:space="preserve">accident </w:t>
      </w:r>
      <w:r w:rsidR="0028015E">
        <w:t>scenarios</w:t>
      </w:r>
      <w:r w:rsidR="00C503FC" w:rsidRPr="00C9026A">
        <w:t>, taking into account the safety measures in place and their effectiveness.</w:t>
      </w:r>
      <w:r w:rsidR="0074347C" w:rsidRPr="00C9026A">
        <w:t xml:space="preserve"> </w:t>
      </w:r>
      <w:r w:rsidR="008335AD" w:rsidRPr="00C9026A">
        <w:t>I</w:t>
      </w:r>
      <w:r w:rsidR="00171C52" w:rsidRPr="00C9026A">
        <w:t xml:space="preserve">n order to assess </w:t>
      </w:r>
      <w:r w:rsidR="00AC5C0B" w:rsidRPr="00C9026A">
        <w:t xml:space="preserve">prospectively </w:t>
      </w:r>
      <w:r w:rsidR="008335AD" w:rsidRPr="00C9026A">
        <w:t xml:space="preserve">the </w:t>
      </w:r>
      <w:r w:rsidR="00171C52" w:rsidRPr="00C9026A">
        <w:t xml:space="preserve">potential exposures </w:t>
      </w:r>
      <w:r w:rsidR="0028015E">
        <w:t>of</w:t>
      </w:r>
      <w:r w:rsidR="0028015E" w:rsidRPr="00C9026A">
        <w:t xml:space="preserve"> </w:t>
      </w:r>
      <w:r w:rsidR="00171C52" w:rsidRPr="00C9026A">
        <w:t>members of the public</w:t>
      </w:r>
      <w:r w:rsidR="00DF757A" w:rsidRPr="00C9026A">
        <w:t>,</w:t>
      </w:r>
      <w:r w:rsidR="00D36B6F" w:rsidRPr="00C9026A">
        <w:t xml:space="preserve"> </w:t>
      </w:r>
      <w:r w:rsidR="00DF757A" w:rsidRPr="00C9026A">
        <w:t xml:space="preserve">as required in </w:t>
      </w:r>
      <w:r w:rsidR="0028015E">
        <w:t>GSR Part 3</w:t>
      </w:r>
      <w:r w:rsidR="00C503FC" w:rsidRPr="00C9026A">
        <w:t xml:space="preserve"> </w:t>
      </w:r>
      <w:r w:rsidR="00DF757A" w:rsidRPr="00C9026A">
        <w:t>[</w:t>
      </w:r>
      <w:r w:rsidR="002F0860" w:rsidRPr="00C9026A">
        <w:t>1</w:t>
      </w:r>
      <w:r w:rsidR="00F565BB">
        <w:t>]</w:t>
      </w:r>
      <w:r w:rsidR="002F0860" w:rsidRPr="00C9026A">
        <w:t>,</w:t>
      </w:r>
      <w:r w:rsidR="00F565BB">
        <w:t xml:space="preserve"> SF-1</w:t>
      </w:r>
      <w:r w:rsidR="002F0860" w:rsidRPr="00C9026A">
        <w:t xml:space="preserve"> </w:t>
      </w:r>
      <w:r w:rsidR="00F565BB">
        <w:t>[</w:t>
      </w:r>
      <w:r w:rsidR="002F0860" w:rsidRPr="00C9026A">
        <w:t>2</w:t>
      </w:r>
      <w:r w:rsidR="00F565BB">
        <w:t>]</w:t>
      </w:r>
      <w:r w:rsidR="00DF757A" w:rsidRPr="00C9026A">
        <w:t xml:space="preserve">, </w:t>
      </w:r>
      <w:r w:rsidR="00F565BB">
        <w:t xml:space="preserve">and Safety of Nuclear Power </w:t>
      </w:r>
      <w:r w:rsidR="00F565BB">
        <w:lastRenderedPageBreak/>
        <w:t>Plants: Design, IAEA Safety Standards Series No. SSR-2/1 (Rev.1)</w:t>
      </w:r>
      <w:r w:rsidR="00F565BB" w:rsidRPr="00C9026A">
        <w:t xml:space="preserve"> </w:t>
      </w:r>
      <w:r w:rsidR="00F565BB">
        <w:t>[</w:t>
      </w:r>
      <w:r w:rsidR="002E182F" w:rsidRPr="00C9026A">
        <w:t>4</w:t>
      </w:r>
      <w:r w:rsidR="003A788D">
        <w:t>7</w:t>
      </w:r>
      <w:r w:rsidR="00DF757A" w:rsidRPr="00C9026A">
        <w:t xml:space="preserve">], </w:t>
      </w:r>
      <w:r w:rsidR="00D7716C" w:rsidRPr="00C9026A">
        <w:t>th</w:t>
      </w:r>
      <w:r w:rsidR="008335AD" w:rsidRPr="00C9026A">
        <w:t xml:space="preserve">ose </w:t>
      </w:r>
      <w:r w:rsidR="003E5EA1" w:rsidRPr="00C9026A">
        <w:t>accident</w:t>
      </w:r>
      <w:r w:rsidR="0028015E">
        <w:t xml:space="preserve"> </w:t>
      </w:r>
      <w:r w:rsidR="003E5EA1" w:rsidRPr="00C9026A">
        <w:t>s</w:t>
      </w:r>
      <w:r w:rsidR="0028015E">
        <w:t>cenarios</w:t>
      </w:r>
      <w:r w:rsidR="008335AD" w:rsidRPr="00C9026A">
        <w:t xml:space="preserve">, with the </w:t>
      </w:r>
      <w:r w:rsidR="00F27C13">
        <w:t xml:space="preserve">  probability</w:t>
      </w:r>
      <w:r w:rsidR="0028015E">
        <w:t xml:space="preserve"> of such accidents occurring</w:t>
      </w:r>
      <w:r w:rsidR="008335AD" w:rsidRPr="00C9026A">
        <w:t>,</w:t>
      </w:r>
      <w:r w:rsidR="00D36B6F" w:rsidRPr="00C9026A">
        <w:t xml:space="preserve"> </w:t>
      </w:r>
      <w:r w:rsidR="00CD5346" w:rsidRPr="00C9026A">
        <w:t>should</w:t>
      </w:r>
      <w:r w:rsidR="00D36B6F" w:rsidRPr="00C9026A">
        <w:t xml:space="preserve"> be considered.</w:t>
      </w:r>
      <w:r w:rsidR="00F63573" w:rsidRPr="00C9026A">
        <w:t xml:space="preserve"> </w:t>
      </w:r>
    </w:p>
    <w:p w:rsidR="00BE18A0" w:rsidRPr="00C9026A" w:rsidRDefault="00E45FDE" w:rsidP="00A57A35">
      <w:pPr>
        <w:pStyle w:val="Heading3"/>
        <w:rPr>
          <w:lang w:val="en-GB"/>
        </w:rPr>
      </w:pPr>
      <w:bookmarkStart w:id="72" w:name="_Toc447613491"/>
      <w:bookmarkStart w:id="73" w:name="_Toc450204014"/>
      <w:r>
        <w:rPr>
          <w:lang w:val="en-GB"/>
        </w:rPr>
        <w:t>Approach to</w:t>
      </w:r>
      <w:r w:rsidR="00300322" w:rsidRPr="00C9026A">
        <w:rPr>
          <w:lang w:val="en-GB"/>
        </w:rPr>
        <w:t xml:space="preserve"> </w:t>
      </w:r>
      <w:r w:rsidR="00EC39F1" w:rsidRPr="00C9026A">
        <w:rPr>
          <w:lang w:val="en-GB"/>
        </w:rPr>
        <w:t>the assessment</w:t>
      </w:r>
      <w:bookmarkEnd w:id="72"/>
      <w:bookmarkEnd w:id="73"/>
      <w:r w:rsidR="00EC39F1" w:rsidRPr="00C9026A">
        <w:rPr>
          <w:lang w:val="en-GB"/>
        </w:rPr>
        <w:t xml:space="preserve"> </w:t>
      </w:r>
    </w:p>
    <w:p w:rsidR="00EE6B8D" w:rsidRPr="00C9026A" w:rsidRDefault="000811A3" w:rsidP="00A57A35">
      <w:pPr>
        <w:pStyle w:val="Heading4"/>
        <w:ind w:left="0"/>
      </w:pPr>
      <w:r w:rsidRPr="00C9026A">
        <w:t xml:space="preserve">The </w:t>
      </w:r>
      <w:r w:rsidR="00B96782" w:rsidRPr="00C9026A">
        <w:t xml:space="preserve">prospective </w:t>
      </w:r>
      <w:r w:rsidRPr="00C9026A">
        <w:t xml:space="preserve">assessment of potential exposures </w:t>
      </w:r>
      <w:r w:rsidR="00E869AC">
        <w:t>should use</w:t>
      </w:r>
      <w:r w:rsidR="00E869AC" w:rsidRPr="00C9026A">
        <w:t xml:space="preserve"> </w:t>
      </w:r>
      <w:r w:rsidR="00230829" w:rsidRPr="00C9026A">
        <w:t xml:space="preserve">estimations of doses to members of the public </w:t>
      </w:r>
      <w:r w:rsidR="00F36F89" w:rsidRPr="00C9026A">
        <w:t xml:space="preserve">resulting from </w:t>
      </w:r>
      <w:r w:rsidR="00D8407E">
        <w:t>postulated</w:t>
      </w:r>
      <w:r w:rsidR="00D8407E" w:rsidRPr="00C9026A">
        <w:t xml:space="preserve"> </w:t>
      </w:r>
      <w:r w:rsidR="00F36F89" w:rsidRPr="00C9026A">
        <w:t>accidents identified through safety analysis</w:t>
      </w:r>
      <w:r w:rsidR="00B96782" w:rsidRPr="00C9026A">
        <w:t xml:space="preserve">, </w:t>
      </w:r>
      <w:r w:rsidR="00230829" w:rsidRPr="00C9026A">
        <w:t>or</w:t>
      </w:r>
      <w:r w:rsidR="002B40B2">
        <w:t xml:space="preserve"> should determine</w:t>
      </w:r>
      <w:r w:rsidR="00230829" w:rsidRPr="00C9026A">
        <w:t xml:space="preserve"> a measure of </w:t>
      </w:r>
      <w:r w:rsidR="002B40B2">
        <w:t xml:space="preserve">the </w:t>
      </w:r>
      <w:r w:rsidR="00230829" w:rsidRPr="00C9026A">
        <w:t>risk</w:t>
      </w:r>
      <w:r w:rsidR="002B40B2">
        <w:t xml:space="preserve"> of health effects</w:t>
      </w:r>
      <w:r w:rsidR="00B96782" w:rsidRPr="00C9026A">
        <w:rPr>
          <w:rStyle w:val="FootnoteReference"/>
        </w:rPr>
        <w:footnoteReference w:id="25"/>
      </w:r>
      <w:r w:rsidR="00D76062" w:rsidRPr="00C9026A">
        <w:t xml:space="preserve"> based on the estimation o</w:t>
      </w:r>
      <w:r w:rsidR="00F36F89" w:rsidRPr="00C9026A">
        <w:t>f</w:t>
      </w:r>
      <w:r w:rsidR="00D76062" w:rsidRPr="00C9026A">
        <w:t xml:space="preserve"> </w:t>
      </w:r>
      <w:r w:rsidR="00F36F89" w:rsidRPr="00C9026A">
        <w:t xml:space="preserve">such </w:t>
      </w:r>
      <w:r w:rsidR="00D76062" w:rsidRPr="00C9026A">
        <w:t>doses</w:t>
      </w:r>
      <w:r w:rsidR="00230829" w:rsidRPr="00C9026A">
        <w:t xml:space="preserve">. The elements of such </w:t>
      </w:r>
      <w:r w:rsidR="005201D9">
        <w:t xml:space="preserve">an </w:t>
      </w:r>
      <w:r w:rsidR="00230829" w:rsidRPr="00C9026A">
        <w:t>assessment are</w:t>
      </w:r>
      <w:r w:rsidRPr="00C9026A">
        <w:t xml:space="preserve"> </w:t>
      </w:r>
      <w:r w:rsidR="00D8407E">
        <w:t>summarized</w:t>
      </w:r>
      <w:r w:rsidR="00C574F0" w:rsidRPr="00C9026A">
        <w:t xml:space="preserve"> </w:t>
      </w:r>
      <w:r w:rsidRPr="00C9026A">
        <w:t xml:space="preserve">in </w:t>
      </w:r>
      <w:r w:rsidR="00D8407E">
        <w:t>Fig.</w:t>
      </w:r>
      <w:r w:rsidR="00D8407E" w:rsidRPr="00C9026A">
        <w:t xml:space="preserve"> </w:t>
      </w:r>
      <w:r w:rsidR="002506E3" w:rsidRPr="00C9026A">
        <w:t>3</w:t>
      </w:r>
      <w:r w:rsidR="008C715E">
        <w:rPr>
          <w:rStyle w:val="FootnoteReference"/>
        </w:rPr>
        <w:footnoteReference w:id="26"/>
      </w:r>
      <w:r w:rsidR="00230829" w:rsidRPr="00C9026A">
        <w:t>.</w:t>
      </w:r>
      <w:r w:rsidRPr="00C9026A">
        <w:t xml:space="preserve"> </w:t>
      </w:r>
      <w:r w:rsidR="00EE6B8D" w:rsidRPr="00C9026A">
        <w:t xml:space="preserve">In general terms, the first </w:t>
      </w:r>
      <w:r w:rsidR="00017F19">
        <w:t>phase</w:t>
      </w:r>
      <w:r w:rsidR="00017F19" w:rsidRPr="00C9026A">
        <w:t xml:space="preserve"> </w:t>
      </w:r>
      <w:r w:rsidR="00CD5346" w:rsidRPr="00C9026A">
        <w:t>should</w:t>
      </w:r>
      <w:r w:rsidR="00EE6B8D" w:rsidRPr="00C9026A">
        <w:t xml:space="preserve"> be </w:t>
      </w:r>
      <w:r w:rsidR="0046537B" w:rsidRPr="00C9026A">
        <w:t xml:space="preserve">to </w:t>
      </w:r>
      <w:r w:rsidR="00FC657E" w:rsidRPr="00C9026A">
        <w:t>identify the</w:t>
      </w:r>
      <w:r w:rsidR="007763CC" w:rsidRPr="00C9026A">
        <w:t xml:space="preserve"> </w:t>
      </w:r>
      <w:r w:rsidR="00EE6B8D" w:rsidRPr="00C9026A">
        <w:t>potential exposure scenarios</w:t>
      </w:r>
      <w:r w:rsidR="0046537B" w:rsidRPr="00C9026A">
        <w:rPr>
          <w:rStyle w:val="FootnoteReference"/>
        </w:rPr>
        <w:footnoteReference w:id="27"/>
      </w:r>
      <w:r w:rsidR="00FC657E" w:rsidRPr="00C9026A">
        <w:t xml:space="preserve">, </w:t>
      </w:r>
      <w:r w:rsidR="002B40B2">
        <w:t>on the basis of</w:t>
      </w:r>
      <w:r w:rsidR="00FC657E" w:rsidRPr="00C9026A">
        <w:t xml:space="preserve"> the safety assessment. </w:t>
      </w:r>
      <w:r w:rsidR="00EE6B8D" w:rsidRPr="00C9026A">
        <w:t>Next, the related source term</w:t>
      </w:r>
      <w:r w:rsidR="00D8407E">
        <w:t xml:space="preserve"> for each </w:t>
      </w:r>
      <w:r w:rsidR="002B40B2">
        <w:t>accident</w:t>
      </w:r>
      <w:r w:rsidR="00D8407E">
        <w:t xml:space="preserve"> scenario</w:t>
      </w:r>
      <w:r w:rsidR="00EE6B8D" w:rsidRPr="00C9026A">
        <w:t xml:space="preserve">, including quantities and relevant physical and chemical characteristics of the releases </w:t>
      </w:r>
      <w:r w:rsidR="002B40B2">
        <w:t>that</w:t>
      </w:r>
      <w:r w:rsidR="002B40B2" w:rsidRPr="00C9026A">
        <w:t xml:space="preserve"> </w:t>
      </w:r>
      <w:r w:rsidR="002B40B2">
        <w:t xml:space="preserve">will </w:t>
      </w:r>
      <w:r w:rsidR="00EE6B8D" w:rsidRPr="00C9026A">
        <w:t xml:space="preserve">determine </w:t>
      </w:r>
      <w:r w:rsidR="002A33B4">
        <w:t xml:space="preserve">the </w:t>
      </w:r>
      <w:r w:rsidR="00EE6B8D" w:rsidRPr="00C9026A">
        <w:t xml:space="preserve">behaviour </w:t>
      </w:r>
      <w:r w:rsidR="002A33B4">
        <w:t xml:space="preserve">of the radionuclides released </w:t>
      </w:r>
      <w:r w:rsidR="00EE6B8D" w:rsidRPr="00C9026A">
        <w:t xml:space="preserve">in the environment, </w:t>
      </w:r>
      <w:r w:rsidR="00CD5346" w:rsidRPr="00C9026A">
        <w:t>should</w:t>
      </w:r>
      <w:r w:rsidR="00EE6B8D" w:rsidRPr="00C9026A">
        <w:t xml:space="preserve"> be </w:t>
      </w:r>
      <w:r w:rsidR="009B2D6A" w:rsidRPr="00C9026A">
        <w:t xml:space="preserve">considered </w:t>
      </w:r>
      <w:r w:rsidR="00AF7C86">
        <w:t>as</w:t>
      </w:r>
      <w:r w:rsidR="0046202F" w:rsidRPr="00C9026A">
        <w:t xml:space="preserve"> the input to </w:t>
      </w:r>
      <w:r w:rsidR="00AF7C86">
        <w:t xml:space="preserve">the </w:t>
      </w:r>
      <w:r w:rsidR="0046202F" w:rsidRPr="00C9026A">
        <w:t xml:space="preserve">environmental dispersion and </w:t>
      </w:r>
      <w:r w:rsidR="007261AA">
        <w:t xml:space="preserve">transfer </w:t>
      </w:r>
      <w:r w:rsidR="003B0ABF">
        <w:t>models</w:t>
      </w:r>
      <w:r w:rsidR="00EE6B8D" w:rsidRPr="00C9026A">
        <w:t xml:space="preserve">. </w:t>
      </w:r>
      <w:r w:rsidR="002B40B2">
        <w:t>The e</w:t>
      </w:r>
      <w:r w:rsidR="00EE6B8D" w:rsidRPr="00C9026A">
        <w:t xml:space="preserve">nvironmental dispersion and transfer </w:t>
      </w:r>
      <w:r w:rsidR="00CD5346" w:rsidRPr="00C9026A">
        <w:t>should</w:t>
      </w:r>
      <w:r w:rsidR="00EE6B8D" w:rsidRPr="00C9026A">
        <w:t xml:space="preserve"> then be </w:t>
      </w:r>
      <w:r w:rsidR="007763CC" w:rsidRPr="00C9026A">
        <w:t>estimated</w:t>
      </w:r>
      <w:r w:rsidR="0046202F" w:rsidRPr="00C9026A">
        <w:t xml:space="preserve"> with relevant models,</w:t>
      </w:r>
      <w:r w:rsidR="00B660E9" w:rsidRPr="00C9026A">
        <w:t xml:space="preserve"> considering the defined environmental </w:t>
      </w:r>
      <w:r w:rsidR="002B40B2">
        <w:t>conditions</w:t>
      </w:r>
      <w:r w:rsidR="00AF7C86">
        <w:t xml:space="preserve">, on </w:t>
      </w:r>
      <w:r w:rsidR="002B40B2">
        <w:t xml:space="preserve">the basis of </w:t>
      </w:r>
      <w:r w:rsidR="0046202F" w:rsidRPr="00C9026A">
        <w:t xml:space="preserve">meteorological and hydrological </w:t>
      </w:r>
      <w:r w:rsidR="00AF7C86">
        <w:t>information</w:t>
      </w:r>
      <w:r w:rsidR="00EE6B8D" w:rsidRPr="00C9026A">
        <w:t xml:space="preserve">. The relevant exposure pathways </w:t>
      </w:r>
      <w:r w:rsidR="00AF7C86">
        <w:t xml:space="preserve">and the representative person </w:t>
      </w:r>
      <w:r w:rsidR="00CD5346" w:rsidRPr="00C9026A">
        <w:t>should</w:t>
      </w:r>
      <w:r w:rsidR="00EE6B8D" w:rsidRPr="00C9026A">
        <w:t xml:space="preserve"> then be identified. Finally, the </w:t>
      </w:r>
      <w:r w:rsidR="002B40B2">
        <w:t xml:space="preserve">estimated </w:t>
      </w:r>
      <w:r w:rsidR="00EE6B8D" w:rsidRPr="00C9026A">
        <w:t>dose, or a measure of the risk of health effects</w:t>
      </w:r>
      <w:r w:rsidR="00FD12EB">
        <w:t xml:space="preserve"> based on the </w:t>
      </w:r>
      <w:r w:rsidR="002B40B2">
        <w:t xml:space="preserve">estimated </w:t>
      </w:r>
      <w:r w:rsidR="00FD12EB">
        <w:t>dose</w:t>
      </w:r>
      <w:r w:rsidR="00EE6B8D" w:rsidRPr="00C9026A">
        <w:t xml:space="preserve">, </w:t>
      </w:r>
      <w:r w:rsidR="00CD5346" w:rsidRPr="00C9026A">
        <w:t>should</w:t>
      </w:r>
      <w:r w:rsidR="00EE6B8D" w:rsidRPr="00C9026A">
        <w:t xml:space="preserve"> be </w:t>
      </w:r>
      <w:r w:rsidR="002B40B2">
        <w:t>derived</w:t>
      </w:r>
      <w:r w:rsidR="002B40B2" w:rsidRPr="00C9026A">
        <w:t xml:space="preserve"> </w:t>
      </w:r>
      <w:r w:rsidR="00EE6B8D" w:rsidRPr="00C9026A">
        <w:t xml:space="preserve">and compared with the applicable established criteria. </w:t>
      </w:r>
    </w:p>
    <w:p w:rsidR="00217D17" w:rsidRPr="00C9026A" w:rsidRDefault="009D6597" w:rsidP="00A57A35">
      <w:pPr>
        <w:pStyle w:val="Heading3"/>
        <w:rPr>
          <w:lang w:val="en-GB"/>
        </w:rPr>
      </w:pPr>
      <w:bookmarkStart w:id="74" w:name="_Toc447613492"/>
      <w:bookmarkStart w:id="75" w:name="_Toc450204015"/>
      <w:r>
        <w:rPr>
          <w:lang w:val="en-GB"/>
        </w:rPr>
        <w:t>Identification and selection of p</w:t>
      </w:r>
      <w:r w:rsidR="00217D17" w:rsidRPr="00C9026A">
        <w:rPr>
          <w:lang w:val="en-GB"/>
        </w:rPr>
        <w:t xml:space="preserve">otential </w:t>
      </w:r>
      <w:r w:rsidR="00A308E6" w:rsidRPr="00C9026A">
        <w:rPr>
          <w:lang w:val="en-GB"/>
        </w:rPr>
        <w:t>exposure</w:t>
      </w:r>
      <w:r w:rsidR="003F5A02" w:rsidRPr="00C9026A">
        <w:rPr>
          <w:lang w:val="en-GB"/>
        </w:rPr>
        <w:t xml:space="preserve"> scenario</w:t>
      </w:r>
      <w:r w:rsidR="00A308E6" w:rsidRPr="00C9026A">
        <w:rPr>
          <w:lang w:val="en-GB"/>
        </w:rPr>
        <w:t>s</w:t>
      </w:r>
      <w:bookmarkEnd w:id="74"/>
      <w:bookmarkEnd w:id="75"/>
    </w:p>
    <w:p w:rsidR="00837503" w:rsidRPr="00C9026A" w:rsidRDefault="00FC657E" w:rsidP="00A57A35">
      <w:pPr>
        <w:pStyle w:val="Heading4"/>
        <w:ind w:left="0"/>
      </w:pPr>
      <w:r w:rsidRPr="00C9026A">
        <w:t>For facilities</w:t>
      </w:r>
      <w:r w:rsidR="002A0276">
        <w:t xml:space="preserve"> or activities</w:t>
      </w:r>
      <w:r w:rsidRPr="00C9026A">
        <w:t xml:space="preserve"> having </w:t>
      </w:r>
      <w:r w:rsidR="002A0276">
        <w:t xml:space="preserve">by design </w:t>
      </w:r>
      <w:r w:rsidRPr="00C9026A">
        <w:t>a very small number of engineered safety features, t</w:t>
      </w:r>
      <w:r w:rsidR="00837503" w:rsidRPr="00C9026A">
        <w:t xml:space="preserve">he identification and selection of potential exposure scenarios </w:t>
      </w:r>
      <w:r w:rsidR="00203038" w:rsidRPr="00C9026A">
        <w:t xml:space="preserve">generally </w:t>
      </w:r>
      <w:proofErr w:type="gramStart"/>
      <w:r w:rsidR="00203038" w:rsidRPr="00C9026A">
        <w:t>involves</w:t>
      </w:r>
      <w:proofErr w:type="gramEnd"/>
      <w:r w:rsidR="00837503" w:rsidRPr="00C9026A">
        <w:t xml:space="preserve"> the consideration of </w:t>
      </w:r>
      <w:r w:rsidR="007B2B07">
        <w:t xml:space="preserve">frequently observed accidents, </w:t>
      </w:r>
      <w:r w:rsidR="00AF7C86">
        <w:t>such as</w:t>
      </w:r>
      <w:r w:rsidR="007B2B07">
        <w:t xml:space="preserve"> typical </w:t>
      </w:r>
      <w:r w:rsidR="00837503" w:rsidRPr="00C9026A">
        <w:t xml:space="preserve">industrial accidents or </w:t>
      </w:r>
      <w:r w:rsidR="00FA24CF" w:rsidRPr="00C9026A">
        <w:t xml:space="preserve">similar </w:t>
      </w:r>
      <w:r w:rsidR="00837503" w:rsidRPr="00C9026A">
        <w:t xml:space="preserve">events such as fires and </w:t>
      </w:r>
      <w:r w:rsidR="00FA24CF" w:rsidRPr="00C9026A">
        <w:t xml:space="preserve">accidental </w:t>
      </w:r>
      <w:r w:rsidR="00837503" w:rsidRPr="00C9026A">
        <w:t>spillage</w:t>
      </w:r>
      <w:r w:rsidR="00FA24CF" w:rsidRPr="00C9026A">
        <w:t>s</w:t>
      </w:r>
      <w:r w:rsidR="002B40B2">
        <w:t>.</w:t>
      </w:r>
      <w:r w:rsidR="002A0276">
        <w:t xml:space="preserve"> </w:t>
      </w:r>
    </w:p>
    <w:p w:rsidR="00837503" w:rsidRPr="00C9026A" w:rsidRDefault="00837503" w:rsidP="00A57A35">
      <w:pPr>
        <w:pStyle w:val="Heading4"/>
        <w:ind w:left="0"/>
      </w:pPr>
      <w:r w:rsidRPr="00C9026A">
        <w:t xml:space="preserve">For facilities </w:t>
      </w:r>
      <w:r w:rsidR="00F215D2" w:rsidRPr="00C9026A">
        <w:t xml:space="preserve">having many </w:t>
      </w:r>
      <w:r w:rsidR="00292845" w:rsidRPr="00C9026A">
        <w:t>engineered safety features</w:t>
      </w:r>
      <w:r w:rsidR="00F215D2" w:rsidRPr="00C9026A">
        <w:t xml:space="preserve">, </w:t>
      </w:r>
      <w:r w:rsidR="002503DF">
        <w:t>for which</w:t>
      </w:r>
      <w:r w:rsidRPr="00C9026A">
        <w:t xml:space="preserve"> complex </w:t>
      </w:r>
      <w:r w:rsidR="00E869AC">
        <w:t>analysis</w:t>
      </w:r>
      <w:r w:rsidR="00E869AC" w:rsidRPr="00C9026A">
        <w:t xml:space="preserve"> </w:t>
      </w:r>
      <w:r w:rsidR="002503DF">
        <w:t xml:space="preserve">is necessary </w:t>
      </w:r>
      <w:r w:rsidR="00F215D2" w:rsidRPr="00C9026A">
        <w:t xml:space="preserve">to determine the likelihood </w:t>
      </w:r>
      <w:r w:rsidR="0085075C">
        <w:t xml:space="preserve">and the characteristics </w:t>
      </w:r>
      <w:r w:rsidR="00F215D2" w:rsidRPr="00C9026A">
        <w:t xml:space="preserve">of events </w:t>
      </w:r>
      <w:r w:rsidR="00E45FDE">
        <w:t>that</w:t>
      </w:r>
      <w:r w:rsidR="0085075C">
        <w:t xml:space="preserve"> may lead to potential exposures</w:t>
      </w:r>
      <w:r w:rsidR="00F215D2" w:rsidRPr="00C9026A">
        <w:t xml:space="preserve">, </w:t>
      </w:r>
      <w:r w:rsidRPr="00C9026A">
        <w:t xml:space="preserve">a greater number of </w:t>
      </w:r>
      <w:r w:rsidR="0085075C">
        <w:t xml:space="preserve">accident </w:t>
      </w:r>
      <w:r w:rsidRPr="00C9026A">
        <w:t>scenarios may need to be considered</w:t>
      </w:r>
      <w:r w:rsidR="0085075C">
        <w:t xml:space="preserve"> and analysed in detail</w:t>
      </w:r>
      <w:r w:rsidRPr="00C9026A">
        <w:t xml:space="preserve">. For </w:t>
      </w:r>
      <w:r w:rsidR="002503DF">
        <w:t>such</w:t>
      </w:r>
      <w:r w:rsidR="002503DF" w:rsidRPr="00C9026A">
        <w:t xml:space="preserve"> </w:t>
      </w:r>
      <w:r w:rsidR="002A0276">
        <w:t>facilities</w:t>
      </w:r>
      <w:r w:rsidRPr="00C9026A">
        <w:t xml:space="preserve">, </w:t>
      </w:r>
      <w:r w:rsidR="009B320A" w:rsidRPr="00C9026A">
        <w:t>complex</w:t>
      </w:r>
      <w:r w:rsidRPr="00C9026A">
        <w:t xml:space="preserve"> safety assessment techniques may be necessary, combining deterministic and probabilistic methods</w:t>
      </w:r>
      <w:r w:rsidR="00F32A99" w:rsidRPr="00C9026A">
        <w:t xml:space="preserve"> and, in some cases, expert judgement.</w:t>
      </w:r>
    </w:p>
    <w:tbl>
      <w:tblPr>
        <w:tblW w:w="0" w:type="auto"/>
        <w:tblLayout w:type="fixed"/>
        <w:tblLook w:val="0000" w:firstRow="0" w:lastRow="0" w:firstColumn="0" w:lastColumn="0" w:noHBand="0" w:noVBand="0"/>
      </w:tblPr>
      <w:tblGrid>
        <w:gridCol w:w="9287"/>
      </w:tblGrid>
      <w:tr w:rsidR="00911D82" w:rsidRPr="00C9026A" w:rsidTr="00844C1C">
        <w:trPr>
          <w:cantSplit/>
        </w:trPr>
        <w:tc>
          <w:tcPr>
            <w:tcW w:w="9287" w:type="dxa"/>
            <w:vAlign w:val="center"/>
          </w:tcPr>
          <w:p w:rsidR="00911D82" w:rsidRPr="00C9026A" w:rsidRDefault="00FA717B" w:rsidP="00A57A35">
            <w:pPr>
              <w:pStyle w:val="BodyText"/>
              <w:overflowPunct w:val="0"/>
              <w:autoSpaceDE w:val="0"/>
              <w:autoSpaceDN w:val="0"/>
              <w:adjustRightInd w:val="0"/>
              <w:spacing w:before="240"/>
              <w:jc w:val="center"/>
              <w:textAlignment w:val="baseline"/>
              <w:rPr>
                <w:lang w:val="en-GB"/>
              </w:rPr>
            </w:pPr>
            <w:r>
              <w:rPr>
                <w:noProof/>
                <w:lang w:val="en-GB" w:eastAsia="en-GB"/>
              </w:rPr>
              <w:lastRenderedPageBreak/>
              <w:drawing>
                <wp:inline distT="0" distB="0" distL="0" distR="0" wp14:anchorId="59E08012" wp14:editId="149E1992">
                  <wp:extent cx="2081144" cy="41229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7256" cy="4115200"/>
                          </a:xfrm>
                          <a:prstGeom prst="rect">
                            <a:avLst/>
                          </a:prstGeom>
                          <a:noFill/>
                          <a:ln>
                            <a:noFill/>
                          </a:ln>
                        </pic:spPr>
                      </pic:pic>
                    </a:graphicData>
                  </a:graphic>
                </wp:inline>
              </w:drawing>
            </w:r>
          </w:p>
          <w:p w:rsidR="00911D82" w:rsidRPr="00C9026A" w:rsidRDefault="00E979B7" w:rsidP="00A57A35">
            <w:pPr>
              <w:pStyle w:val="IAEAFigureCaption"/>
              <w:overflowPunct w:val="0"/>
              <w:autoSpaceDE w:val="0"/>
              <w:autoSpaceDN w:val="0"/>
              <w:adjustRightInd w:val="0"/>
              <w:textAlignment w:val="baseline"/>
              <w:rPr>
                <w:lang w:val="en-GB"/>
              </w:rPr>
            </w:pPr>
            <w:r w:rsidRPr="00C9026A">
              <w:rPr>
                <w:szCs w:val="22"/>
                <w:lang w:val="en-GB"/>
              </w:rPr>
              <w:t xml:space="preserve">FIG. </w:t>
            </w:r>
            <w:r w:rsidRPr="00C9026A">
              <w:rPr>
                <w:szCs w:val="22"/>
                <w:lang w:val="en-GB"/>
              </w:rPr>
              <w:fldChar w:fldCharType="begin"/>
            </w:r>
            <w:r w:rsidRPr="00C9026A">
              <w:rPr>
                <w:szCs w:val="22"/>
                <w:lang w:val="en-GB"/>
              </w:rPr>
              <w:instrText xml:space="preserve"> SEQ Figure \* MERGEFORMAT </w:instrText>
            </w:r>
            <w:r w:rsidRPr="00C9026A">
              <w:rPr>
                <w:szCs w:val="22"/>
                <w:lang w:val="en-GB"/>
              </w:rPr>
              <w:fldChar w:fldCharType="separate"/>
            </w:r>
            <w:r w:rsidR="005E3463">
              <w:rPr>
                <w:noProof/>
                <w:szCs w:val="22"/>
                <w:lang w:val="en-GB"/>
              </w:rPr>
              <w:t>3</w:t>
            </w:r>
            <w:r w:rsidRPr="00C9026A">
              <w:rPr>
                <w:szCs w:val="22"/>
                <w:lang w:val="en-GB"/>
              </w:rPr>
              <w:fldChar w:fldCharType="end"/>
            </w:r>
            <w:r w:rsidRPr="00C9026A">
              <w:rPr>
                <w:szCs w:val="22"/>
                <w:lang w:val="en-GB"/>
              </w:rPr>
              <w:t>.</w:t>
            </w:r>
            <w:r w:rsidR="00911D82" w:rsidRPr="00C9026A">
              <w:rPr>
                <w:lang w:val="en-GB"/>
              </w:rPr>
              <w:t xml:space="preserve"> Components of an assessment for </w:t>
            </w:r>
            <w:r w:rsidR="00B46EE1" w:rsidRPr="00C9026A">
              <w:rPr>
                <w:lang w:val="en-GB"/>
              </w:rPr>
              <w:t xml:space="preserve">consideration of </w:t>
            </w:r>
            <w:r w:rsidR="00911D82" w:rsidRPr="00C9026A">
              <w:rPr>
                <w:lang w:val="en-GB"/>
              </w:rPr>
              <w:t>potential exposures.</w:t>
            </w:r>
          </w:p>
        </w:tc>
      </w:tr>
    </w:tbl>
    <w:p w:rsidR="00E434DC" w:rsidRPr="00C9026A" w:rsidRDefault="00E434DC" w:rsidP="00A57A35">
      <w:pPr>
        <w:pStyle w:val="BodyText"/>
      </w:pPr>
    </w:p>
    <w:p w:rsidR="006026C5" w:rsidRPr="00C9026A" w:rsidRDefault="001C607D" w:rsidP="00A57A35">
      <w:pPr>
        <w:pStyle w:val="Heading3"/>
        <w:rPr>
          <w:lang w:val="en-GB"/>
        </w:rPr>
      </w:pPr>
      <w:bookmarkStart w:id="76" w:name="_Toc447613493"/>
      <w:bookmarkStart w:id="77" w:name="_Toc450204016"/>
      <w:r>
        <w:rPr>
          <w:lang w:val="en-GB"/>
        </w:rPr>
        <w:t xml:space="preserve">Selection </w:t>
      </w:r>
      <w:r w:rsidR="009D6597">
        <w:rPr>
          <w:lang w:val="en-GB"/>
        </w:rPr>
        <w:t>of the s</w:t>
      </w:r>
      <w:r w:rsidR="00217D17" w:rsidRPr="00C9026A">
        <w:rPr>
          <w:lang w:val="en-GB"/>
        </w:rPr>
        <w:t>ource term</w:t>
      </w:r>
      <w:bookmarkEnd w:id="76"/>
      <w:bookmarkEnd w:id="77"/>
    </w:p>
    <w:p w:rsidR="00E45FDE" w:rsidRDefault="00E24AC5" w:rsidP="00E45FDE">
      <w:pPr>
        <w:pStyle w:val="Heading4"/>
        <w:ind w:left="0"/>
      </w:pPr>
      <w:r w:rsidRPr="00C9026A">
        <w:t xml:space="preserve">The types and amounts </w:t>
      </w:r>
      <w:r w:rsidR="007B219F">
        <w:t xml:space="preserve">of radionuclides </w:t>
      </w:r>
      <w:r w:rsidRPr="00C9026A">
        <w:t xml:space="preserve">and the physical and chemical characteristics of </w:t>
      </w:r>
      <w:r w:rsidR="00AF7C86">
        <w:t xml:space="preserve">the </w:t>
      </w:r>
      <w:r w:rsidRPr="00C9026A">
        <w:t xml:space="preserve">radionuclides released </w:t>
      </w:r>
      <w:r w:rsidR="002503DF">
        <w:t>in</w:t>
      </w:r>
      <w:r w:rsidR="002503DF" w:rsidRPr="00C9026A">
        <w:t xml:space="preserve"> </w:t>
      </w:r>
      <w:r w:rsidRPr="00C9026A">
        <w:t>an accident may differ considerably from those discharge</w:t>
      </w:r>
      <w:r w:rsidR="002A0276">
        <w:t>d</w:t>
      </w:r>
      <w:r w:rsidRPr="00C9026A">
        <w:t xml:space="preserve"> in normal operation. </w:t>
      </w:r>
      <w:r w:rsidR="007B219F">
        <w:t>The c</w:t>
      </w:r>
      <w:r w:rsidR="0002099C" w:rsidRPr="00C9026A">
        <w:t xml:space="preserve">haracteristic </w:t>
      </w:r>
      <w:r w:rsidR="002805E3" w:rsidRPr="00C9026A">
        <w:t>s</w:t>
      </w:r>
      <w:r w:rsidR="00837503" w:rsidRPr="00C9026A">
        <w:t>ource term</w:t>
      </w:r>
      <w:r w:rsidR="002503DF">
        <w:t xml:space="preserve"> </w:t>
      </w:r>
      <w:r w:rsidR="007B219F">
        <w:t>for</w:t>
      </w:r>
      <w:r w:rsidR="002503DF">
        <w:t xml:space="preserve"> an accident</w:t>
      </w:r>
      <w:r w:rsidR="002805E3" w:rsidRPr="00C9026A">
        <w:rPr>
          <w:rStyle w:val="FootnoteReference"/>
        </w:rPr>
        <w:footnoteReference w:id="28"/>
      </w:r>
      <w:r w:rsidR="00837503" w:rsidRPr="00C9026A">
        <w:t xml:space="preserve"> </w:t>
      </w:r>
      <w:r w:rsidR="00CD5346" w:rsidRPr="00C9026A">
        <w:t>should</w:t>
      </w:r>
      <w:r w:rsidR="00837503" w:rsidRPr="00C9026A">
        <w:t xml:space="preserve"> be estimated </w:t>
      </w:r>
      <w:r w:rsidR="007B219F">
        <w:t>in</w:t>
      </w:r>
      <w:r w:rsidR="007B219F" w:rsidRPr="00C9026A">
        <w:t xml:space="preserve"> </w:t>
      </w:r>
      <w:r w:rsidR="00837503" w:rsidRPr="00C9026A">
        <w:t>consider</w:t>
      </w:r>
      <w:r w:rsidR="007B219F">
        <w:t>ation of</w:t>
      </w:r>
      <w:r w:rsidR="00837503" w:rsidRPr="00C9026A">
        <w:t xml:space="preserve"> the </w:t>
      </w:r>
      <w:r w:rsidR="002805E3" w:rsidRPr="00C9026A">
        <w:t xml:space="preserve">events or sequence of events leading to </w:t>
      </w:r>
      <w:r w:rsidR="007B219F">
        <w:t>the</w:t>
      </w:r>
      <w:r w:rsidR="007B219F" w:rsidRPr="00C9026A">
        <w:t xml:space="preserve"> </w:t>
      </w:r>
      <w:r w:rsidR="002805E3" w:rsidRPr="00C9026A">
        <w:t xml:space="preserve">accident and the safety measures </w:t>
      </w:r>
      <w:r w:rsidR="009B320A">
        <w:t xml:space="preserve">in the facility or activity </w:t>
      </w:r>
      <w:r w:rsidR="002805E3" w:rsidRPr="00C9026A">
        <w:t>aimed at limiting the magnitude</w:t>
      </w:r>
      <w:r w:rsidR="007B219F">
        <w:t xml:space="preserve"> of the source term</w:t>
      </w:r>
      <w:r w:rsidR="00837503" w:rsidRPr="00C9026A">
        <w:t>.</w:t>
      </w:r>
      <w:r w:rsidR="00E45FDE">
        <w:t xml:space="preserve"> </w:t>
      </w:r>
    </w:p>
    <w:p w:rsidR="002C2958" w:rsidRPr="00E45FDE" w:rsidRDefault="002C2958" w:rsidP="00E45FDE">
      <w:pPr>
        <w:pStyle w:val="Heading4"/>
        <w:ind w:left="0"/>
      </w:pPr>
      <w:r w:rsidRPr="00E45FDE">
        <w:t xml:space="preserve">For facilities or activities having reduced inventories and small number of engineered safety features, such as hospitals using radioisotopes </w:t>
      </w:r>
      <w:r w:rsidR="002573E5" w:rsidRPr="00E45FDE">
        <w:t xml:space="preserve">in medicine, small research laboratories and applications </w:t>
      </w:r>
      <w:r w:rsidR="00752C4A" w:rsidRPr="00E45FDE">
        <w:t>with</w:t>
      </w:r>
      <w:r w:rsidR="002573E5" w:rsidRPr="00E45FDE">
        <w:t xml:space="preserve"> radioactive sources in the industry, the</w:t>
      </w:r>
      <w:r w:rsidR="002573E5">
        <w:t xml:space="preserve"> listing accidents, as described in para. </w:t>
      </w:r>
      <w:proofErr w:type="gramStart"/>
      <w:r w:rsidR="002573E5" w:rsidRPr="007C230D">
        <w:t>5.4</w:t>
      </w:r>
      <w:r w:rsidR="007C230D" w:rsidRPr="007C230D">
        <w:t>6</w:t>
      </w:r>
      <w:r w:rsidR="002573E5">
        <w:t>,</w:t>
      </w:r>
      <w:proofErr w:type="gramEnd"/>
      <w:r w:rsidR="002573E5">
        <w:t xml:space="preserve"> should be </w:t>
      </w:r>
      <w:r w:rsidR="002573E5" w:rsidRPr="00C9026A">
        <w:t xml:space="preserve">combined with conservative or simple safety analysis techniques to determine the associated source terms. </w:t>
      </w:r>
    </w:p>
    <w:p w:rsidR="00837503" w:rsidRPr="00C9026A" w:rsidRDefault="00837503" w:rsidP="00A57A35">
      <w:pPr>
        <w:pStyle w:val="Heading4"/>
        <w:ind w:left="0"/>
      </w:pPr>
      <w:r w:rsidRPr="00C9026A">
        <w:lastRenderedPageBreak/>
        <w:t xml:space="preserve">For </w:t>
      </w:r>
      <w:r w:rsidR="002805E3" w:rsidRPr="00C9026A">
        <w:t xml:space="preserve">nuclear </w:t>
      </w:r>
      <w:r w:rsidRPr="00C9026A">
        <w:t xml:space="preserve">facilities </w:t>
      </w:r>
      <w:r w:rsidR="007B219F">
        <w:t>that</w:t>
      </w:r>
      <w:r w:rsidR="007B219F" w:rsidRPr="00C9026A">
        <w:t xml:space="preserve"> </w:t>
      </w:r>
      <w:r w:rsidRPr="00C9026A">
        <w:t>have large inventories</w:t>
      </w:r>
      <w:r w:rsidR="007B219F">
        <w:t xml:space="preserve"> of radioactive material and</w:t>
      </w:r>
      <w:r w:rsidR="00292845" w:rsidRPr="00C9026A">
        <w:t xml:space="preserve"> complex engineered safety features </w:t>
      </w:r>
      <w:r w:rsidRPr="00C9026A">
        <w:t xml:space="preserve">and where the physical, chemical or nuclear characteristics </w:t>
      </w:r>
      <w:r w:rsidR="007B219F">
        <w:t xml:space="preserve">of the radionuclides at the facility </w:t>
      </w:r>
      <w:r w:rsidRPr="00C9026A">
        <w:t xml:space="preserve">may </w:t>
      </w:r>
      <w:r w:rsidR="007B219F">
        <w:t>lead to</w:t>
      </w:r>
      <w:r w:rsidR="007B219F" w:rsidRPr="00C9026A">
        <w:t xml:space="preserve"> </w:t>
      </w:r>
      <w:r w:rsidR="007B219F">
        <w:t xml:space="preserve">a </w:t>
      </w:r>
      <w:r w:rsidRPr="00C9026A">
        <w:t xml:space="preserve">large release in </w:t>
      </w:r>
      <w:r w:rsidR="007B219F">
        <w:t xml:space="preserve">the event of an </w:t>
      </w:r>
      <w:r w:rsidRPr="00C9026A">
        <w:t xml:space="preserve">accident, detailed safety analysis techniques </w:t>
      </w:r>
      <w:r w:rsidR="00CD5346" w:rsidRPr="00C9026A">
        <w:t>should</w:t>
      </w:r>
      <w:r w:rsidRPr="00C9026A">
        <w:t xml:space="preserve"> always be applied to estimate more realistic potential source terms. Further guidance on </w:t>
      </w:r>
      <w:r w:rsidR="007B219F">
        <w:t>estimation of the</w:t>
      </w:r>
      <w:r w:rsidR="007B219F" w:rsidRPr="00C9026A">
        <w:t xml:space="preserve"> </w:t>
      </w:r>
      <w:r w:rsidRPr="00C9026A">
        <w:t xml:space="preserve">source term </w:t>
      </w:r>
      <w:r w:rsidR="007B219F">
        <w:t>in the event of an accident can</w:t>
      </w:r>
      <w:r w:rsidRPr="00C9026A">
        <w:t xml:space="preserve"> be found in </w:t>
      </w:r>
      <w:r w:rsidR="007B219F">
        <w:t>Refs</w:t>
      </w:r>
      <w:r w:rsidR="00AF7C86">
        <w:t xml:space="preserve"> </w:t>
      </w:r>
      <w:r w:rsidRPr="00C9026A">
        <w:t>[</w:t>
      </w:r>
      <w:r w:rsidR="002E182F" w:rsidRPr="00C9026A">
        <w:t>4</w:t>
      </w:r>
      <w:r w:rsidR="000F273D">
        <w:t>9</w:t>
      </w:r>
      <w:r w:rsidRPr="00C9026A">
        <w:t>]</w:t>
      </w:r>
      <w:r w:rsidR="00726986" w:rsidRPr="00C9026A">
        <w:t xml:space="preserve"> and [</w:t>
      </w:r>
      <w:r w:rsidR="000F273D">
        <w:t>50</w:t>
      </w:r>
      <w:r w:rsidR="00726986" w:rsidRPr="00C9026A">
        <w:t>]</w:t>
      </w:r>
      <w:r w:rsidRPr="00C9026A">
        <w:t>.</w:t>
      </w:r>
    </w:p>
    <w:p w:rsidR="00837503" w:rsidRPr="00C9026A" w:rsidRDefault="00837503" w:rsidP="00A57A35">
      <w:pPr>
        <w:pStyle w:val="Heading4"/>
        <w:ind w:left="0"/>
      </w:pPr>
      <w:r w:rsidRPr="00C9026A">
        <w:t xml:space="preserve">In estimating </w:t>
      </w:r>
      <w:r w:rsidR="00EE2E71">
        <w:t xml:space="preserve">the </w:t>
      </w:r>
      <w:r w:rsidRPr="00C9026A">
        <w:t xml:space="preserve">source term, consideration </w:t>
      </w:r>
      <w:r w:rsidR="00115F78" w:rsidRPr="00C9026A">
        <w:t>should</w:t>
      </w:r>
      <w:r w:rsidRPr="00C9026A">
        <w:t xml:space="preserve"> be given to the physical and chemical processes occurring during the accident sequence, the behaviour of any safety </w:t>
      </w:r>
      <w:r w:rsidR="00EB7CBF" w:rsidRPr="00C9026A">
        <w:t>feature</w:t>
      </w:r>
      <w:r w:rsidR="007B219F">
        <w:t>s</w:t>
      </w:r>
      <w:r w:rsidR="00EB7CBF" w:rsidRPr="00C9026A">
        <w:t xml:space="preserve"> </w:t>
      </w:r>
      <w:r w:rsidRPr="00C9026A">
        <w:t xml:space="preserve">or the effects of any </w:t>
      </w:r>
      <w:proofErr w:type="spellStart"/>
      <w:r w:rsidRPr="00C9026A">
        <w:t>mitigat</w:t>
      </w:r>
      <w:r w:rsidR="007B219F">
        <w:t>ory</w:t>
      </w:r>
      <w:proofErr w:type="spellEnd"/>
      <w:r w:rsidRPr="00C9026A">
        <w:t xml:space="preserve"> measures, and the behaviour of </w:t>
      </w:r>
      <w:r w:rsidR="00AC49DF">
        <w:t>radionuclides</w:t>
      </w:r>
      <w:r w:rsidRPr="00C9026A">
        <w:t xml:space="preserve"> </w:t>
      </w:r>
      <w:r w:rsidR="002A0276">
        <w:t>within</w:t>
      </w:r>
      <w:r w:rsidRPr="00C9026A">
        <w:t xml:space="preserve"> the facility before it is released </w:t>
      </w:r>
      <w:r w:rsidR="00B46EE1" w:rsidRPr="00C9026A">
        <w:t>to the environment</w:t>
      </w:r>
      <w:r w:rsidRPr="00C9026A">
        <w:t xml:space="preserve">. A time profile for the release </w:t>
      </w:r>
      <w:r w:rsidR="00CD5346" w:rsidRPr="00C9026A">
        <w:t>should</w:t>
      </w:r>
      <w:r w:rsidRPr="00C9026A">
        <w:t xml:space="preserve"> be provided</w:t>
      </w:r>
      <w:r w:rsidR="00EB7CBF" w:rsidRPr="00C9026A">
        <w:t xml:space="preserve"> if </w:t>
      </w:r>
      <w:r w:rsidR="007B219F">
        <w:t>necessary</w:t>
      </w:r>
      <w:r w:rsidRPr="00C9026A">
        <w:t>. For example, in accident</w:t>
      </w:r>
      <w:r w:rsidR="002F3F97" w:rsidRPr="00C9026A">
        <w:t>s</w:t>
      </w:r>
      <w:r w:rsidRPr="00C9026A">
        <w:t xml:space="preserve"> at a nuclear power plant, initially noble gas radionuclides may be released to </w:t>
      </w:r>
      <w:r w:rsidR="007B219F">
        <w:t xml:space="preserve">the </w:t>
      </w:r>
      <w:r w:rsidRPr="00C9026A">
        <w:t>atmosphere</w:t>
      </w:r>
      <w:r w:rsidR="007B219F">
        <w:t>,</w:t>
      </w:r>
      <w:r w:rsidRPr="00C9026A">
        <w:t xml:space="preserve"> followed then by volatile radioactive material and subsequently by other radioactive material in aerosol or particulate form. Th</w:t>
      </w:r>
      <w:r w:rsidR="007B219F">
        <w:t>e</w:t>
      </w:r>
      <w:r w:rsidRPr="00C9026A">
        <w:t xml:space="preserve"> time profile </w:t>
      </w:r>
      <w:r w:rsidR="007B219F">
        <w:t>for</w:t>
      </w:r>
      <w:r w:rsidR="007B219F" w:rsidRPr="00C9026A">
        <w:t xml:space="preserve"> </w:t>
      </w:r>
      <w:r w:rsidRPr="00C9026A">
        <w:t xml:space="preserve">the release may be </w:t>
      </w:r>
      <w:r w:rsidR="007B219F">
        <w:t>developed</w:t>
      </w:r>
      <w:r w:rsidRPr="00C9026A">
        <w:t xml:space="preserve"> by separating the source term into different </w:t>
      </w:r>
      <w:r w:rsidR="00A22069">
        <w:t xml:space="preserve">time </w:t>
      </w:r>
      <w:r w:rsidRPr="00C9026A">
        <w:t>phases.</w:t>
      </w:r>
    </w:p>
    <w:p w:rsidR="00837503" w:rsidRPr="00C9026A" w:rsidRDefault="003B0ABF" w:rsidP="00A57A35">
      <w:pPr>
        <w:pStyle w:val="Heading4"/>
        <w:ind w:left="0"/>
      </w:pPr>
      <w:r>
        <w:t>In general</w:t>
      </w:r>
      <w:r w:rsidR="00837503" w:rsidRPr="00C9026A">
        <w:t xml:space="preserve">, the source term </w:t>
      </w:r>
      <w:r w:rsidR="00CD5346" w:rsidRPr="00C9026A">
        <w:t>should</w:t>
      </w:r>
      <w:r w:rsidR="00837503" w:rsidRPr="00C9026A">
        <w:t xml:space="preserve"> include the composition and amounts of radionuclides, the physical</w:t>
      </w:r>
      <w:r w:rsidR="00A22069">
        <w:t xml:space="preserve"> form</w:t>
      </w:r>
      <w:r w:rsidR="00837503" w:rsidRPr="00C9026A">
        <w:t xml:space="preserve"> (</w:t>
      </w:r>
      <w:r>
        <w:t>i.</w:t>
      </w:r>
      <w:r w:rsidR="00837503" w:rsidRPr="00C9026A">
        <w:t>e. gas or aerosol) and chemical form, the release point</w:t>
      </w:r>
      <w:r>
        <w:t xml:space="preserve"> and its</w:t>
      </w:r>
      <w:r w:rsidR="00837503" w:rsidRPr="00C9026A">
        <w:t xml:space="preserve"> height (for a</w:t>
      </w:r>
      <w:r w:rsidR="00AF7C86">
        <w:t>n atmospheric</w:t>
      </w:r>
      <w:r w:rsidR="00837503" w:rsidRPr="00C9026A">
        <w:t xml:space="preserve"> release) or depth </w:t>
      </w:r>
      <w:r>
        <w:t xml:space="preserve">below surface </w:t>
      </w:r>
      <w:r w:rsidR="00837503" w:rsidRPr="00C9026A">
        <w:t>(for an aquatic release)</w:t>
      </w:r>
      <w:r w:rsidR="00D6356F" w:rsidRPr="00C9026A">
        <w:t>.</w:t>
      </w:r>
      <w:r w:rsidR="00837503" w:rsidRPr="00C9026A">
        <w:t xml:space="preserve"> The flow speed and the thermal energy associated with the release may be also necessary to </w:t>
      </w:r>
      <w:r w:rsidR="00A22069">
        <w:t>determine</w:t>
      </w:r>
      <w:r w:rsidR="00A22069" w:rsidRPr="00C9026A">
        <w:t xml:space="preserve"> </w:t>
      </w:r>
      <w:r w:rsidR="00837503" w:rsidRPr="00C9026A">
        <w:t xml:space="preserve">the effective height </w:t>
      </w:r>
      <w:r w:rsidR="002E6CD4">
        <w:t xml:space="preserve">of </w:t>
      </w:r>
      <w:r w:rsidR="00837503" w:rsidRPr="00C9026A">
        <w:t>the radioactive plume.</w:t>
      </w:r>
    </w:p>
    <w:p w:rsidR="00217D17" w:rsidRPr="00C9026A" w:rsidRDefault="009D6597" w:rsidP="00A57A35">
      <w:pPr>
        <w:pStyle w:val="Heading3"/>
        <w:rPr>
          <w:lang w:val="en-GB"/>
        </w:rPr>
      </w:pPr>
      <w:bookmarkStart w:id="78" w:name="_Toc447613494"/>
      <w:bookmarkStart w:id="79" w:name="_Toc450204017"/>
      <w:r>
        <w:rPr>
          <w:lang w:val="en-GB"/>
        </w:rPr>
        <w:t>Modelling of d</w:t>
      </w:r>
      <w:r w:rsidR="00FA0C26">
        <w:rPr>
          <w:lang w:val="en-GB"/>
        </w:rPr>
        <w:t>irect irradiation, d</w:t>
      </w:r>
      <w:r w:rsidR="00217D17" w:rsidRPr="00C9026A">
        <w:rPr>
          <w:lang w:val="en-GB"/>
        </w:rPr>
        <w:t>ispersion and environmental transfer</w:t>
      </w:r>
      <w:bookmarkEnd w:id="78"/>
      <w:bookmarkEnd w:id="79"/>
    </w:p>
    <w:p w:rsidR="00F909DB" w:rsidRDefault="00E410A7" w:rsidP="00A57A35">
      <w:pPr>
        <w:pStyle w:val="Heading4"/>
        <w:ind w:left="0"/>
      </w:pPr>
      <w:r>
        <w:t xml:space="preserve">An </w:t>
      </w:r>
      <w:r w:rsidR="00FA0C26">
        <w:t xml:space="preserve">accident </w:t>
      </w:r>
      <w:r>
        <w:t xml:space="preserve">at </w:t>
      </w:r>
      <w:r w:rsidR="0023492A">
        <w:t xml:space="preserve">a </w:t>
      </w:r>
      <w:r w:rsidR="00FA0C26">
        <w:t xml:space="preserve">facility </w:t>
      </w:r>
      <w:r w:rsidR="0023492A">
        <w:t xml:space="preserve">or </w:t>
      </w:r>
      <w:r w:rsidR="00FA0C26">
        <w:t xml:space="preserve">an activity could result in </w:t>
      </w:r>
      <w:r w:rsidR="00A22069">
        <w:t xml:space="preserve">a </w:t>
      </w:r>
      <w:r w:rsidR="00FA0C26">
        <w:t xml:space="preserve">loss of shielding </w:t>
      </w:r>
      <w:r w:rsidR="007650D8" w:rsidRPr="007650D8">
        <w:t xml:space="preserve">or inadequate shielding </w:t>
      </w:r>
      <w:r w:rsidR="00FA0C26">
        <w:t>and</w:t>
      </w:r>
      <w:r w:rsidR="0023492A">
        <w:t>, in some cases</w:t>
      </w:r>
      <w:r w:rsidR="005606AB">
        <w:t>,</w:t>
      </w:r>
      <w:r w:rsidR="00FA0C26">
        <w:t xml:space="preserve"> </w:t>
      </w:r>
      <w:r w:rsidR="007650D8">
        <w:t xml:space="preserve">significant </w:t>
      </w:r>
      <w:r w:rsidR="00A42A43">
        <w:t xml:space="preserve">external </w:t>
      </w:r>
      <w:r w:rsidR="007650D8">
        <w:t>exposure</w:t>
      </w:r>
      <w:r>
        <w:t xml:space="preserve"> </w:t>
      </w:r>
      <w:r w:rsidR="00A42A43">
        <w:t xml:space="preserve">of </w:t>
      </w:r>
      <w:r>
        <w:t xml:space="preserve">people </w:t>
      </w:r>
      <w:r w:rsidR="0023492A">
        <w:t xml:space="preserve">living in the close vicinity of the premises. In general, large facilities </w:t>
      </w:r>
      <w:r>
        <w:t xml:space="preserve">are situated at </w:t>
      </w:r>
      <w:r w:rsidR="0023492A">
        <w:t xml:space="preserve">some considerable distance from </w:t>
      </w:r>
      <w:r>
        <w:t>residential area</w:t>
      </w:r>
      <w:r w:rsidR="00A22069">
        <w:t>s</w:t>
      </w:r>
      <w:r w:rsidR="0023492A">
        <w:t xml:space="preserve"> </w:t>
      </w:r>
      <w:r>
        <w:t xml:space="preserve">and therefore </w:t>
      </w:r>
      <w:r w:rsidR="0023492A">
        <w:t xml:space="preserve">the </w:t>
      </w:r>
      <w:r>
        <w:t xml:space="preserve">probability that </w:t>
      </w:r>
      <w:r w:rsidR="00A22069">
        <w:t xml:space="preserve">members of the public </w:t>
      </w:r>
      <w:r>
        <w:t>are exposed to</w:t>
      </w:r>
      <w:r w:rsidR="0023492A">
        <w:t xml:space="preserve"> direct </w:t>
      </w:r>
      <w:r w:rsidR="00010A39">
        <w:t>ir</w:t>
      </w:r>
      <w:r w:rsidR="0023492A">
        <w:t>radiation</w:t>
      </w:r>
      <w:r w:rsidR="004F6B8C">
        <w:t>,</w:t>
      </w:r>
      <w:r w:rsidR="0023492A">
        <w:t xml:space="preserve"> even </w:t>
      </w:r>
      <w:r w:rsidR="00A22069">
        <w:t xml:space="preserve">in the event of an </w:t>
      </w:r>
      <w:r w:rsidR="0023492A">
        <w:t>accident</w:t>
      </w:r>
      <w:r w:rsidR="00D0483E">
        <w:t>,</w:t>
      </w:r>
      <w:r>
        <w:t xml:space="preserve"> is low</w:t>
      </w:r>
      <w:r w:rsidR="004F6B8C">
        <w:t xml:space="preserve">. </w:t>
      </w:r>
      <w:r>
        <w:t>On the other hand</w:t>
      </w:r>
      <w:r w:rsidR="00A22069">
        <w:t>,</w:t>
      </w:r>
      <w:r>
        <w:t xml:space="preserve"> </w:t>
      </w:r>
      <w:r w:rsidR="00A22069">
        <w:t xml:space="preserve">facilities </w:t>
      </w:r>
      <w:r>
        <w:t>such as</w:t>
      </w:r>
      <w:r w:rsidR="0023492A">
        <w:t xml:space="preserve"> hospitals</w:t>
      </w:r>
      <w:r w:rsidR="002A0276">
        <w:t xml:space="preserve"> or </w:t>
      </w:r>
      <w:r>
        <w:t xml:space="preserve">small </w:t>
      </w:r>
      <w:r w:rsidR="002A0276">
        <w:t>industri</w:t>
      </w:r>
      <w:r>
        <w:t>al estates</w:t>
      </w:r>
      <w:r w:rsidR="00A22069">
        <w:t xml:space="preserve"> tend to be closer to residential areas, or can be occupied</w:t>
      </w:r>
      <w:r w:rsidR="0045249C">
        <w:t xml:space="preserve"> by members of the public</w:t>
      </w:r>
      <w:r w:rsidR="00A22069">
        <w:t xml:space="preserve"> transitorily</w:t>
      </w:r>
      <w:r w:rsidR="004F6B8C">
        <w:t xml:space="preserve">, </w:t>
      </w:r>
      <w:r w:rsidR="004C5856">
        <w:t>al</w:t>
      </w:r>
      <w:r>
        <w:t>though</w:t>
      </w:r>
      <w:r w:rsidR="004F6B8C">
        <w:t xml:space="preserve"> the radiation sources </w:t>
      </w:r>
      <w:r w:rsidR="00A22069">
        <w:t xml:space="preserve">located in such facilities </w:t>
      </w:r>
      <w:r w:rsidR="004F6B8C">
        <w:t>are smaller.</w:t>
      </w:r>
      <w:r w:rsidR="0023492A">
        <w:t xml:space="preserve"> The contribution </w:t>
      </w:r>
      <w:r w:rsidR="0045249C">
        <w:t xml:space="preserve">of direct irradiation to </w:t>
      </w:r>
      <w:r w:rsidR="0023492A">
        <w:t xml:space="preserve">potential exposures </w:t>
      </w:r>
      <w:r w:rsidR="005F0A07">
        <w:t xml:space="preserve">of members of the public </w:t>
      </w:r>
      <w:r w:rsidR="0023492A">
        <w:t xml:space="preserve">due to </w:t>
      </w:r>
      <w:r w:rsidR="00A22069">
        <w:t xml:space="preserve">accident </w:t>
      </w:r>
      <w:r w:rsidR="0023492A">
        <w:t xml:space="preserve">scenarios </w:t>
      </w:r>
      <w:r w:rsidR="00A22069">
        <w:t xml:space="preserve">at </w:t>
      </w:r>
      <w:r w:rsidR="004C5856">
        <w:t>all relevant</w:t>
      </w:r>
      <w:r w:rsidR="00A22069">
        <w:t xml:space="preserve"> facilities </w:t>
      </w:r>
      <w:r w:rsidR="0023492A">
        <w:t xml:space="preserve">should be considered </w:t>
      </w:r>
      <w:r w:rsidR="004F6B8C">
        <w:t xml:space="preserve">and analysed </w:t>
      </w:r>
      <w:r w:rsidR="0023492A">
        <w:t>using models</w:t>
      </w:r>
      <w:r w:rsidR="005F0A07">
        <w:t xml:space="preserve"> for </w:t>
      </w:r>
      <w:r w:rsidR="006B0E15">
        <w:t xml:space="preserve">assessment of </w:t>
      </w:r>
      <w:r w:rsidR="005F0A07">
        <w:t xml:space="preserve">external </w:t>
      </w:r>
      <w:r w:rsidR="006B0E15">
        <w:t>exposure</w:t>
      </w:r>
      <w:r w:rsidR="0023492A">
        <w:t>.</w:t>
      </w:r>
    </w:p>
    <w:p w:rsidR="00480E0F" w:rsidRPr="00C9026A" w:rsidRDefault="009B5A1F" w:rsidP="00A57A35">
      <w:pPr>
        <w:pStyle w:val="Heading4"/>
        <w:ind w:left="0"/>
      </w:pPr>
      <w:r w:rsidRPr="00C9026A">
        <w:t xml:space="preserve">For </w:t>
      </w:r>
      <w:r w:rsidR="00334161">
        <w:t xml:space="preserve">facilities and </w:t>
      </w:r>
      <w:r w:rsidR="00165692" w:rsidRPr="00C9026A">
        <w:t xml:space="preserve">activities </w:t>
      </w:r>
      <w:r w:rsidR="004C5856">
        <w:t>for which</w:t>
      </w:r>
      <w:r w:rsidR="004C5856" w:rsidRPr="00C9026A">
        <w:t xml:space="preserve"> </w:t>
      </w:r>
      <w:r w:rsidRPr="00C9026A">
        <w:t xml:space="preserve">simple </w:t>
      </w:r>
      <w:r w:rsidR="001C1414">
        <w:t xml:space="preserve">conservative </w:t>
      </w:r>
      <w:r w:rsidR="005F0A07">
        <w:t xml:space="preserve">radiological impact </w:t>
      </w:r>
      <w:r w:rsidRPr="00C9026A">
        <w:t>assessments</w:t>
      </w:r>
      <w:r w:rsidR="004C5856">
        <w:t xml:space="preserve"> are warranted</w:t>
      </w:r>
      <w:r w:rsidRPr="00C9026A">
        <w:t xml:space="preserve">, </w:t>
      </w:r>
      <w:r w:rsidR="003E0283">
        <w:t>cautious</w:t>
      </w:r>
      <w:r w:rsidRPr="00C9026A">
        <w:t xml:space="preserve"> </w:t>
      </w:r>
      <w:r w:rsidR="00B477EF" w:rsidRPr="00C9026A">
        <w:t xml:space="preserve">assumptions </w:t>
      </w:r>
      <w:r w:rsidR="00E410A7">
        <w:t>about</w:t>
      </w:r>
      <w:r w:rsidR="00E410A7" w:rsidRPr="00C9026A">
        <w:t xml:space="preserve"> </w:t>
      </w:r>
      <w:r w:rsidR="00B477EF" w:rsidRPr="00C9026A">
        <w:t xml:space="preserve">the </w:t>
      </w:r>
      <w:r w:rsidRPr="00C9026A">
        <w:t xml:space="preserve">meteorological and hydrological </w:t>
      </w:r>
      <w:r w:rsidR="004C5856">
        <w:t>conditions</w:t>
      </w:r>
      <w:r w:rsidR="004C5856" w:rsidRPr="00C9026A">
        <w:t xml:space="preserve"> </w:t>
      </w:r>
      <w:r w:rsidR="001C1414">
        <w:t xml:space="preserve">should </w:t>
      </w:r>
      <w:r w:rsidRPr="00C9026A">
        <w:t>be made</w:t>
      </w:r>
      <w:r w:rsidR="005F0A07">
        <w:t xml:space="preserve"> to be used as input to dispersion models</w:t>
      </w:r>
      <w:r w:rsidRPr="00C9026A">
        <w:t>. For example, a uniform wind direction for atmospheric dispersion</w:t>
      </w:r>
      <w:r w:rsidR="002E6CD4">
        <w:t>,</w:t>
      </w:r>
      <w:r w:rsidRPr="00C9026A">
        <w:t xml:space="preserve"> </w:t>
      </w:r>
      <w:r w:rsidR="0059541F" w:rsidRPr="00C9026A">
        <w:t>low</w:t>
      </w:r>
      <w:r w:rsidRPr="00C9026A">
        <w:t xml:space="preserve"> </w:t>
      </w:r>
      <w:r w:rsidR="0059541F" w:rsidRPr="00C9026A">
        <w:t xml:space="preserve">atmospheric </w:t>
      </w:r>
      <w:r w:rsidRPr="00C9026A">
        <w:t xml:space="preserve">dilution conditions </w:t>
      </w:r>
      <w:r w:rsidR="002E6CD4">
        <w:t>and precipitation by raining</w:t>
      </w:r>
      <w:r w:rsidR="002E6CD4" w:rsidRPr="00C9026A">
        <w:t xml:space="preserve"> </w:t>
      </w:r>
      <w:r w:rsidRPr="00C9026A">
        <w:t xml:space="preserve">at the time of the postulated accident may be assumed. Such assumptions </w:t>
      </w:r>
      <w:r w:rsidR="00480E0F" w:rsidRPr="00C9026A">
        <w:t xml:space="preserve">would </w:t>
      </w:r>
      <w:r w:rsidRPr="00C9026A">
        <w:t xml:space="preserve">give conservative results and avoid the need to obtain site specific data. </w:t>
      </w:r>
      <w:r w:rsidR="00480E0F" w:rsidRPr="00C9026A">
        <w:t xml:space="preserve">However, assumptions </w:t>
      </w:r>
      <w:r w:rsidR="004C5856">
        <w:t xml:space="preserve">that are considered </w:t>
      </w:r>
      <w:r w:rsidR="00480E0F" w:rsidRPr="00C9026A">
        <w:t xml:space="preserve">conservative for </w:t>
      </w:r>
      <w:r w:rsidR="00E410A7">
        <w:t xml:space="preserve">a particular exposure pathway </w:t>
      </w:r>
      <w:r w:rsidR="0015548C" w:rsidRPr="00C9026A">
        <w:t xml:space="preserve">may </w:t>
      </w:r>
      <w:r w:rsidR="0015548C">
        <w:t xml:space="preserve">not </w:t>
      </w:r>
      <w:r w:rsidR="0015548C" w:rsidRPr="00C9026A">
        <w:t xml:space="preserve">be conservative for </w:t>
      </w:r>
      <w:r w:rsidR="0015548C">
        <w:t>other</w:t>
      </w:r>
      <w:r w:rsidR="004C5856">
        <w:t xml:space="preserve"> exposure pathways</w:t>
      </w:r>
      <w:r w:rsidR="003555BB">
        <w:t xml:space="preserve"> </w:t>
      </w:r>
      <w:r w:rsidR="00D76B08">
        <w:t>(e.g</w:t>
      </w:r>
      <w:r w:rsidR="001666C1">
        <w:t>.</w:t>
      </w:r>
      <w:r w:rsidR="00D76B08">
        <w:t xml:space="preserve"> for </w:t>
      </w:r>
      <w:r w:rsidR="00480E0F" w:rsidRPr="00C9026A">
        <w:t xml:space="preserve">inhalation </w:t>
      </w:r>
      <w:r w:rsidR="00D76B08">
        <w:t xml:space="preserve">it </w:t>
      </w:r>
      <w:r w:rsidR="004C5856">
        <w:t xml:space="preserve">might </w:t>
      </w:r>
      <w:r w:rsidR="00D76B08">
        <w:t>be assumed</w:t>
      </w:r>
      <w:r w:rsidR="00416717" w:rsidRPr="00C9026A">
        <w:t xml:space="preserve"> that all the release </w:t>
      </w:r>
      <w:r w:rsidR="001666C1">
        <w:t xml:space="preserve">from the facility or activity </w:t>
      </w:r>
      <w:r w:rsidR="00416717" w:rsidRPr="00C9026A">
        <w:t>go</w:t>
      </w:r>
      <w:r w:rsidR="001666C1">
        <w:t>es</w:t>
      </w:r>
      <w:r w:rsidR="00416717" w:rsidRPr="00C9026A">
        <w:t xml:space="preserve"> to the atmosphere</w:t>
      </w:r>
      <w:r w:rsidR="001666C1">
        <w:t xml:space="preserve"> and </w:t>
      </w:r>
      <w:r w:rsidR="004C5856">
        <w:t xml:space="preserve">no radionuclides are released </w:t>
      </w:r>
      <w:r w:rsidR="001666C1">
        <w:t xml:space="preserve">to aquatic media; </w:t>
      </w:r>
      <w:r w:rsidR="004C5856">
        <w:t xml:space="preserve">however, </w:t>
      </w:r>
      <w:r w:rsidR="001666C1">
        <w:t>this</w:t>
      </w:r>
      <w:r w:rsidR="00416717" w:rsidRPr="00C9026A">
        <w:t xml:space="preserve"> </w:t>
      </w:r>
      <w:r w:rsidR="004C5856">
        <w:t xml:space="preserve">assumption </w:t>
      </w:r>
      <w:r w:rsidR="00480E0F" w:rsidRPr="00C9026A">
        <w:t xml:space="preserve">may </w:t>
      </w:r>
      <w:r w:rsidR="00D76B08">
        <w:t xml:space="preserve">not </w:t>
      </w:r>
      <w:r w:rsidR="00480E0F" w:rsidRPr="00C9026A">
        <w:t xml:space="preserve">be conservative for </w:t>
      </w:r>
      <w:r w:rsidR="001666C1">
        <w:t xml:space="preserve">pathways </w:t>
      </w:r>
      <w:r w:rsidR="004C5856">
        <w:t xml:space="preserve">such as </w:t>
      </w:r>
      <w:r w:rsidR="00480E0F" w:rsidRPr="00C9026A">
        <w:t>ingestion</w:t>
      </w:r>
      <w:r w:rsidR="00416717" w:rsidRPr="00C9026A">
        <w:t xml:space="preserve"> of food</w:t>
      </w:r>
      <w:r w:rsidR="001666C1">
        <w:t>, if</w:t>
      </w:r>
      <w:r w:rsidR="00416717" w:rsidRPr="00C9026A">
        <w:t xml:space="preserve"> </w:t>
      </w:r>
      <w:r w:rsidR="004C5856">
        <w:t xml:space="preserve">the food is </w:t>
      </w:r>
      <w:r w:rsidR="00416717" w:rsidRPr="00C9026A">
        <w:t xml:space="preserve">produced </w:t>
      </w:r>
      <w:r w:rsidR="004C5856">
        <w:t>using</w:t>
      </w:r>
      <w:r w:rsidR="004C5856" w:rsidRPr="00C9026A">
        <w:t xml:space="preserve"> </w:t>
      </w:r>
      <w:r w:rsidR="00416717" w:rsidRPr="00C9026A">
        <w:t>irrigation</w:t>
      </w:r>
      <w:r w:rsidR="001666C1">
        <w:t>)</w:t>
      </w:r>
      <w:r w:rsidR="00480E0F" w:rsidRPr="00C9026A">
        <w:t xml:space="preserve">. When </w:t>
      </w:r>
      <w:r w:rsidR="00416717" w:rsidRPr="00C9026A">
        <w:t>different</w:t>
      </w:r>
      <w:r w:rsidR="00480E0F" w:rsidRPr="00C9026A">
        <w:t xml:space="preserve"> pathways are involved, it might not </w:t>
      </w:r>
      <w:r w:rsidR="00FC4AEA">
        <w:t xml:space="preserve">be </w:t>
      </w:r>
      <w:r w:rsidR="00480E0F" w:rsidRPr="00C9026A">
        <w:t xml:space="preserve">so easy to identify </w:t>
      </w:r>
      <w:r w:rsidR="003555BB">
        <w:t xml:space="preserve">a priori </w:t>
      </w:r>
      <w:r w:rsidR="00480E0F" w:rsidRPr="00C9026A">
        <w:t xml:space="preserve">the most </w:t>
      </w:r>
      <w:r w:rsidR="00EF004B">
        <w:t>cautious</w:t>
      </w:r>
      <w:r w:rsidR="00EF004B" w:rsidRPr="00C9026A">
        <w:t xml:space="preserve"> </w:t>
      </w:r>
      <w:r w:rsidR="00480E0F" w:rsidRPr="00C9026A">
        <w:t>assumption and a careful compromise should be evaluated.</w:t>
      </w:r>
    </w:p>
    <w:p w:rsidR="009B5A1F" w:rsidRPr="00C9026A" w:rsidRDefault="009B5A1F" w:rsidP="00A57A35">
      <w:pPr>
        <w:pStyle w:val="Heading4"/>
        <w:ind w:left="0"/>
      </w:pPr>
      <w:r w:rsidRPr="00C9026A">
        <w:lastRenderedPageBreak/>
        <w:t>If</w:t>
      </w:r>
      <w:r w:rsidR="001020F4" w:rsidRPr="00C9026A">
        <w:t xml:space="preserve"> </w:t>
      </w:r>
      <w:r w:rsidR="002E6CD4" w:rsidRPr="00C9026A">
        <w:t xml:space="preserve">the </w:t>
      </w:r>
      <w:r w:rsidR="004C5856">
        <w:t xml:space="preserve">estimated </w:t>
      </w:r>
      <w:r w:rsidR="00D76B08">
        <w:t xml:space="preserve">doses or risks </w:t>
      </w:r>
      <w:r w:rsidR="002E6CD4" w:rsidRPr="00C9026A">
        <w:t xml:space="preserve">are </w:t>
      </w:r>
      <w:r w:rsidR="002E6CD4">
        <w:t xml:space="preserve">above </w:t>
      </w:r>
      <w:r w:rsidR="002E6CD4" w:rsidRPr="00C9026A">
        <w:t xml:space="preserve">the selected criteria </w:t>
      </w:r>
      <w:r w:rsidR="00281D80" w:rsidRPr="00C9026A">
        <w:t>because of the</w:t>
      </w:r>
      <w:r w:rsidRPr="00C9026A">
        <w:t xml:space="preserve"> </w:t>
      </w:r>
      <w:r w:rsidR="001020F4" w:rsidRPr="00C9026A">
        <w:t>use of</w:t>
      </w:r>
      <w:r w:rsidRPr="00C9026A">
        <w:t xml:space="preserve"> </w:t>
      </w:r>
      <w:r w:rsidR="002F3F97" w:rsidRPr="00C9026A">
        <w:t xml:space="preserve">assumptions </w:t>
      </w:r>
      <w:r w:rsidR="004C5856">
        <w:t>in which</w:t>
      </w:r>
      <w:r w:rsidR="00281D80" w:rsidRPr="00C9026A">
        <w:t xml:space="preserve"> the dose</w:t>
      </w:r>
      <w:r w:rsidR="004C5856">
        <w:t xml:space="preserve"> is </w:t>
      </w:r>
      <w:r w:rsidR="005F0A07">
        <w:t xml:space="preserve">largely </w:t>
      </w:r>
      <w:r w:rsidR="004C5856">
        <w:t>overestimated</w:t>
      </w:r>
      <w:r w:rsidRPr="00C9026A">
        <w:t xml:space="preserve">, </w:t>
      </w:r>
      <w:r w:rsidR="00D76B08">
        <w:t>the assessment should be refine</w:t>
      </w:r>
      <w:r w:rsidR="003555BB">
        <w:t>d</w:t>
      </w:r>
      <w:r w:rsidR="00D76B08">
        <w:t xml:space="preserve"> using</w:t>
      </w:r>
      <w:r w:rsidR="003555BB">
        <w:t>,</w:t>
      </w:r>
      <w:r w:rsidR="00D76B08">
        <w:t xml:space="preserve"> whenever possible</w:t>
      </w:r>
      <w:r w:rsidR="003555BB">
        <w:t>,</w:t>
      </w:r>
      <w:r w:rsidR="00A4244F">
        <w:t xml:space="preserve"> </w:t>
      </w:r>
      <w:r w:rsidRPr="00C9026A">
        <w:t xml:space="preserve">more realistic </w:t>
      </w:r>
      <w:r w:rsidR="00BC41D3">
        <w:t xml:space="preserve">models and </w:t>
      </w:r>
      <w:r w:rsidR="001666C1">
        <w:t>data. For example,</w:t>
      </w:r>
      <w:r w:rsidRPr="00C9026A">
        <w:t xml:space="preserve"> the applicable meteorological</w:t>
      </w:r>
      <w:r w:rsidR="003555BB">
        <w:t>,</w:t>
      </w:r>
      <w:r w:rsidRPr="00C9026A">
        <w:t xml:space="preserve"> hydrological</w:t>
      </w:r>
      <w:r w:rsidR="003555BB">
        <w:t xml:space="preserve"> and other</w:t>
      </w:r>
      <w:r w:rsidRPr="00C9026A">
        <w:t xml:space="preserve"> parameters</w:t>
      </w:r>
      <w:r w:rsidR="001666C1">
        <w:t xml:space="preserve"> should be</w:t>
      </w:r>
      <w:r w:rsidRPr="00C9026A">
        <w:t xml:space="preserve"> </w:t>
      </w:r>
      <w:r w:rsidR="00BC41D3">
        <w:t xml:space="preserve">based on local measurements or surveys </w:t>
      </w:r>
      <w:r w:rsidR="0002099C" w:rsidRPr="00C9026A">
        <w:t xml:space="preserve">to reduce the level of </w:t>
      </w:r>
      <w:r w:rsidR="0002099C" w:rsidRPr="008732DE">
        <w:t>uncertainty</w:t>
      </w:r>
      <w:r w:rsidRPr="00C9026A">
        <w:t>. Th</w:t>
      </w:r>
      <w:r w:rsidR="00B477EF" w:rsidRPr="00C9026A">
        <w:t xml:space="preserve">e </w:t>
      </w:r>
      <w:r w:rsidR="00D76B08">
        <w:t xml:space="preserve">use of </w:t>
      </w:r>
      <w:r w:rsidR="00B477EF" w:rsidRPr="00C9026A">
        <w:t xml:space="preserve">meteorological and hydrological data </w:t>
      </w:r>
      <w:r w:rsidR="00D76B08">
        <w:t xml:space="preserve">in environmental models </w:t>
      </w:r>
      <w:r w:rsidR="007650D8">
        <w:t>is</w:t>
      </w:r>
      <w:r w:rsidR="007650D8" w:rsidRPr="00C9026A">
        <w:t xml:space="preserve"> </w:t>
      </w:r>
      <w:r w:rsidR="00F469C7">
        <w:t>described</w:t>
      </w:r>
      <w:r w:rsidR="00F469C7" w:rsidRPr="00C9026A">
        <w:t xml:space="preserve"> </w:t>
      </w:r>
      <w:r w:rsidRPr="00C9026A">
        <w:t xml:space="preserve">in more detail </w:t>
      </w:r>
      <w:r w:rsidR="00C64E65" w:rsidRPr="00C9026A">
        <w:t xml:space="preserve">in </w:t>
      </w:r>
      <w:r w:rsidR="00F469C7">
        <w:t>paras</w:t>
      </w:r>
      <w:r w:rsidR="00F469C7" w:rsidRPr="00C9026A">
        <w:t xml:space="preserve"> </w:t>
      </w:r>
      <w:r w:rsidR="00656FB2" w:rsidRPr="00C9026A">
        <w:t>5.</w:t>
      </w:r>
      <w:r w:rsidR="00FC2FE2" w:rsidRPr="00C9026A">
        <w:t>1</w:t>
      </w:r>
      <w:r w:rsidR="009D6597">
        <w:t>8</w:t>
      </w:r>
      <w:r w:rsidR="00FC2FE2" w:rsidRPr="00C9026A">
        <w:t xml:space="preserve"> </w:t>
      </w:r>
      <w:r w:rsidR="00656FB2" w:rsidRPr="00C9026A">
        <w:t>to 5.</w:t>
      </w:r>
      <w:r w:rsidR="00FC2FE2" w:rsidRPr="00C9026A">
        <w:t>2</w:t>
      </w:r>
      <w:r w:rsidR="004C5856">
        <w:t>5</w:t>
      </w:r>
      <w:r w:rsidRPr="00C9026A">
        <w:t>.</w:t>
      </w:r>
    </w:p>
    <w:p w:rsidR="009B5A1F" w:rsidRPr="00C9026A" w:rsidRDefault="009B5A1F" w:rsidP="00A57A35">
      <w:pPr>
        <w:pStyle w:val="Heading4"/>
        <w:ind w:left="0"/>
      </w:pPr>
      <w:r w:rsidRPr="00C9026A">
        <w:t xml:space="preserve">For </w:t>
      </w:r>
      <w:r w:rsidR="001020F4" w:rsidRPr="00C9026A">
        <w:t xml:space="preserve">nuclear </w:t>
      </w:r>
      <w:r w:rsidRPr="00C9026A">
        <w:t>facilities</w:t>
      </w:r>
      <w:r w:rsidR="003F4750" w:rsidRPr="00C9026A">
        <w:t xml:space="preserve"> or activities </w:t>
      </w:r>
      <w:r w:rsidR="009D6597">
        <w:t>for which</w:t>
      </w:r>
      <w:r w:rsidR="009D6597" w:rsidRPr="00C9026A">
        <w:t xml:space="preserve"> </w:t>
      </w:r>
      <w:r w:rsidR="003F4750" w:rsidRPr="00C9026A">
        <w:t>complex</w:t>
      </w:r>
      <w:r w:rsidR="00BD3FD7">
        <w:t>,</w:t>
      </w:r>
      <w:r w:rsidR="003F4750" w:rsidRPr="00C9026A">
        <w:t xml:space="preserve"> </w:t>
      </w:r>
      <w:r w:rsidR="005F0A07">
        <w:t xml:space="preserve">realistic </w:t>
      </w:r>
      <w:r w:rsidR="003F4750" w:rsidRPr="00C9026A">
        <w:t>assessments</w:t>
      </w:r>
      <w:r w:rsidR="009D6597">
        <w:t xml:space="preserve"> are warranted</w:t>
      </w:r>
      <w:r w:rsidRPr="00C9026A">
        <w:t>, meteorological and hydrological data</w:t>
      </w:r>
      <w:r w:rsidR="002247B5" w:rsidRPr="00C9026A">
        <w:t xml:space="preserve"> </w:t>
      </w:r>
      <w:r w:rsidRPr="00C9026A">
        <w:t>collected</w:t>
      </w:r>
      <w:r w:rsidR="00A42A43" w:rsidRPr="00A42A43">
        <w:t xml:space="preserve"> </w:t>
      </w:r>
      <w:r w:rsidR="00A42A43" w:rsidRPr="00C9026A">
        <w:t>locally</w:t>
      </w:r>
      <w:r w:rsidR="009D6597">
        <w:t>,</w:t>
      </w:r>
      <w:r w:rsidR="00A4244F">
        <w:t xml:space="preserve"> </w:t>
      </w:r>
      <w:r w:rsidRPr="00F7161F">
        <w:t xml:space="preserve">over at least </w:t>
      </w:r>
      <w:r w:rsidR="00261B2C">
        <w:t>3</w:t>
      </w:r>
      <w:r w:rsidR="005F0A07">
        <w:t xml:space="preserve"> </w:t>
      </w:r>
      <w:r w:rsidR="00E232FE">
        <w:t xml:space="preserve">to </w:t>
      </w:r>
      <w:r w:rsidR="00261B2C">
        <w:t>10</w:t>
      </w:r>
      <w:r w:rsidR="00DA3E6B" w:rsidRPr="00C9026A">
        <w:t xml:space="preserve"> </w:t>
      </w:r>
      <w:r w:rsidR="00A71C9A" w:rsidRPr="00C9026A">
        <w:t>years</w:t>
      </w:r>
      <w:r w:rsidR="009D6597">
        <w:t>,</w:t>
      </w:r>
      <w:r w:rsidR="00D71E95">
        <w:t xml:space="preserve"> </w:t>
      </w:r>
      <w:r w:rsidR="00CD5346" w:rsidRPr="00C9026A">
        <w:t>should</w:t>
      </w:r>
      <w:r w:rsidRPr="00C9026A">
        <w:t xml:space="preserve"> be used to specify characteristic accident dispersion conditions [</w:t>
      </w:r>
      <w:r w:rsidR="006B0E15">
        <w:t>41</w:t>
      </w:r>
      <w:r w:rsidR="002F3F97" w:rsidRPr="00C9026A">
        <w:t xml:space="preserve">, </w:t>
      </w:r>
      <w:r w:rsidR="006444D3" w:rsidRPr="00C9026A">
        <w:t>4</w:t>
      </w:r>
      <w:r w:rsidR="006B0E15">
        <w:t>3</w:t>
      </w:r>
      <w:r w:rsidRPr="00C9026A">
        <w:t xml:space="preserve">]. </w:t>
      </w:r>
      <w:r w:rsidR="00E17A9B" w:rsidRPr="00C9026A">
        <w:t xml:space="preserve">Site specific meteorological and hydrological data for nuclear facilities </w:t>
      </w:r>
      <w:r w:rsidR="00D71E95">
        <w:t>are</w:t>
      </w:r>
      <w:r w:rsidR="00D71E95" w:rsidRPr="00C9026A">
        <w:t xml:space="preserve"> </w:t>
      </w:r>
      <w:r w:rsidR="00E17A9B" w:rsidRPr="00C9026A">
        <w:t xml:space="preserve">generally collected during </w:t>
      </w:r>
      <w:r w:rsidR="009D6597">
        <w:t xml:space="preserve">the </w:t>
      </w:r>
      <w:r w:rsidR="00E17A9B" w:rsidRPr="00C9026A">
        <w:t>site evaluation</w:t>
      </w:r>
      <w:r w:rsidR="00E232FE">
        <w:t xml:space="preserve"> </w:t>
      </w:r>
      <w:r w:rsidR="009D6597">
        <w:t>stage</w:t>
      </w:r>
      <w:r w:rsidR="00E17A9B" w:rsidRPr="00C9026A">
        <w:t xml:space="preserve">; detailed guidance on the type and characteristics of </w:t>
      </w:r>
      <w:r w:rsidR="00D71E95">
        <w:t xml:space="preserve">these </w:t>
      </w:r>
      <w:r w:rsidR="00E17A9B" w:rsidRPr="00C9026A">
        <w:t xml:space="preserve">data is </w:t>
      </w:r>
      <w:r w:rsidR="009D6597">
        <w:t>provided</w:t>
      </w:r>
      <w:r w:rsidR="009D6597" w:rsidRPr="00C9026A">
        <w:t xml:space="preserve"> </w:t>
      </w:r>
      <w:r w:rsidR="00E17A9B" w:rsidRPr="00C9026A">
        <w:t xml:space="preserve">in </w:t>
      </w:r>
      <w:r w:rsidR="00E232FE">
        <w:t xml:space="preserve">NS-G-3.2 </w:t>
      </w:r>
      <w:r w:rsidR="00E17A9B" w:rsidRPr="00C9026A">
        <w:t>[</w:t>
      </w:r>
      <w:r w:rsidR="006444D3" w:rsidRPr="00C9026A">
        <w:t>4</w:t>
      </w:r>
      <w:r w:rsidR="006B0E15">
        <w:t>3</w:t>
      </w:r>
      <w:r w:rsidR="00E17A9B" w:rsidRPr="00C9026A">
        <w:t xml:space="preserve">]. </w:t>
      </w:r>
      <w:r w:rsidR="00E232FE">
        <w:t xml:space="preserve">Meteorological and hydrological </w:t>
      </w:r>
      <w:r w:rsidRPr="00C9026A">
        <w:t xml:space="preserve">data </w:t>
      </w:r>
      <w:r w:rsidR="00E232FE">
        <w:t xml:space="preserve">may also be </w:t>
      </w:r>
      <w:r w:rsidR="00E232FE" w:rsidRPr="00C9026A">
        <w:t>collected</w:t>
      </w:r>
      <w:r w:rsidR="002247B5" w:rsidRPr="00C9026A">
        <w:t xml:space="preserve"> </w:t>
      </w:r>
      <w:r w:rsidR="00E232FE">
        <w:t xml:space="preserve">to be used </w:t>
      </w:r>
      <w:r w:rsidRPr="00C9026A">
        <w:t xml:space="preserve">for </w:t>
      </w:r>
      <w:r w:rsidR="00E232FE">
        <w:t>a</w:t>
      </w:r>
      <w:r w:rsidRPr="00C9026A">
        <w:t xml:space="preserve"> </w:t>
      </w:r>
      <w:r w:rsidR="00946505" w:rsidRPr="00C9026A">
        <w:t xml:space="preserve">prospective </w:t>
      </w:r>
      <w:r w:rsidRPr="00C9026A">
        <w:t xml:space="preserve">assessment of </w:t>
      </w:r>
      <w:r w:rsidR="00946505" w:rsidRPr="00C9026A">
        <w:t xml:space="preserve">exposures during </w:t>
      </w:r>
      <w:r w:rsidRPr="00C9026A">
        <w:t>normal operation</w:t>
      </w:r>
      <w:r w:rsidR="00E232FE">
        <w:t>. However this information may not be</w:t>
      </w:r>
      <w:r w:rsidRPr="00C9026A">
        <w:t xml:space="preserve"> sufficiently comprehensive </w:t>
      </w:r>
      <w:r w:rsidR="00E232FE">
        <w:t xml:space="preserve">to be used </w:t>
      </w:r>
      <w:r w:rsidRPr="00C9026A">
        <w:t>for accident analysis</w:t>
      </w:r>
      <w:r w:rsidR="00E232FE">
        <w:t>;</w:t>
      </w:r>
      <w:r w:rsidRPr="00C9026A">
        <w:t xml:space="preserve"> for instance, data on the long</w:t>
      </w:r>
      <w:r w:rsidR="009D6597">
        <w:t xml:space="preserve"> </w:t>
      </w:r>
      <w:r w:rsidRPr="00C9026A">
        <w:t xml:space="preserve">range transport of </w:t>
      </w:r>
      <w:r w:rsidR="00AC49DF">
        <w:t>radionuclides</w:t>
      </w:r>
      <w:r w:rsidRPr="00C9026A">
        <w:t xml:space="preserve"> in the atmosphere or in aquatic media </w:t>
      </w:r>
      <w:r w:rsidR="00E232FE">
        <w:t>may be missing or</w:t>
      </w:r>
      <w:r w:rsidR="00A4244F">
        <w:t xml:space="preserve"> </w:t>
      </w:r>
      <w:r w:rsidR="00E232FE">
        <w:t xml:space="preserve">may be </w:t>
      </w:r>
      <w:r w:rsidR="00A42A43">
        <w:t xml:space="preserve">available </w:t>
      </w:r>
      <w:r w:rsidR="00A42A43" w:rsidRPr="00C9026A">
        <w:t xml:space="preserve">only </w:t>
      </w:r>
      <w:r w:rsidR="00E232FE">
        <w:t xml:space="preserve">in the form of </w:t>
      </w:r>
      <w:r w:rsidRPr="00C9026A">
        <w:t>monthly</w:t>
      </w:r>
      <w:r w:rsidR="00E232FE">
        <w:t xml:space="preserve"> record</w:t>
      </w:r>
      <w:r w:rsidR="009D6597">
        <w:t>s</w:t>
      </w:r>
      <w:r w:rsidR="00E232FE">
        <w:t>. In this case</w:t>
      </w:r>
      <w:r w:rsidR="009D6597">
        <w:t>,</w:t>
      </w:r>
      <w:r w:rsidRPr="00C9026A">
        <w:t xml:space="preserve"> more detailed data</w:t>
      </w:r>
      <w:r w:rsidR="00E232FE">
        <w:t xml:space="preserve">, such as </w:t>
      </w:r>
      <w:r w:rsidR="00B3337B" w:rsidRPr="00C9026A">
        <w:t>hourly data if necessary</w:t>
      </w:r>
      <w:r w:rsidR="00E232FE">
        <w:t>,</w:t>
      </w:r>
      <w:r w:rsidR="00B3337B" w:rsidRPr="00C9026A">
        <w:t xml:space="preserve"> </w:t>
      </w:r>
      <w:r w:rsidR="00CD5346" w:rsidRPr="00C9026A">
        <w:t>should</w:t>
      </w:r>
      <w:r w:rsidRPr="00C9026A">
        <w:t xml:space="preserve"> be obtained from relevant </w:t>
      </w:r>
      <w:r w:rsidR="002247B5" w:rsidRPr="00C9026A">
        <w:t xml:space="preserve">regional </w:t>
      </w:r>
      <w:r w:rsidRPr="00C9026A">
        <w:t>records</w:t>
      </w:r>
      <w:r w:rsidR="00DA3E6B">
        <w:t xml:space="preserve"> or meteorological cent</w:t>
      </w:r>
      <w:r w:rsidR="00E232FE">
        <w:t>r</w:t>
      </w:r>
      <w:r w:rsidR="00DA3E6B">
        <w:t>es</w:t>
      </w:r>
      <w:r w:rsidRPr="00C9026A">
        <w:t xml:space="preserve">. Data could also be derived from </w:t>
      </w:r>
      <w:r w:rsidR="00DF6AC4">
        <w:t xml:space="preserve">dynamic </w:t>
      </w:r>
      <w:r w:rsidR="00956B3B" w:rsidRPr="00C9026A">
        <w:t>numeric</w:t>
      </w:r>
      <w:r w:rsidR="00A42A43">
        <w:t>al</w:t>
      </w:r>
      <w:r w:rsidR="00956B3B" w:rsidRPr="00C9026A">
        <w:t xml:space="preserve"> </w:t>
      </w:r>
      <w:r w:rsidRPr="00C9026A">
        <w:t xml:space="preserve">atmospheric or aquatic </w:t>
      </w:r>
      <w:r w:rsidR="00DF6AC4">
        <w:t xml:space="preserve">prediction </w:t>
      </w:r>
      <w:r w:rsidRPr="00C9026A">
        <w:t>models.</w:t>
      </w:r>
    </w:p>
    <w:p w:rsidR="009B5A1F" w:rsidRPr="00C9026A" w:rsidRDefault="008145DB" w:rsidP="00A57A35">
      <w:pPr>
        <w:pStyle w:val="Heading4"/>
        <w:ind w:left="0"/>
      </w:pPr>
      <w:r w:rsidRPr="00C9026A">
        <w:t xml:space="preserve">For nuclear </w:t>
      </w:r>
      <w:r w:rsidR="009D6597">
        <w:t xml:space="preserve">facilities </w:t>
      </w:r>
      <w:r w:rsidRPr="00C9026A">
        <w:t>and other</w:t>
      </w:r>
      <w:r w:rsidR="00DA3E6B">
        <w:t xml:space="preserve"> facilities</w:t>
      </w:r>
      <w:r w:rsidR="00E24AC5" w:rsidRPr="00C9026A">
        <w:t xml:space="preserve"> </w:t>
      </w:r>
      <w:r w:rsidR="00CA2938">
        <w:t>necessitating</w:t>
      </w:r>
      <w:r w:rsidR="00CA2938" w:rsidRPr="00C9026A">
        <w:t xml:space="preserve"> </w:t>
      </w:r>
      <w:r w:rsidR="0077024C">
        <w:t xml:space="preserve">a </w:t>
      </w:r>
      <w:r w:rsidR="009B5A1F" w:rsidRPr="00C9026A">
        <w:t>complex assessment,</w:t>
      </w:r>
      <w:r w:rsidR="00E24AC5" w:rsidRPr="00C9026A">
        <w:t xml:space="preserve"> in order to reduce the calculation efforts,</w:t>
      </w:r>
      <w:r w:rsidR="009B5A1F" w:rsidRPr="00C9026A">
        <w:t xml:space="preserve"> </w:t>
      </w:r>
      <w:r w:rsidR="00BC6040" w:rsidRPr="00C9026A">
        <w:t xml:space="preserve">the </w:t>
      </w:r>
      <w:r w:rsidR="00DA3E6B">
        <w:t>time</w:t>
      </w:r>
      <w:r w:rsidR="00DA3E6B" w:rsidRPr="00C9026A">
        <w:t xml:space="preserve"> </w:t>
      </w:r>
      <w:r w:rsidR="009B5A1F" w:rsidRPr="00C9026A">
        <w:t xml:space="preserve">of occurrence </w:t>
      </w:r>
      <w:r w:rsidR="00BC6040" w:rsidRPr="00C9026A">
        <w:t xml:space="preserve">of the </w:t>
      </w:r>
      <w:r w:rsidR="009B5A1F" w:rsidRPr="00C9026A">
        <w:t>accident</w:t>
      </w:r>
      <w:r w:rsidR="007540E9" w:rsidRPr="00C9026A">
        <w:t xml:space="preserve"> </w:t>
      </w:r>
      <w:r w:rsidR="00E24AC5" w:rsidRPr="00C9026A">
        <w:t>could</w:t>
      </w:r>
      <w:r w:rsidR="009B5A1F" w:rsidRPr="00C9026A">
        <w:t xml:space="preserve"> be selected by means of statistical sampling techniques</w:t>
      </w:r>
      <w:r w:rsidR="0077024C">
        <w:t>,</w:t>
      </w:r>
      <w:r w:rsidR="009B5A1F" w:rsidRPr="00C9026A">
        <w:t xml:space="preserve"> such as cyclic </w:t>
      </w:r>
      <w:r w:rsidR="009D6597" w:rsidRPr="00C9026A">
        <w:t xml:space="preserve">sampling </w:t>
      </w:r>
      <w:r w:rsidR="009B5A1F" w:rsidRPr="00C9026A">
        <w:t xml:space="preserve">or stratified sampling. Alternatively, an assessment </w:t>
      </w:r>
      <w:r w:rsidR="0059541F" w:rsidRPr="00C9026A">
        <w:t>should</w:t>
      </w:r>
      <w:r w:rsidR="009B5A1F" w:rsidRPr="00C9026A">
        <w:t xml:space="preserve"> be performed by using </w:t>
      </w:r>
      <w:r w:rsidR="009D6597">
        <w:t>a comprehensive</w:t>
      </w:r>
      <w:r w:rsidR="009B5A1F" w:rsidRPr="00C9026A">
        <w:t xml:space="preserve"> set of hourly meteorological </w:t>
      </w:r>
      <w:r w:rsidR="00D776CA" w:rsidRPr="00C9026A">
        <w:t>data</w:t>
      </w:r>
      <w:r w:rsidR="009D6597">
        <w:t xml:space="preserve"> over a full year</w:t>
      </w:r>
      <w:r w:rsidR="0077024C">
        <w:t>;</w:t>
      </w:r>
      <w:r w:rsidR="00D776CA" w:rsidRPr="00C9026A">
        <w:t xml:space="preserve"> </w:t>
      </w:r>
      <w:r w:rsidR="009B5A1F" w:rsidRPr="00C9026A">
        <w:t>in a</w:t>
      </w:r>
      <w:r w:rsidR="0077024C">
        <w:t>ny</w:t>
      </w:r>
      <w:r w:rsidR="009B5A1F" w:rsidRPr="00C9026A">
        <w:t xml:space="preserve"> case, the </w:t>
      </w:r>
      <w:r w:rsidR="007540E9" w:rsidRPr="00C9026A">
        <w:t xml:space="preserve">resulting </w:t>
      </w:r>
      <w:r w:rsidR="009B5A1F" w:rsidRPr="00C9026A">
        <w:t xml:space="preserve">selected dispersion conditions </w:t>
      </w:r>
      <w:r w:rsidR="009D6597">
        <w:t>should</w:t>
      </w:r>
      <w:r w:rsidR="009B5A1F" w:rsidRPr="00C9026A">
        <w:t xml:space="preserve"> be associated with a frequency of occurrence or a probability. For </w:t>
      </w:r>
      <w:r w:rsidR="00E24AC5" w:rsidRPr="00C9026A">
        <w:t xml:space="preserve">facilities </w:t>
      </w:r>
      <w:r w:rsidR="00CA2938">
        <w:t>necessitating</w:t>
      </w:r>
      <w:r w:rsidR="00CA2938" w:rsidRPr="00C9026A">
        <w:t xml:space="preserve"> </w:t>
      </w:r>
      <w:r w:rsidR="009B5A1F" w:rsidRPr="00C9026A">
        <w:t xml:space="preserve">simpler assessments, a </w:t>
      </w:r>
      <w:r w:rsidR="009D6597">
        <w:t>particular</w:t>
      </w:r>
      <w:r w:rsidR="009D6597" w:rsidRPr="00C9026A">
        <w:t xml:space="preserve"> </w:t>
      </w:r>
      <w:r w:rsidR="009B5A1F" w:rsidRPr="00C9026A">
        <w:t xml:space="preserve">time or a small set of times for the occurrence of the </w:t>
      </w:r>
      <w:r w:rsidR="00E24AC5" w:rsidRPr="00C9026A">
        <w:t xml:space="preserve">release </w:t>
      </w:r>
      <w:r w:rsidR="00CD5346" w:rsidRPr="00C9026A">
        <w:t>should</w:t>
      </w:r>
      <w:r w:rsidR="009B5A1F" w:rsidRPr="00C9026A">
        <w:t xml:space="preserve"> be selected</w:t>
      </w:r>
      <w:r w:rsidR="0077024C">
        <w:t xml:space="preserve">; care should be taken </w:t>
      </w:r>
      <w:r w:rsidR="009B5A1F" w:rsidRPr="00C9026A">
        <w:t>that the meteorological data for th</w:t>
      </w:r>
      <w:r w:rsidR="009D6597">
        <w:t>e</w:t>
      </w:r>
      <w:r w:rsidR="009B5A1F" w:rsidRPr="00C9026A">
        <w:t xml:space="preserve"> </w:t>
      </w:r>
      <w:r w:rsidR="009D6597">
        <w:t xml:space="preserve">selected </w:t>
      </w:r>
      <w:r w:rsidR="009B5A1F" w:rsidRPr="00C9026A">
        <w:t>time are conservative for the site under consideration.</w:t>
      </w:r>
    </w:p>
    <w:p w:rsidR="009B5A1F" w:rsidRPr="00C9026A" w:rsidRDefault="00DD2C6E" w:rsidP="00A57A35">
      <w:pPr>
        <w:pStyle w:val="Heading4"/>
        <w:ind w:left="0"/>
      </w:pPr>
      <w:r>
        <w:t>Environmental t</w:t>
      </w:r>
      <w:r w:rsidR="00E24AC5" w:rsidRPr="00C9026A">
        <w:t>ransfer m</w:t>
      </w:r>
      <w:r w:rsidR="009B5A1F" w:rsidRPr="00C9026A">
        <w:t xml:space="preserve">odels </w:t>
      </w:r>
      <w:r w:rsidR="00CD5346" w:rsidRPr="00C9026A">
        <w:t>should</w:t>
      </w:r>
      <w:r w:rsidR="009B5A1F" w:rsidRPr="00C9026A">
        <w:t xml:space="preserve"> be </w:t>
      </w:r>
      <w:r w:rsidR="00270FD7">
        <w:t>suit</w:t>
      </w:r>
      <w:r w:rsidR="009B5A1F" w:rsidRPr="00C9026A">
        <w:t xml:space="preserve">able </w:t>
      </w:r>
      <w:r w:rsidR="00292B0D">
        <w:t>for</w:t>
      </w:r>
      <w:r w:rsidR="00292B0D" w:rsidRPr="00C9026A">
        <w:t xml:space="preserve"> </w:t>
      </w:r>
      <w:r w:rsidR="009D6597">
        <w:t>tak</w:t>
      </w:r>
      <w:r w:rsidR="00292B0D">
        <w:t>ing</w:t>
      </w:r>
      <w:r w:rsidR="009D6597">
        <w:t xml:space="preserve"> account of</w:t>
      </w:r>
      <w:r w:rsidR="009D6597" w:rsidRPr="00C9026A">
        <w:t xml:space="preserve"> </w:t>
      </w:r>
      <w:r w:rsidR="009B5A1F" w:rsidRPr="00C9026A">
        <w:t>non-equilibrium conditions</w:t>
      </w:r>
      <w:r w:rsidR="008145DB" w:rsidRPr="00C9026A">
        <w:t xml:space="preserve"> usually associated </w:t>
      </w:r>
      <w:r w:rsidR="009D6597">
        <w:t>with</w:t>
      </w:r>
      <w:r w:rsidR="009D6597" w:rsidRPr="00C9026A">
        <w:t xml:space="preserve"> </w:t>
      </w:r>
      <w:r w:rsidR="008145DB" w:rsidRPr="00C9026A">
        <w:t>accidental releases</w:t>
      </w:r>
      <w:r>
        <w:t xml:space="preserve"> from facilities and activities</w:t>
      </w:r>
      <w:r w:rsidR="009B5A1F" w:rsidRPr="00C9026A">
        <w:t xml:space="preserve">. In addition, there can also be significant short-term variations in </w:t>
      </w:r>
      <w:r w:rsidR="00E24AC5" w:rsidRPr="00C9026A">
        <w:t xml:space="preserve">the source term and </w:t>
      </w:r>
      <w:r w:rsidR="009D6597">
        <w:t xml:space="preserve">in the assumed </w:t>
      </w:r>
      <w:r w:rsidR="00E24AC5" w:rsidRPr="00C9026A">
        <w:t xml:space="preserve">meteorological </w:t>
      </w:r>
      <w:r w:rsidR="009B5A1F" w:rsidRPr="00C9026A">
        <w:t xml:space="preserve">conditions. </w:t>
      </w:r>
      <w:r w:rsidR="00C64E65" w:rsidRPr="00C9026A">
        <w:t>If</w:t>
      </w:r>
      <w:r w:rsidR="009B5A1F" w:rsidRPr="00C9026A">
        <w:t xml:space="preserve"> there is potential for a large release</w:t>
      </w:r>
      <w:r w:rsidR="00C64E65" w:rsidRPr="00C9026A">
        <w:t xml:space="preserve">, </w:t>
      </w:r>
      <w:r w:rsidR="009B5A1F" w:rsidRPr="00C9026A">
        <w:t>models to estimate</w:t>
      </w:r>
      <w:r w:rsidR="00C64E65" w:rsidRPr="00C9026A">
        <w:t xml:space="preserve"> the </w:t>
      </w:r>
      <w:r w:rsidR="009B5A1F" w:rsidRPr="00C9026A">
        <w:t xml:space="preserve">transfer and </w:t>
      </w:r>
      <w:r w:rsidR="00C64E65" w:rsidRPr="00C9026A">
        <w:t xml:space="preserve">the </w:t>
      </w:r>
      <w:r w:rsidR="009B5A1F" w:rsidRPr="00C9026A">
        <w:t>dispersion of radionuclides in the environment at long</w:t>
      </w:r>
      <w:r w:rsidR="00660281" w:rsidRPr="00C9026A">
        <w:t>er</w:t>
      </w:r>
      <w:r w:rsidR="009B5A1F" w:rsidRPr="00C9026A">
        <w:t xml:space="preserve"> distances </w:t>
      </w:r>
      <w:r w:rsidR="00CD5346" w:rsidRPr="00C9026A">
        <w:t>should</w:t>
      </w:r>
      <w:r w:rsidR="009B5A1F" w:rsidRPr="00C9026A">
        <w:t xml:space="preserve"> be </w:t>
      </w:r>
      <w:r w:rsidR="009D6597">
        <w:t>used</w:t>
      </w:r>
      <w:r w:rsidR="009B5A1F" w:rsidRPr="00C9026A">
        <w:t>.</w:t>
      </w:r>
      <w:r w:rsidR="00BC6040" w:rsidRPr="00C9026A">
        <w:t xml:space="preserve"> Applicable dispersion models for </w:t>
      </w:r>
      <w:r w:rsidR="00DA3E6B" w:rsidRPr="00C9026A">
        <w:t>short</w:t>
      </w:r>
      <w:r w:rsidR="00DA3E6B">
        <w:t>-</w:t>
      </w:r>
      <w:r w:rsidR="00BC6040" w:rsidRPr="00C9026A">
        <w:t>term releases</w:t>
      </w:r>
      <w:r w:rsidR="00C7635C" w:rsidRPr="00C9026A">
        <w:t xml:space="preserve"> and </w:t>
      </w:r>
      <w:r w:rsidR="00AC49DF">
        <w:t xml:space="preserve">the </w:t>
      </w:r>
      <w:r w:rsidR="00C7635C" w:rsidRPr="00C9026A">
        <w:t>long</w:t>
      </w:r>
      <w:r w:rsidR="00AC49DF">
        <w:t xml:space="preserve"> </w:t>
      </w:r>
      <w:r w:rsidR="00C7635C" w:rsidRPr="00C9026A">
        <w:t xml:space="preserve">range transport of radionuclides </w:t>
      </w:r>
      <w:r w:rsidR="00CD5346" w:rsidRPr="00C9026A">
        <w:t>should</w:t>
      </w:r>
      <w:r w:rsidR="00BC6040" w:rsidRPr="00C9026A">
        <w:t xml:space="preserve"> be used</w:t>
      </w:r>
      <w:r w:rsidR="00C7635C" w:rsidRPr="00C9026A">
        <w:t xml:space="preserve"> when necessary</w:t>
      </w:r>
      <w:r w:rsidR="00BC6040" w:rsidRPr="00C9026A">
        <w:t xml:space="preserve"> to estimate the dispersion and distribution </w:t>
      </w:r>
      <w:r w:rsidR="00DA3E6B">
        <w:t xml:space="preserve">of radionuclides </w:t>
      </w:r>
      <w:r w:rsidR="00BC6040" w:rsidRPr="00C9026A">
        <w:t>in the environment.</w:t>
      </w:r>
    </w:p>
    <w:p w:rsidR="00217D17" w:rsidRPr="00C9026A" w:rsidRDefault="006F07AF" w:rsidP="00A57A35">
      <w:pPr>
        <w:pStyle w:val="Heading3"/>
        <w:rPr>
          <w:lang w:val="en-GB"/>
        </w:rPr>
      </w:pPr>
      <w:bookmarkStart w:id="80" w:name="_Toc450204018"/>
      <w:bookmarkStart w:id="81" w:name="_Toc447613495"/>
      <w:r>
        <w:rPr>
          <w:lang w:val="en-GB"/>
        </w:rPr>
        <w:t>Identification</w:t>
      </w:r>
      <w:r w:rsidR="009D6597">
        <w:rPr>
          <w:lang w:val="en-GB"/>
        </w:rPr>
        <w:t xml:space="preserve"> of e</w:t>
      </w:r>
      <w:r w:rsidR="00217D17" w:rsidRPr="00C9026A">
        <w:rPr>
          <w:lang w:val="en-GB"/>
        </w:rPr>
        <w:t>xposure pathways</w:t>
      </w:r>
      <w:bookmarkEnd w:id="80"/>
      <w:r w:rsidR="00514460" w:rsidRPr="00C9026A">
        <w:rPr>
          <w:lang w:val="en-GB"/>
        </w:rPr>
        <w:t xml:space="preserve"> </w:t>
      </w:r>
      <w:bookmarkEnd w:id="81"/>
    </w:p>
    <w:p w:rsidR="003E6902" w:rsidRPr="00C9026A" w:rsidRDefault="003E6902" w:rsidP="00A57A35">
      <w:pPr>
        <w:pStyle w:val="Heading4"/>
        <w:ind w:left="0"/>
      </w:pPr>
      <w:r w:rsidRPr="00C9026A">
        <w:t>The exposure pathways that are major contributors to the dose from accidental releases may be very different from those for normal operation. For example, consumption of fresh milk or vegetables immediately following a</w:t>
      </w:r>
      <w:r w:rsidR="00854647" w:rsidRPr="00C9026A">
        <w:t>n</w:t>
      </w:r>
      <w:r w:rsidRPr="00C9026A">
        <w:t xml:space="preserve"> accident at a nuclear power plant could be an important pathway for exposures due to short lived iodine radionuclides. Care </w:t>
      </w:r>
      <w:r w:rsidR="00CD5346" w:rsidRPr="00C9026A">
        <w:t>should</w:t>
      </w:r>
      <w:r w:rsidRPr="00C9026A">
        <w:t xml:space="preserve"> therefore be taken </w:t>
      </w:r>
      <w:r w:rsidR="0000240F">
        <w:t xml:space="preserve">to </w:t>
      </w:r>
      <w:r w:rsidRPr="00C9026A">
        <w:t>adequate</w:t>
      </w:r>
      <w:r w:rsidR="0000240F">
        <w:t>ly</w:t>
      </w:r>
      <w:r w:rsidRPr="00C9026A">
        <w:t xml:space="preserve"> identif</w:t>
      </w:r>
      <w:r w:rsidR="0000240F">
        <w:t>y</w:t>
      </w:r>
      <w:r w:rsidR="00CF36CD">
        <w:t xml:space="preserve"> and represent by models</w:t>
      </w:r>
      <w:r w:rsidR="0000240F">
        <w:t xml:space="preserve"> </w:t>
      </w:r>
      <w:r w:rsidRPr="00C9026A">
        <w:t xml:space="preserve">the </w:t>
      </w:r>
      <w:r w:rsidR="006F07AF">
        <w:t xml:space="preserve">relevant </w:t>
      </w:r>
      <w:r w:rsidRPr="00C9026A">
        <w:t>exposure pathways.</w:t>
      </w:r>
    </w:p>
    <w:p w:rsidR="003E6902" w:rsidRPr="00C9026A" w:rsidRDefault="003E6902" w:rsidP="00A57A35">
      <w:pPr>
        <w:pStyle w:val="Heading4"/>
        <w:ind w:left="0"/>
      </w:pPr>
      <w:r w:rsidRPr="00C9026A">
        <w:t>A</w:t>
      </w:r>
      <w:r w:rsidR="00DA3E6B" w:rsidRPr="00C9026A">
        <w:t xml:space="preserve"> </w:t>
      </w:r>
      <w:r w:rsidRPr="00C9026A">
        <w:t xml:space="preserve">list of </w:t>
      </w:r>
      <w:r w:rsidR="00467A55">
        <w:t xml:space="preserve">possible </w:t>
      </w:r>
      <w:r w:rsidRPr="00C9026A">
        <w:t xml:space="preserve">exposure pathways relevant for </w:t>
      </w:r>
      <w:r w:rsidR="006F07AF">
        <w:t xml:space="preserve">estimation of </w:t>
      </w:r>
      <w:r w:rsidRPr="00C9026A">
        <w:t>potential exposure</w:t>
      </w:r>
      <w:r w:rsidR="006F07AF">
        <w:t>s</w:t>
      </w:r>
      <w:r w:rsidRPr="00C9026A">
        <w:t xml:space="preserve"> </w:t>
      </w:r>
      <w:r w:rsidR="006F07AF">
        <w:t>that</w:t>
      </w:r>
      <w:r w:rsidR="006F07AF" w:rsidRPr="00C9026A">
        <w:t xml:space="preserve"> </w:t>
      </w:r>
      <w:r w:rsidR="00CD5346" w:rsidRPr="00C9026A">
        <w:t>should</w:t>
      </w:r>
      <w:r w:rsidR="00E5208A" w:rsidRPr="00C9026A">
        <w:t xml:space="preserve"> be considered in the assessment </w:t>
      </w:r>
      <w:r w:rsidRPr="00C9026A">
        <w:t xml:space="preserve">is given </w:t>
      </w:r>
      <w:r w:rsidR="006F07AF">
        <w:t>in the following</w:t>
      </w:r>
      <w:r w:rsidRPr="00C9026A">
        <w:t xml:space="preserve">: </w:t>
      </w:r>
    </w:p>
    <w:p w:rsidR="003E6902" w:rsidRPr="00C9026A" w:rsidRDefault="003E6902" w:rsidP="00EC76CF">
      <w:pPr>
        <w:numPr>
          <w:ilvl w:val="0"/>
          <w:numId w:val="9"/>
        </w:numPr>
        <w:spacing w:after="120"/>
        <w:ind w:left="0" w:firstLine="0"/>
      </w:pPr>
      <w:r w:rsidRPr="00C9026A">
        <w:lastRenderedPageBreak/>
        <w:t xml:space="preserve">External </w:t>
      </w:r>
      <w:r w:rsidR="00072A6A">
        <w:t>exposure</w:t>
      </w:r>
      <w:r w:rsidR="00072A6A" w:rsidRPr="00C9026A">
        <w:t xml:space="preserve"> </w:t>
      </w:r>
      <w:r w:rsidRPr="00C9026A">
        <w:t xml:space="preserve">due to deposition </w:t>
      </w:r>
      <w:r w:rsidR="00F93100">
        <w:t xml:space="preserve">of radionuclides </w:t>
      </w:r>
      <w:r w:rsidRPr="00C9026A">
        <w:t xml:space="preserve">on </w:t>
      </w:r>
      <w:r w:rsidR="00356521">
        <w:t xml:space="preserve">the </w:t>
      </w:r>
      <w:r w:rsidRPr="00C9026A">
        <w:t>skin;</w:t>
      </w:r>
    </w:p>
    <w:p w:rsidR="003E6902" w:rsidRPr="00C9026A" w:rsidRDefault="003E6902" w:rsidP="00EC76CF">
      <w:pPr>
        <w:numPr>
          <w:ilvl w:val="0"/>
          <w:numId w:val="9"/>
        </w:numPr>
        <w:spacing w:after="120"/>
        <w:ind w:left="0" w:firstLine="0"/>
      </w:pPr>
      <w:r w:rsidRPr="00C9026A">
        <w:t xml:space="preserve">External </w:t>
      </w:r>
      <w:r w:rsidR="00072A6A">
        <w:t>exposure</w:t>
      </w:r>
      <w:r w:rsidR="008B1640">
        <w:t xml:space="preserve"> due to direct irradiation</w:t>
      </w:r>
      <w:r w:rsidR="00072A6A" w:rsidRPr="00C9026A">
        <w:t xml:space="preserve"> </w:t>
      </w:r>
      <w:r w:rsidRPr="00C9026A">
        <w:t>from the source;</w:t>
      </w:r>
    </w:p>
    <w:p w:rsidR="003E6902" w:rsidRPr="00C9026A" w:rsidRDefault="003E6902" w:rsidP="00EC76CF">
      <w:pPr>
        <w:numPr>
          <w:ilvl w:val="0"/>
          <w:numId w:val="9"/>
        </w:numPr>
        <w:spacing w:after="120"/>
        <w:ind w:left="0" w:firstLine="0"/>
      </w:pPr>
      <w:r w:rsidRPr="00C9026A">
        <w:t xml:space="preserve">External </w:t>
      </w:r>
      <w:r w:rsidR="00072A6A">
        <w:t>exposure</w:t>
      </w:r>
      <w:r w:rsidR="00072A6A" w:rsidRPr="00C9026A">
        <w:t xml:space="preserve"> </w:t>
      </w:r>
      <w:r w:rsidR="008B1640">
        <w:t>due to direct irradiation</w:t>
      </w:r>
      <w:r w:rsidR="008B1640" w:rsidRPr="00C9026A">
        <w:t xml:space="preserve"> </w:t>
      </w:r>
      <w:r w:rsidRPr="00C9026A">
        <w:t xml:space="preserve">from the </w:t>
      </w:r>
      <w:r w:rsidR="00F93100">
        <w:t>atmospheric</w:t>
      </w:r>
      <w:r w:rsidR="00F93100" w:rsidRPr="00C9026A">
        <w:t xml:space="preserve"> </w:t>
      </w:r>
      <w:r w:rsidRPr="00C9026A">
        <w:t>plume</w:t>
      </w:r>
      <w:r w:rsidR="00F93100">
        <w:t xml:space="preserve"> (cloud</w:t>
      </w:r>
      <w:r w:rsidR="005307CB">
        <w:t xml:space="preserve"> </w:t>
      </w:r>
      <w:r w:rsidR="00F93100">
        <w:t>shine)</w:t>
      </w:r>
      <w:r w:rsidRPr="00C9026A">
        <w:t>;</w:t>
      </w:r>
    </w:p>
    <w:p w:rsidR="00F93100" w:rsidRPr="00C9026A" w:rsidRDefault="00F93100" w:rsidP="00EC76CF">
      <w:pPr>
        <w:numPr>
          <w:ilvl w:val="0"/>
          <w:numId w:val="9"/>
        </w:numPr>
        <w:spacing w:after="120"/>
        <w:ind w:left="0" w:firstLine="0"/>
      </w:pPr>
      <w:r w:rsidRPr="00C9026A">
        <w:t xml:space="preserve">External </w:t>
      </w:r>
      <w:r w:rsidR="00072A6A">
        <w:t>exposure</w:t>
      </w:r>
      <w:r w:rsidR="00072A6A" w:rsidRPr="00C9026A">
        <w:t xml:space="preserve"> </w:t>
      </w:r>
      <w:r w:rsidRPr="00C9026A">
        <w:t xml:space="preserve">due to deposition on the ground </w:t>
      </w:r>
      <w:r>
        <w:t>(ground</w:t>
      </w:r>
      <w:r w:rsidR="005307CB">
        <w:t xml:space="preserve"> </w:t>
      </w:r>
      <w:r>
        <w:t xml:space="preserve">shine) </w:t>
      </w:r>
      <w:r w:rsidRPr="00C9026A">
        <w:t>or other surfaces;</w:t>
      </w:r>
    </w:p>
    <w:p w:rsidR="003E6902" w:rsidRPr="00C9026A" w:rsidRDefault="003E6902" w:rsidP="00EC76CF">
      <w:pPr>
        <w:numPr>
          <w:ilvl w:val="0"/>
          <w:numId w:val="9"/>
        </w:numPr>
        <w:spacing w:after="120"/>
        <w:ind w:left="0" w:firstLine="0"/>
      </w:pPr>
      <w:r w:rsidRPr="00C9026A">
        <w:t xml:space="preserve">Inhalation </w:t>
      </w:r>
      <w:r w:rsidR="00F93100">
        <w:t xml:space="preserve">of radionuclides </w:t>
      </w:r>
      <w:r w:rsidRPr="00C9026A">
        <w:t xml:space="preserve">from the </w:t>
      </w:r>
      <w:r w:rsidR="00F93100">
        <w:t xml:space="preserve">atmospheric </w:t>
      </w:r>
      <w:r w:rsidRPr="00C9026A">
        <w:t>plume;</w:t>
      </w:r>
    </w:p>
    <w:p w:rsidR="003E6902" w:rsidRPr="00C9026A" w:rsidRDefault="003E6902" w:rsidP="00EC76CF">
      <w:pPr>
        <w:numPr>
          <w:ilvl w:val="0"/>
          <w:numId w:val="9"/>
        </w:numPr>
        <w:spacing w:after="120"/>
        <w:ind w:left="0" w:firstLine="0"/>
      </w:pPr>
      <w:r w:rsidRPr="00C9026A">
        <w:t xml:space="preserve">Inhalation of </w:t>
      </w:r>
      <w:proofErr w:type="spellStart"/>
      <w:r w:rsidRPr="00C9026A">
        <w:t>resuspended</w:t>
      </w:r>
      <w:proofErr w:type="spellEnd"/>
      <w:r w:rsidRPr="00C9026A">
        <w:t xml:space="preserve"> material</w:t>
      </w:r>
      <w:r w:rsidR="00F93100">
        <w:t xml:space="preserve"> from deposits</w:t>
      </w:r>
      <w:r w:rsidRPr="00C9026A">
        <w:t>;</w:t>
      </w:r>
    </w:p>
    <w:p w:rsidR="003E6902" w:rsidRPr="00C9026A" w:rsidRDefault="003E6902" w:rsidP="00EC76CF">
      <w:pPr>
        <w:numPr>
          <w:ilvl w:val="0"/>
          <w:numId w:val="9"/>
        </w:numPr>
        <w:spacing w:after="120"/>
        <w:ind w:left="0" w:firstLine="0"/>
      </w:pPr>
      <w:r w:rsidRPr="00C9026A">
        <w:t>Intakes of radionuclides due to the inadvertent ingestion of radioactive material deposited on ground or other surfaces;</w:t>
      </w:r>
      <w:r w:rsidR="00D776CA" w:rsidRPr="00C9026A">
        <w:t xml:space="preserve"> </w:t>
      </w:r>
    </w:p>
    <w:p w:rsidR="00FA0C26" w:rsidRDefault="003E6902" w:rsidP="00EC76CF">
      <w:pPr>
        <w:numPr>
          <w:ilvl w:val="0"/>
          <w:numId w:val="9"/>
        </w:numPr>
        <w:spacing w:after="120"/>
        <w:ind w:left="0" w:firstLine="0"/>
      </w:pPr>
      <w:r w:rsidRPr="00C9026A">
        <w:t xml:space="preserve">Intakes of radionuclides due to the consumption of </w:t>
      </w:r>
      <w:r w:rsidR="003C555C">
        <w:t xml:space="preserve">contaminated </w:t>
      </w:r>
      <w:r w:rsidRPr="00C9026A">
        <w:t>food and water.</w:t>
      </w:r>
    </w:p>
    <w:p w:rsidR="003E6902" w:rsidRPr="00C9026A" w:rsidRDefault="00796BFC" w:rsidP="00A57A35">
      <w:pPr>
        <w:pStyle w:val="Heading4"/>
        <w:ind w:left="0"/>
      </w:pPr>
      <w:r w:rsidRPr="00C9026A">
        <w:t xml:space="preserve">Depending on the </w:t>
      </w:r>
      <w:r w:rsidR="00154513" w:rsidRPr="00C9026A">
        <w:t>assumptions</w:t>
      </w:r>
      <w:r w:rsidRPr="00C9026A">
        <w:t xml:space="preserve"> </w:t>
      </w:r>
      <w:r w:rsidR="0000240F">
        <w:t>adopt</w:t>
      </w:r>
      <w:r w:rsidR="0000240F" w:rsidRPr="00C9026A">
        <w:t xml:space="preserve">ed </w:t>
      </w:r>
      <w:r w:rsidRPr="00C9026A">
        <w:t>for the assessment</w:t>
      </w:r>
      <w:r w:rsidR="00CF36CD">
        <w:t xml:space="preserve"> of the accident scenarios</w:t>
      </w:r>
      <w:r w:rsidRPr="00C9026A">
        <w:t>, the</w:t>
      </w:r>
      <w:r w:rsidR="001A6E61" w:rsidRPr="00C9026A">
        <w:t xml:space="preserve"> exposure due to ingestion of </w:t>
      </w:r>
      <w:r w:rsidRPr="00C9026A">
        <w:t xml:space="preserve">contaminated </w:t>
      </w:r>
      <w:r w:rsidR="001A6E61" w:rsidRPr="00C9026A">
        <w:t>fo</w:t>
      </w:r>
      <w:r w:rsidR="00534376" w:rsidRPr="00C9026A">
        <w:t>o</w:t>
      </w:r>
      <w:r w:rsidR="001A6E61" w:rsidRPr="00C9026A">
        <w:t>d may</w:t>
      </w:r>
      <w:r w:rsidR="00534376" w:rsidRPr="00C9026A">
        <w:t xml:space="preserve"> </w:t>
      </w:r>
      <w:r w:rsidRPr="00C9026A">
        <w:t xml:space="preserve">be reduced or </w:t>
      </w:r>
      <w:r w:rsidR="006F07AF">
        <w:t>averted</w:t>
      </w:r>
      <w:r w:rsidR="006F07AF" w:rsidRPr="00C9026A">
        <w:t xml:space="preserve"> </w:t>
      </w:r>
      <w:r w:rsidR="009E6979">
        <w:t>by</w:t>
      </w:r>
      <w:r w:rsidR="00534376" w:rsidRPr="00C9026A">
        <w:t xml:space="preserve"> the </w:t>
      </w:r>
      <w:r w:rsidR="006F07AF">
        <w:t xml:space="preserve">prompt </w:t>
      </w:r>
      <w:r w:rsidR="00534376" w:rsidRPr="00C9026A">
        <w:t>implementation of protective actions.</w:t>
      </w:r>
      <w:r w:rsidR="0059029A" w:rsidRPr="00C9026A">
        <w:t xml:space="preserve"> </w:t>
      </w:r>
      <w:r w:rsidR="006F07AF">
        <w:t>Estimated d</w:t>
      </w:r>
      <w:r w:rsidR="009E6979">
        <w:t>oses from o</w:t>
      </w:r>
      <w:r w:rsidRPr="00C9026A">
        <w:t>ther</w:t>
      </w:r>
      <w:r w:rsidR="00E5208A" w:rsidRPr="00C9026A">
        <w:t xml:space="preserve"> exposure </w:t>
      </w:r>
      <w:r w:rsidRPr="00C9026A">
        <w:t>pathways</w:t>
      </w:r>
      <w:r w:rsidR="00854647" w:rsidRPr="00C9026A">
        <w:t>, such as inhalation</w:t>
      </w:r>
      <w:r w:rsidR="003F4750" w:rsidRPr="00C9026A">
        <w:t xml:space="preserve"> and</w:t>
      </w:r>
      <w:r w:rsidR="00854647" w:rsidRPr="00C9026A">
        <w:t xml:space="preserve"> external </w:t>
      </w:r>
      <w:r w:rsidR="00072A6A">
        <w:t>exposure</w:t>
      </w:r>
      <w:r w:rsidR="00854647" w:rsidRPr="00C9026A">
        <w:t>,</w:t>
      </w:r>
      <w:r w:rsidRPr="00C9026A">
        <w:t xml:space="preserve"> </w:t>
      </w:r>
      <w:r w:rsidR="006F07AF">
        <w:t>can</w:t>
      </w:r>
      <w:r w:rsidR="006F07AF" w:rsidRPr="00C9026A">
        <w:t xml:space="preserve"> </w:t>
      </w:r>
      <w:r w:rsidRPr="00C9026A">
        <w:t xml:space="preserve">also be </w:t>
      </w:r>
      <w:r w:rsidR="00854647" w:rsidRPr="00C9026A">
        <w:t xml:space="preserve">significantly </w:t>
      </w:r>
      <w:r w:rsidRPr="00C9026A">
        <w:t xml:space="preserve">reduced if </w:t>
      </w:r>
      <w:r w:rsidR="009E6979">
        <w:t xml:space="preserve">emergency </w:t>
      </w:r>
      <w:r w:rsidR="006F07AF">
        <w:t>protective actions</w:t>
      </w:r>
      <w:r w:rsidR="009E6979">
        <w:t xml:space="preserve"> such as sheltering, evacuation and </w:t>
      </w:r>
      <w:r w:rsidR="006F07AF">
        <w:t xml:space="preserve">provision of iodine </w:t>
      </w:r>
      <w:r w:rsidR="009E6979">
        <w:t xml:space="preserve">thyroid </w:t>
      </w:r>
      <w:r w:rsidR="006F07AF">
        <w:t>blocking,</w:t>
      </w:r>
      <w:r w:rsidR="009E6979">
        <w:t xml:space="preserve"> are assumed to be implemented. </w:t>
      </w:r>
      <w:r w:rsidR="0088625C">
        <w:t>For example</w:t>
      </w:r>
      <w:r w:rsidR="006F07AF">
        <w:t>, the</w:t>
      </w:r>
      <w:r w:rsidR="0088625C">
        <w:t xml:space="preserve"> shielding and filtering provided by dwellings can greatly reduce doses to people who are sheltering during an accident</w:t>
      </w:r>
      <w:r w:rsidRPr="00C9026A">
        <w:t>. The exposure pathways</w:t>
      </w:r>
      <w:r w:rsidR="003C555C">
        <w:t xml:space="preserve">, the </w:t>
      </w:r>
      <w:r w:rsidR="009E6979">
        <w:t xml:space="preserve">shielding </w:t>
      </w:r>
      <w:r w:rsidR="003C555C">
        <w:t>factors</w:t>
      </w:r>
      <w:r w:rsidRPr="00C9026A">
        <w:t xml:space="preserve"> and the </w:t>
      </w:r>
      <w:r w:rsidR="00154513" w:rsidRPr="00C9026A">
        <w:t>assumptions</w:t>
      </w:r>
      <w:r w:rsidR="00E5208A" w:rsidRPr="00C9026A">
        <w:t xml:space="preserve"> of </w:t>
      </w:r>
      <w:r w:rsidR="006F07AF">
        <w:t>protective actions</w:t>
      </w:r>
      <w:r w:rsidR="006F07AF" w:rsidRPr="00C9026A">
        <w:t xml:space="preserve"> </w:t>
      </w:r>
      <w:r w:rsidR="00CD5346" w:rsidRPr="00C9026A">
        <w:t>should</w:t>
      </w:r>
      <w:r w:rsidR="00E5208A" w:rsidRPr="00C9026A">
        <w:t xml:space="preserve"> be clearly indicated </w:t>
      </w:r>
      <w:r w:rsidR="00CC0307" w:rsidRPr="00C9026A">
        <w:t xml:space="preserve">and </w:t>
      </w:r>
      <w:r w:rsidR="00B45361">
        <w:t xml:space="preserve">properly </w:t>
      </w:r>
      <w:r w:rsidR="00CC0307" w:rsidRPr="00C9026A">
        <w:t xml:space="preserve">justified </w:t>
      </w:r>
      <w:r w:rsidR="006F07AF">
        <w:t>in</w:t>
      </w:r>
      <w:r w:rsidR="00E5208A" w:rsidRPr="00C9026A">
        <w:t xml:space="preserve"> the assessment</w:t>
      </w:r>
      <w:r w:rsidR="00EF4FE4">
        <w:t xml:space="preserve">, in agreement with the actual </w:t>
      </w:r>
      <w:r w:rsidR="00917CB7">
        <w:t xml:space="preserve">off-site </w:t>
      </w:r>
      <w:r w:rsidR="00EF4FE4">
        <w:t xml:space="preserve">protective actions </w:t>
      </w:r>
      <w:r w:rsidR="00BD3FD7">
        <w:t xml:space="preserve">planned to be taken </w:t>
      </w:r>
      <w:r w:rsidR="00EF4FE4">
        <w:t>for the facility or activity under consideration</w:t>
      </w:r>
      <w:r w:rsidR="00E5208A" w:rsidRPr="00C9026A">
        <w:t>.</w:t>
      </w:r>
    </w:p>
    <w:p w:rsidR="00217D17" w:rsidRPr="00C9026A" w:rsidRDefault="00514460" w:rsidP="00A57A35">
      <w:pPr>
        <w:pStyle w:val="Heading3"/>
        <w:rPr>
          <w:lang w:val="en-GB"/>
        </w:rPr>
      </w:pPr>
      <w:bookmarkStart w:id="82" w:name="_Toc447613496"/>
      <w:bookmarkStart w:id="83" w:name="_Toc450204019"/>
      <w:r w:rsidRPr="00C9026A">
        <w:rPr>
          <w:lang w:val="en-GB"/>
        </w:rPr>
        <w:t xml:space="preserve">Identification of </w:t>
      </w:r>
      <w:r w:rsidR="00BD1828">
        <w:rPr>
          <w:lang w:val="en-GB"/>
        </w:rPr>
        <w:t xml:space="preserve">the </w:t>
      </w:r>
      <w:r w:rsidR="002A6183" w:rsidRPr="00C9026A">
        <w:rPr>
          <w:lang w:val="en-GB"/>
        </w:rPr>
        <w:t xml:space="preserve">representative </w:t>
      </w:r>
      <w:r w:rsidR="00946505" w:rsidRPr="00C9026A">
        <w:rPr>
          <w:lang w:val="en-GB"/>
        </w:rPr>
        <w:t>person for potential exposures</w:t>
      </w:r>
      <w:bookmarkEnd w:id="82"/>
      <w:bookmarkEnd w:id="83"/>
    </w:p>
    <w:p w:rsidR="003E6902" w:rsidRPr="00C9026A" w:rsidRDefault="00587B05" w:rsidP="00A57A35">
      <w:pPr>
        <w:pStyle w:val="Heading4"/>
        <w:ind w:left="0"/>
      </w:pPr>
      <w:r>
        <w:t>On the basis of</w:t>
      </w:r>
      <w:r w:rsidRPr="00C9026A">
        <w:t xml:space="preserve"> data from actual or </w:t>
      </w:r>
      <w:r>
        <w:t>hypothetical</w:t>
      </w:r>
      <w:r w:rsidRPr="00C9026A">
        <w:t xml:space="preserve"> </w:t>
      </w:r>
      <w:r>
        <w:t>individuals</w:t>
      </w:r>
      <w:r w:rsidRPr="00C9026A">
        <w:t xml:space="preserve"> likely to be </w:t>
      </w:r>
      <w:r w:rsidR="00917CB7">
        <w:t xml:space="preserve">most highly </w:t>
      </w:r>
      <w:r w:rsidRPr="00C9026A">
        <w:t xml:space="preserve">exposed </w:t>
      </w:r>
      <w:r>
        <w:t>in a</w:t>
      </w:r>
      <w:r w:rsidRPr="00C9026A">
        <w:t>n accident</w:t>
      </w:r>
      <w:r>
        <w:t>,</w:t>
      </w:r>
      <w:r w:rsidRPr="00C9026A">
        <w:t xml:space="preserve"> </w:t>
      </w:r>
      <w:r>
        <w:t>a</w:t>
      </w:r>
      <w:r w:rsidR="002A6183" w:rsidRPr="00C9026A">
        <w:t xml:space="preserve"> representative person</w:t>
      </w:r>
      <w:r w:rsidR="00B87BFF" w:rsidRPr="00C9026A">
        <w:rPr>
          <w:rStyle w:val="FootnoteReference"/>
        </w:rPr>
        <w:footnoteReference w:id="29"/>
      </w:r>
      <w:r w:rsidR="009A18DC">
        <w:t xml:space="preserve"> should be identified </w:t>
      </w:r>
      <w:r w:rsidR="00F35E5E" w:rsidRPr="00C9026A">
        <w:t xml:space="preserve">for </w:t>
      </w:r>
      <w:r w:rsidR="00FE7A95" w:rsidRPr="00C9026A">
        <w:t xml:space="preserve">the </w:t>
      </w:r>
      <w:r w:rsidR="00B61C96">
        <w:t xml:space="preserve">assessment of doses and risks </w:t>
      </w:r>
      <w:r w:rsidR="009A18DC">
        <w:t>associated with</w:t>
      </w:r>
      <w:r w:rsidR="00FE7A95" w:rsidRPr="00C9026A">
        <w:t xml:space="preserve"> </w:t>
      </w:r>
      <w:r w:rsidR="00F35E5E" w:rsidRPr="00C9026A">
        <w:t>potential exposures</w:t>
      </w:r>
      <w:r w:rsidR="009A18DC">
        <w:t>.</w:t>
      </w:r>
      <w:r w:rsidR="003E6902" w:rsidRPr="00C9026A">
        <w:t xml:space="preserve"> </w:t>
      </w:r>
      <w:r w:rsidR="009A18DC">
        <w:t>The representative person identified for potential exposures</w:t>
      </w:r>
      <w:r w:rsidR="009A18DC" w:rsidRPr="00C9026A">
        <w:t xml:space="preserve"> </w:t>
      </w:r>
      <w:r w:rsidR="003E6902" w:rsidRPr="00C9026A">
        <w:t xml:space="preserve">may be different from </w:t>
      </w:r>
      <w:r w:rsidR="009A18DC">
        <w:t>the</w:t>
      </w:r>
      <w:r w:rsidR="00FE7A95" w:rsidRPr="00C9026A">
        <w:t xml:space="preserve"> representative person</w:t>
      </w:r>
      <w:r w:rsidR="003E6902" w:rsidRPr="00C9026A">
        <w:t xml:space="preserve"> for </w:t>
      </w:r>
      <w:r w:rsidR="00AF684E">
        <w:t xml:space="preserve">exposures in </w:t>
      </w:r>
      <w:r w:rsidR="003E6902" w:rsidRPr="00C9026A">
        <w:t>normal operation.</w:t>
      </w:r>
      <w:r w:rsidR="000E20C4">
        <w:t xml:space="preserve"> </w:t>
      </w:r>
    </w:p>
    <w:p w:rsidR="003E6902" w:rsidRPr="00C9026A" w:rsidRDefault="003E6902" w:rsidP="00A57A35">
      <w:pPr>
        <w:pStyle w:val="Heading4"/>
        <w:ind w:left="0"/>
      </w:pPr>
      <w:r w:rsidRPr="00C9026A">
        <w:t xml:space="preserve">Different </w:t>
      </w:r>
      <w:r w:rsidR="00B25DE0" w:rsidRPr="00C9026A">
        <w:t xml:space="preserve">exposed </w:t>
      </w:r>
      <w:r w:rsidR="00A6218C" w:rsidRPr="00C9026A">
        <w:t>population</w:t>
      </w:r>
      <w:r w:rsidR="00B61C96">
        <w:t xml:space="preserve"> </w:t>
      </w:r>
      <w:r w:rsidR="00A87005" w:rsidRPr="00C9026A">
        <w:t>groups may</w:t>
      </w:r>
      <w:r w:rsidRPr="00C9026A">
        <w:t xml:space="preserve"> be identified</w:t>
      </w:r>
      <w:r w:rsidR="00A87005" w:rsidRPr="00C9026A">
        <w:t>,</w:t>
      </w:r>
      <w:r w:rsidRPr="00C9026A">
        <w:t xml:space="preserve"> depending on the characteristics of the accident or event and the time of </w:t>
      </w:r>
      <w:r w:rsidR="003D46B9" w:rsidRPr="00C9026A">
        <w:t xml:space="preserve">day or </w:t>
      </w:r>
      <w:r w:rsidR="00587B05">
        <w:t xml:space="preserve">time of </w:t>
      </w:r>
      <w:r w:rsidRPr="00C9026A">
        <w:t>year of the postulated release, in accordance</w:t>
      </w:r>
      <w:r w:rsidR="00587B05">
        <w:t xml:space="preserve"> with</w:t>
      </w:r>
      <w:r w:rsidRPr="00C9026A">
        <w:t>, for instance, the prevailing meteorological or hydrological conditions</w:t>
      </w:r>
      <w:r w:rsidR="00F35E5E" w:rsidRPr="00C9026A">
        <w:t>,</w:t>
      </w:r>
      <w:r w:rsidRPr="00C9026A">
        <w:t xml:space="preserve"> possible temporary </w:t>
      </w:r>
      <w:r w:rsidR="00B61C96">
        <w:t>occupancy</w:t>
      </w:r>
      <w:r w:rsidRPr="00C9026A">
        <w:t xml:space="preserve"> (</w:t>
      </w:r>
      <w:r w:rsidR="003D46B9" w:rsidRPr="00C9026A">
        <w:t>e.</w:t>
      </w:r>
      <w:r w:rsidR="00B61C96">
        <w:t>g.</w:t>
      </w:r>
      <w:r w:rsidR="003D46B9" w:rsidRPr="00C9026A">
        <w:t xml:space="preserve"> different occupan</w:t>
      </w:r>
      <w:r w:rsidR="00B61C96">
        <w:t>cy</w:t>
      </w:r>
      <w:r w:rsidR="003D46B9" w:rsidRPr="00C9026A">
        <w:t xml:space="preserve"> during day and night, existence of </w:t>
      </w:r>
      <w:r w:rsidRPr="00C9026A">
        <w:t>summer campsites</w:t>
      </w:r>
      <w:r w:rsidR="003D46B9" w:rsidRPr="00C9026A">
        <w:t xml:space="preserve"> and</w:t>
      </w:r>
      <w:r w:rsidRPr="00C9026A">
        <w:t xml:space="preserve"> schools</w:t>
      </w:r>
      <w:r w:rsidR="003D46B9" w:rsidRPr="00C9026A">
        <w:t xml:space="preserve">, </w:t>
      </w:r>
      <w:r w:rsidR="00CD346A" w:rsidRPr="00C9026A">
        <w:t>presence</w:t>
      </w:r>
      <w:r w:rsidR="003D46B9" w:rsidRPr="00C9026A">
        <w:t xml:space="preserve"> of workers near the facility</w:t>
      </w:r>
      <w:r w:rsidRPr="00C9026A">
        <w:t>)</w:t>
      </w:r>
      <w:r w:rsidR="00F35E5E" w:rsidRPr="00C9026A">
        <w:t xml:space="preserve"> and seasonal </w:t>
      </w:r>
      <w:r w:rsidR="00B61C96">
        <w:t>variations</w:t>
      </w:r>
      <w:r w:rsidR="00B61C96" w:rsidRPr="00C9026A">
        <w:t xml:space="preserve"> </w:t>
      </w:r>
      <w:r w:rsidR="00F35E5E" w:rsidRPr="00C9026A">
        <w:t>in habits and</w:t>
      </w:r>
      <w:r w:rsidR="009A18DC">
        <w:t xml:space="preserve"> </w:t>
      </w:r>
      <w:r w:rsidR="00587B05">
        <w:t>in consumption</w:t>
      </w:r>
      <w:r w:rsidR="009A18DC">
        <w:t xml:space="preserve"> of</w:t>
      </w:r>
      <w:r w:rsidR="00F35E5E" w:rsidRPr="00C9026A">
        <w:t xml:space="preserve"> food products</w:t>
      </w:r>
      <w:r w:rsidRPr="00C9026A">
        <w:t>.</w:t>
      </w:r>
      <w:r w:rsidR="00B45361">
        <w:t xml:space="preserve"> An alternative approach may be to consider average occupan</w:t>
      </w:r>
      <w:r w:rsidR="00B61C96">
        <w:t>cy</w:t>
      </w:r>
      <w:r w:rsidR="00B45361">
        <w:t xml:space="preserve"> factors, </w:t>
      </w:r>
      <w:r w:rsidR="00B61C96">
        <w:t xml:space="preserve">and </w:t>
      </w:r>
      <w:r w:rsidR="00B45361">
        <w:t>habits and food products for each season.</w:t>
      </w:r>
    </w:p>
    <w:p w:rsidR="0040366D" w:rsidRPr="00C9026A" w:rsidRDefault="00710CB8" w:rsidP="00A57A35">
      <w:pPr>
        <w:pStyle w:val="Heading4"/>
        <w:ind w:left="0"/>
      </w:pPr>
      <w:r w:rsidRPr="00C9026A">
        <w:t>The end</w:t>
      </w:r>
      <w:r w:rsidR="003010EF" w:rsidRPr="00C9026A">
        <w:t xml:space="preserve"> </w:t>
      </w:r>
      <w:r w:rsidRPr="00C9026A">
        <w:t>points</w:t>
      </w:r>
      <w:r w:rsidR="003010EF" w:rsidRPr="00C9026A">
        <w:rPr>
          <w:rStyle w:val="FootnoteReference"/>
        </w:rPr>
        <w:footnoteReference w:id="30"/>
      </w:r>
      <w:r w:rsidRPr="00C9026A">
        <w:t xml:space="preserve"> of the assessment of the potential exposures could </w:t>
      </w:r>
      <w:r w:rsidR="009A18DC">
        <w:t>differ</w:t>
      </w:r>
      <w:r w:rsidRPr="00C9026A">
        <w:t>, d</w:t>
      </w:r>
      <w:r w:rsidR="00250414" w:rsidRPr="00C9026A">
        <w:t xml:space="preserve">epending on the type </w:t>
      </w:r>
      <w:r w:rsidRPr="00C9026A">
        <w:t xml:space="preserve">of </w:t>
      </w:r>
      <w:r w:rsidR="00250414" w:rsidRPr="00C9026A">
        <w:t xml:space="preserve">the assessment and the criteria </w:t>
      </w:r>
      <w:r w:rsidR="009A18DC">
        <w:t>specified</w:t>
      </w:r>
      <w:r w:rsidRPr="00C9026A">
        <w:t>. For instance</w:t>
      </w:r>
      <w:r w:rsidR="00250414" w:rsidRPr="00C9026A">
        <w:t xml:space="preserve">, instead of </w:t>
      </w:r>
      <w:r w:rsidR="009A18DC">
        <w:t xml:space="preserve">specification of the </w:t>
      </w:r>
      <w:r w:rsidR="00B61C96">
        <w:t xml:space="preserve">dose to the </w:t>
      </w:r>
      <w:r w:rsidR="003010EF" w:rsidRPr="00C9026A">
        <w:t>representative person</w:t>
      </w:r>
      <w:r w:rsidR="009A18DC">
        <w:t xml:space="preserve"> as an end point</w:t>
      </w:r>
      <w:r w:rsidR="00A87005" w:rsidRPr="00C9026A">
        <w:t>,</w:t>
      </w:r>
      <w:r w:rsidR="00250414" w:rsidRPr="00C9026A">
        <w:t xml:space="preserve"> </w:t>
      </w:r>
      <w:r w:rsidR="009A18DC">
        <w:t xml:space="preserve">the </w:t>
      </w:r>
      <w:r w:rsidR="00541403">
        <w:t xml:space="preserve">dose at </w:t>
      </w:r>
      <w:r w:rsidR="00250414" w:rsidRPr="00C9026A">
        <w:t>a specific location (</w:t>
      </w:r>
      <w:r w:rsidR="00541403">
        <w:t>e.g.</w:t>
      </w:r>
      <w:r w:rsidR="00250414" w:rsidRPr="00C9026A">
        <w:t xml:space="preserve"> the </w:t>
      </w:r>
      <w:r w:rsidR="00250414" w:rsidRPr="00C9026A">
        <w:lastRenderedPageBreak/>
        <w:t xml:space="preserve">nearest town in the region), </w:t>
      </w:r>
      <w:r w:rsidR="009A18DC">
        <w:t xml:space="preserve">at a </w:t>
      </w:r>
      <w:r w:rsidR="00250414" w:rsidRPr="00C9026A">
        <w:t>fixed distance (</w:t>
      </w:r>
      <w:r w:rsidR="00541403">
        <w:t>e.g.</w:t>
      </w:r>
      <w:r w:rsidR="00250414" w:rsidRPr="00C9026A">
        <w:t xml:space="preserve"> 1 km, 5 km or 10 km) or a distance where </w:t>
      </w:r>
      <w:r w:rsidR="00541403">
        <w:t xml:space="preserve">a </w:t>
      </w:r>
      <w:r w:rsidR="00250414" w:rsidRPr="00C9026A">
        <w:t xml:space="preserve">certain </w:t>
      </w:r>
      <w:r w:rsidR="00AE495C" w:rsidRPr="00C9026A">
        <w:t xml:space="preserve">relevant </w:t>
      </w:r>
      <w:r w:rsidR="00250414" w:rsidRPr="00C9026A">
        <w:t xml:space="preserve">projected dose is exceeded (for example, </w:t>
      </w:r>
      <w:r w:rsidR="00621705">
        <w:t>100</w:t>
      </w:r>
      <w:r w:rsidR="00621705" w:rsidRPr="00C9026A">
        <w:t xml:space="preserve"> </w:t>
      </w:r>
      <w:proofErr w:type="spellStart"/>
      <w:r w:rsidR="00250414" w:rsidRPr="00C9026A">
        <w:t>mSv</w:t>
      </w:r>
      <w:proofErr w:type="spellEnd"/>
      <w:r w:rsidR="00621705">
        <w:t xml:space="preserve"> in the first 7 days</w:t>
      </w:r>
      <w:r w:rsidR="009A18DC">
        <w:t>,</w:t>
      </w:r>
      <w:r w:rsidR="00A4244F">
        <w:t xml:space="preserve"> </w:t>
      </w:r>
      <w:r w:rsidR="00BA4D97" w:rsidRPr="00C9026A">
        <w:t>if such value is the threshold</w:t>
      </w:r>
      <w:r w:rsidR="00C02786">
        <w:t xml:space="preserve"> reference level</w:t>
      </w:r>
      <w:r w:rsidR="00BA4D97" w:rsidRPr="00C9026A">
        <w:t xml:space="preserve"> for protective measures</w:t>
      </w:r>
      <w:r w:rsidR="00621705">
        <w:t xml:space="preserve"> [</w:t>
      </w:r>
      <w:r w:rsidR="00105B04">
        <w:t>8</w:t>
      </w:r>
      <w:r w:rsidR="00621705">
        <w:t>]</w:t>
      </w:r>
      <w:r w:rsidR="009A18DC">
        <w:t>)</w:t>
      </w:r>
      <w:r w:rsidR="00A4244F">
        <w:t xml:space="preserve"> </w:t>
      </w:r>
      <w:r w:rsidR="00587B05">
        <w:t>could</w:t>
      </w:r>
      <w:r w:rsidR="00587B05" w:rsidRPr="00C9026A">
        <w:t xml:space="preserve"> </w:t>
      </w:r>
      <w:r w:rsidR="00250414" w:rsidRPr="00C9026A">
        <w:t>be used</w:t>
      </w:r>
      <w:r w:rsidR="009A18DC">
        <w:t xml:space="preserve"> as an end point</w:t>
      </w:r>
      <w:r w:rsidR="00250414" w:rsidRPr="00C9026A">
        <w:t>.</w:t>
      </w:r>
      <w:r w:rsidRPr="00C9026A">
        <w:t xml:space="preserve"> In some States</w:t>
      </w:r>
      <w:r w:rsidR="00587B05">
        <w:t>,</w:t>
      </w:r>
      <w:r w:rsidRPr="00C9026A">
        <w:t xml:space="preserve"> the distribution of doses or risks among larger affected population</w:t>
      </w:r>
      <w:r w:rsidR="009A18DC">
        <w:t>s</w:t>
      </w:r>
      <w:r w:rsidRPr="00C9026A">
        <w:t xml:space="preserve"> is</w:t>
      </w:r>
      <w:r w:rsidR="00C02786">
        <w:t xml:space="preserve"> used</w:t>
      </w:r>
      <w:r w:rsidR="009A18DC">
        <w:t xml:space="preserve"> as an end point</w:t>
      </w:r>
      <w:r w:rsidRPr="00C9026A">
        <w:t xml:space="preserve">. </w:t>
      </w:r>
      <w:r w:rsidR="00541403">
        <w:t>Alt</w:t>
      </w:r>
      <w:r w:rsidRPr="00C9026A">
        <w:t xml:space="preserve">hough there </w:t>
      </w:r>
      <w:r w:rsidR="009A18DC">
        <w:t>is</w:t>
      </w:r>
      <w:r w:rsidRPr="00C9026A">
        <w:t xml:space="preserve"> flexibility </w:t>
      </w:r>
      <w:r w:rsidR="009A18DC">
        <w:t>in</w:t>
      </w:r>
      <w:r w:rsidR="009A18DC" w:rsidRPr="00C9026A">
        <w:t xml:space="preserve"> </w:t>
      </w:r>
      <w:r w:rsidRPr="00C9026A">
        <w:t xml:space="preserve">the ways </w:t>
      </w:r>
      <w:r w:rsidR="009A18DC">
        <w:t>that</w:t>
      </w:r>
      <w:r w:rsidRPr="00C9026A">
        <w:t xml:space="preserve"> potential exposures</w:t>
      </w:r>
      <w:r w:rsidR="009A18DC">
        <w:t xml:space="preserve"> are considered</w:t>
      </w:r>
      <w:r w:rsidRPr="00C9026A">
        <w:t xml:space="preserve">, and different States adopt different </w:t>
      </w:r>
      <w:r w:rsidR="009A18DC">
        <w:t>approaches</w:t>
      </w:r>
      <w:r w:rsidRPr="00C9026A">
        <w:t xml:space="preserve">, the </w:t>
      </w:r>
      <w:r w:rsidR="009A18DC">
        <w:t xml:space="preserve">use of particular </w:t>
      </w:r>
      <w:r w:rsidRPr="00C9026A">
        <w:t>end</w:t>
      </w:r>
      <w:r w:rsidR="003010EF" w:rsidRPr="00C9026A">
        <w:t xml:space="preserve"> </w:t>
      </w:r>
      <w:r w:rsidRPr="00C9026A">
        <w:t>points and criteria should be clearly defined and</w:t>
      </w:r>
      <w:r w:rsidR="00C02786">
        <w:t xml:space="preserve"> </w:t>
      </w:r>
      <w:r w:rsidR="009A18DC">
        <w:t>justified</w:t>
      </w:r>
      <w:r w:rsidRPr="00C9026A">
        <w:t xml:space="preserve"> </w:t>
      </w:r>
      <w:r w:rsidR="00C02786">
        <w:t xml:space="preserve">in the relevant regulations or </w:t>
      </w:r>
      <w:r w:rsidR="009A18DC">
        <w:t>in</w:t>
      </w:r>
      <w:r w:rsidR="00E40D47">
        <w:t xml:space="preserve"> the </w:t>
      </w:r>
      <w:r w:rsidR="00C02786">
        <w:t>assessment</w:t>
      </w:r>
      <w:r w:rsidR="00E40D47">
        <w:t>,</w:t>
      </w:r>
      <w:r w:rsidRPr="00C9026A">
        <w:t xml:space="preserve"> to avoid misunderstanding and misinterpretation of the results</w:t>
      </w:r>
      <w:r w:rsidR="00690DEB">
        <w:t>.</w:t>
      </w:r>
    </w:p>
    <w:p w:rsidR="00217D17" w:rsidRPr="00C9026A" w:rsidRDefault="000558E1" w:rsidP="00A57A35">
      <w:pPr>
        <w:pStyle w:val="Heading3"/>
        <w:rPr>
          <w:lang w:val="en-GB"/>
        </w:rPr>
      </w:pPr>
      <w:bookmarkStart w:id="84" w:name="_Toc447613497"/>
      <w:bookmarkStart w:id="85" w:name="_Toc450204020"/>
      <w:r w:rsidRPr="00C9026A">
        <w:rPr>
          <w:lang w:val="en-GB"/>
        </w:rPr>
        <w:t xml:space="preserve">Assessment of </w:t>
      </w:r>
      <w:r w:rsidR="00587B05">
        <w:rPr>
          <w:lang w:val="en-GB"/>
        </w:rPr>
        <w:t xml:space="preserve">the </w:t>
      </w:r>
      <w:r w:rsidRPr="00C9026A">
        <w:rPr>
          <w:lang w:val="en-GB"/>
        </w:rPr>
        <w:t>d</w:t>
      </w:r>
      <w:r w:rsidR="00217D17" w:rsidRPr="00C9026A">
        <w:rPr>
          <w:lang w:val="en-GB"/>
        </w:rPr>
        <w:t>ose</w:t>
      </w:r>
      <w:r w:rsidRPr="00C9026A">
        <w:rPr>
          <w:lang w:val="en-GB"/>
        </w:rPr>
        <w:t xml:space="preserve"> to </w:t>
      </w:r>
      <w:r w:rsidR="00B25DE0" w:rsidRPr="00C9026A">
        <w:rPr>
          <w:lang w:val="en-GB"/>
        </w:rPr>
        <w:t xml:space="preserve">the </w:t>
      </w:r>
      <w:r w:rsidR="00C73155" w:rsidRPr="00C9026A">
        <w:rPr>
          <w:lang w:val="en-GB"/>
        </w:rPr>
        <w:t>representative person</w:t>
      </w:r>
      <w:r w:rsidR="00B87BFF" w:rsidRPr="00C9026A">
        <w:rPr>
          <w:lang w:val="en-GB"/>
        </w:rPr>
        <w:t xml:space="preserve"> for potential</w:t>
      </w:r>
      <w:r w:rsidR="002A6183" w:rsidRPr="00C9026A">
        <w:rPr>
          <w:lang w:val="en-GB"/>
        </w:rPr>
        <w:t xml:space="preserve"> </w:t>
      </w:r>
      <w:r w:rsidR="00B25DE0" w:rsidRPr="00C9026A">
        <w:rPr>
          <w:lang w:val="en-GB"/>
        </w:rPr>
        <w:t>expos</w:t>
      </w:r>
      <w:r w:rsidR="00B87BFF" w:rsidRPr="00C9026A">
        <w:rPr>
          <w:lang w:val="en-GB"/>
        </w:rPr>
        <w:t>ures</w:t>
      </w:r>
      <w:bookmarkEnd w:id="84"/>
      <w:bookmarkEnd w:id="85"/>
    </w:p>
    <w:p w:rsidR="00FF6BB7" w:rsidRPr="00C9026A" w:rsidRDefault="000A28BF" w:rsidP="00A57A35">
      <w:pPr>
        <w:pStyle w:val="Heading4"/>
        <w:ind w:left="0"/>
        <w:rPr>
          <w:szCs w:val="24"/>
        </w:rPr>
      </w:pPr>
      <w:r w:rsidRPr="00C9026A">
        <w:t>When considering</w:t>
      </w:r>
      <w:r w:rsidR="00514460" w:rsidRPr="00C9026A">
        <w:t xml:space="preserve"> potential exposures, </w:t>
      </w:r>
      <w:r w:rsidR="004C2944">
        <w:t xml:space="preserve">the </w:t>
      </w:r>
      <w:r w:rsidR="00905143" w:rsidRPr="00C9026A">
        <w:t xml:space="preserve">mean </w:t>
      </w:r>
      <w:r w:rsidR="00514460" w:rsidRPr="00C9026A">
        <w:t xml:space="preserve">absorbed dose </w:t>
      </w:r>
      <w:r w:rsidR="00905143" w:rsidRPr="00C9026A">
        <w:t xml:space="preserve">to the organ or tissue, weighted by an appropriate </w:t>
      </w:r>
      <w:r w:rsidR="00E6453E" w:rsidRPr="00C9026A">
        <w:t xml:space="preserve">relative biological effectiveness </w:t>
      </w:r>
      <w:r w:rsidR="00905143" w:rsidRPr="00C9026A">
        <w:t>for the biological end</w:t>
      </w:r>
      <w:r w:rsidR="00D56EC1" w:rsidRPr="00C9026A">
        <w:t> </w:t>
      </w:r>
      <w:r w:rsidR="00905143" w:rsidRPr="00C9026A">
        <w:t>point of concern</w:t>
      </w:r>
      <w:r w:rsidR="004C2944">
        <w:t xml:space="preserve"> should be calculated</w:t>
      </w:r>
      <w:r w:rsidR="00A4244F">
        <w:t xml:space="preserve"> </w:t>
      </w:r>
      <w:r w:rsidR="00514460" w:rsidRPr="00C9026A">
        <w:t>for doses in the range o</w:t>
      </w:r>
      <w:r w:rsidR="005F4835">
        <w:t>f</w:t>
      </w:r>
      <w:r w:rsidR="00514460" w:rsidRPr="00C9026A">
        <w:t xml:space="preserve"> deterministic effects</w:t>
      </w:r>
      <w:r w:rsidR="00587B05">
        <w:t>.</w:t>
      </w:r>
      <w:r w:rsidR="00A4244F">
        <w:t xml:space="preserve"> </w:t>
      </w:r>
      <w:r w:rsidR="00587B05">
        <w:t>F</w:t>
      </w:r>
      <w:r w:rsidR="00587B05" w:rsidRPr="00C9026A">
        <w:t>or doses in the range of stochastic effects</w:t>
      </w:r>
      <w:r w:rsidR="00587B05">
        <w:t>,</w:t>
      </w:r>
      <w:r w:rsidR="00587B05" w:rsidRPr="00C9026A">
        <w:t xml:space="preserve"> </w:t>
      </w:r>
      <w:r w:rsidR="00514460" w:rsidRPr="00C9026A">
        <w:t>the effective dose resulting from the sum of the committed effective dose from internal exposure pathways and the effective dose from external exposure</w:t>
      </w:r>
      <w:r w:rsidR="004C2944" w:rsidRPr="004C2944">
        <w:t xml:space="preserve"> </w:t>
      </w:r>
      <w:r w:rsidR="004C2944" w:rsidRPr="00C9026A">
        <w:t>should be calculated</w:t>
      </w:r>
      <w:r w:rsidR="00514460" w:rsidRPr="00C9026A">
        <w:t>.</w:t>
      </w:r>
      <w:r w:rsidR="00FF6BB7" w:rsidRPr="00C9026A">
        <w:t xml:space="preserve"> </w:t>
      </w:r>
      <w:r w:rsidR="004C2944">
        <w:t>The e</w:t>
      </w:r>
      <w:r w:rsidR="00FF6BB7" w:rsidRPr="00C9026A">
        <w:t>quivalent dose to certain organs (e.g. thyroid) can also be used for consideration of potential exposures.</w:t>
      </w:r>
      <w:r w:rsidR="00514460" w:rsidRPr="00C9026A">
        <w:t xml:space="preserve"> </w:t>
      </w:r>
    </w:p>
    <w:p w:rsidR="00514460" w:rsidRPr="00C9026A" w:rsidRDefault="00514460" w:rsidP="00A57A35">
      <w:pPr>
        <w:pStyle w:val="Heading4"/>
        <w:ind w:left="0"/>
      </w:pPr>
      <w:r w:rsidRPr="00C9026A">
        <w:t>D</w:t>
      </w:r>
      <w:r w:rsidR="008A70A2">
        <w:t>oses should be calculated for di</w:t>
      </w:r>
      <w:r w:rsidRPr="00C9026A">
        <w:t>fferent age groups</w:t>
      </w:r>
      <w:r w:rsidR="00C67E64" w:rsidRPr="00C9026A">
        <w:t>,</w:t>
      </w:r>
      <w:r w:rsidRPr="00C9026A">
        <w:t xml:space="preserve"> owing to the differen</w:t>
      </w:r>
      <w:r w:rsidR="004C2944">
        <w:t>t</w:t>
      </w:r>
      <w:r w:rsidR="00587B05">
        <w:t xml:space="preserve"> </w:t>
      </w:r>
      <w:r w:rsidRPr="00C9026A">
        <w:t>exposure conditions and the</w:t>
      </w:r>
      <w:r w:rsidR="006A21D6">
        <w:t xml:space="preserve"> different</w:t>
      </w:r>
      <w:r w:rsidRPr="00C9026A">
        <w:t xml:space="preserve"> associated radiation effects</w:t>
      </w:r>
      <w:r w:rsidR="00587B05" w:rsidRPr="00587B05">
        <w:t xml:space="preserve"> </w:t>
      </w:r>
      <w:r w:rsidR="00587B05">
        <w:t>for different age groups</w:t>
      </w:r>
      <w:r w:rsidRPr="00C9026A">
        <w:t xml:space="preserve">. Experience has shown that infants </w:t>
      </w:r>
      <w:r w:rsidR="008A70A2">
        <w:t xml:space="preserve">receive higher doses </w:t>
      </w:r>
      <w:r w:rsidRPr="00C9026A">
        <w:t xml:space="preserve">via some </w:t>
      </w:r>
      <w:r w:rsidR="008A70A2">
        <w:t xml:space="preserve">exposure </w:t>
      </w:r>
      <w:r w:rsidRPr="00C9026A">
        <w:t xml:space="preserve">pathways, such as </w:t>
      </w:r>
      <w:r w:rsidR="006A21D6">
        <w:t>exposure</w:t>
      </w:r>
      <w:r w:rsidR="006A21D6" w:rsidRPr="00C9026A">
        <w:t xml:space="preserve"> </w:t>
      </w:r>
      <w:r w:rsidRPr="00C9026A">
        <w:t>of the thyroid gland due to the in</w:t>
      </w:r>
      <w:r w:rsidR="008A70A2">
        <w:t>take</w:t>
      </w:r>
      <w:r w:rsidRPr="00C9026A">
        <w:t xml:space="preserve"> of </w:t>
      </w:r>
      <w:r w:rsidR="0095687B" w:rsidRPr="00C9026A">
        <w:t>radioactive iodine</w:t>
      </w:r>
      <w:r w:rsidR="00A87005" w:rsidRPr="00C9026A">
        <w:t>,</w:t>
      </w:r>
      <w:r w:rsidRPr="00C9026A">
        <w:t xml:space="preserve"> which could potentially be released in a nuclear reactor accident</w:t>
      </w:r>
      <w:r w:rsidR="000614F1">
        <w:t xml:space="preserve"> [</w:t>
      </w:r>
      <w:r w:rsidR="00105B04">
        <w:t>5</w:t>
      </w:r>
      <w:r w:rsidR="00085B52">
        <w:t>1</w:t>
      </w:r>
      <w:r w:rsidR="006A21D6">
        <w:t>]</w:t>
      </w:r>
      <w:r w:rsidRPr="00C9026A">
        <w:t>.</w:t>
      </w:r>
    </w:p>
    <w:p w:rsidR="00514460" w:rsidRPr="00C9026A" w:rsidRDefault="00514460" w:rsidP="00A57A35">
      <w:pPr>
        <w:pStyle w:val="Heading4"/>
        <w:ind w:left="0"/>
      </w:pPr>
      <w:r w:rsidRPr="00C9026A">
        <w:t xml:space="preserve">The relevant time periods over which exposures could occur and the relevant exposure pathways </w:t>
      </w:r>
      <w:r w:rsidR="00A8214C">
        <w:t xml:space="preserve">to be used in the assessment </w:t>
      </w:r>
      <w:r w:rsidR="00CD5346" w:rsidRPr="00C9026A">
        <w:t>should</w:t>
      </w:r>
      <w:r w:rsidRPr="00C9026A">
        <w:t xml:space="preserve"> be </w:t>
      </w:r>
      <w:r w:rsidR="00C35DB5" w:rsidRPr="00C9026A">
        <w:t>defined</w:t>
      </w:r>
      <w:r w:rsidRPr="00C9026A">
        <w:t xml:space="preserve">. For example, </w:t>
      </w:r>
      <w:r w:rsidR="006A21D6">
        <w:t xml:space="preserve">estimated </w:t>
      </w:r>
      <w:r w:rsidRPr="00C9026A">
        <w:t>doses due to inhalation</w:t>
      </w:r>
      <w:r w:rsidR="006A21D6">
        <w:t xml:space="preserve"> of the radioactive plume</w:t>
      </w:r>
      <w:r w:rsidRPr="00C9026A">
        <w:t xml:space="preserve"> in the first 24 hours </w:t>
      </w:r>
      <w:r w:rsidR="006A21D6">
        <w:t xml:space="preserve">following an accident </w:t>
      </w:r>
      <w:r w:rsidRPr="00C9026A">
        <w:t xml:space="preserve">or </w:t>
      </w:r>
      <w:r w:rsidR="006A21D6">
        <w:t xml:space="preserve">estimated </w:t>
      </w:r>
      <w:r w:rsidRPr="00C9026A">
        <w:t xml:space="preserve">doses due to the ingestion of green vegetables over </w:t>
      </w:r>
      <w:r w:rsidR="00DB30F2">
        <w:t>the initial</w:t>
      </w:r>
      <w:r w:rsidR="00DB30F2" w:rsidRPr="00C9026A">
        <w:t xml:space="preserve"> </w:t>
      </w:r>
      <w:r w:rsidRPr="00C9026A">
        <w:t xml:space="preserve">three month period could be used as indicators of the main potential radiological impact. In other cases, doses over longer periods could be estimated; for instance, from the time of an accident to one year afterwards. When comparing </w:t>
      </w:r>
      <w:r w:rsidR="006A21D6">
        <w:t>the estimated doses</w:t>
      </w:r>
      <w:r w:rsidR="006A21D6" w:rsidRPr="00C9026A">
        <w:t xml:space="preserve"> </w:t>
      </w:r>
      <w:r w:rsidRPr="00C9026A">
        <w:t>with criteria, the time periods and exposure pathways consider</w:t>
      </w:r>
      <w:r w:rsidR="004B13C4">
        <w:t>ed</w:t>
      </w:r>
      <w:r w:rsidRPr="00C9026A">
        <w:t xml:space="preserve"> </w:t>
      </w:r>
      <w:r w:rsidR="004757CE">
        <w:t xml:space="preserve">in the assessment </w:t>
      </w:r>
      <w:r w:rsidR="00CD5346" w:rsidRPr="00C9026A">
        <w:t>should</w:t>
      </w:r>
      <w:r w:rsidRPr="00C9026A">
        <w:t xml:space="preserve"> be </w:t>
      </w:r>
      <w:r w:rsidR="00C67E64" w:rsidRPr="00C9026A">
        <w:t xml:space="preserve">clearly </w:t>
      </w:r>
      <w:r w:rsidRPr="00C9026A">
        <w:t>indicated.</w:t>
      </w:r>
    </w:p>
    <w:p w:rsidR="000558E1" w:rsidRPr="00C9026A" w:rsidRDefault="000558E1" w:rsidP="00A57A35">
      <w:pPr>
        <w:pStyle w:val="Heading3"/>
        <w:rPr>
          <w:lang w:val="en-GB"/>
        </w:rPr>
      </w:pPr>
      <w:bookmarkStart w:id="86" w:name="_Toc447613498"/>
      <w:bookmarkStart w:id="87" w:name="_Toc450204021"/>
      <w:r w:rsidRPr="00C9026A">
        <w:rPr>
          <w:lang w:val="en-GB"/>
        </w:rPr>
        <w:t xml:space="preserve">Comparison of </w:t>
      </w:r>
      <w:r w:rsidR="00C0646F">
        <w:rPr>
          <w:lang w:val="en-GB"/>
        </w:rPr>
        <w:t xml:space="preserve">estimated </w:t>
      </w:r>
      <w:r w:rsidRPr="00C9026A">
        <w:rPr>
          <w:lang w:val="en-GB"/>
        </w:rPr>
        <w:t>dose</w:t>
      </w:r>
      <w:r w:rsidR="006F07AF">
        <w:rPr>
          <w:lang w:val="en-GB"/>
        </w:rPr>
        <w:t xml:space="preserve">s and </w:t>
      </w:r>
      <w:r w:rsidRPr="00C9026A">
        <w:rPr>
          <w:lang w:val="en-GB"/>
        </w:rPr>
        <w:t>risk</w:t>
      </w:r>
      <w:r w:rsidR="006F07AF">
        <w:rPr>
          <w:lang w:val="en-GB"/>
        </w:rPr>
        <w:t>s</w:t>
      </w:r>
      <w:r w:rsidRPr="00C9026A">
        <w:rPr>
          <w:lang w:val="en-GB"/>
        </w:rPr>
        <w:t xml:space="preserve"> with criteria</w:t>
      </w:r>
      <w:bookmarkEnd w:id="86"/>
      <w:bookmarkEnd w:id="87"/>
    </w:p>
    <w:p w:rsidR="00631C6B" w:rsidRPr="00C9026A" w:rsidRDefault="00C67E64" w:rsidP="00A57A35">
      <w:pPr>
        <w:pStyle w:val="Heading4"/>
        <w:ind w:left="0"/>
      </w:pPr>
      <w:r w:rsidRPr="00C9026A">
        <w:t>GSR Part 3</w:t>
      </w:r>
      <w:r w:rsidR="00D93144" w:rsidRPr="00C9026A">
        <w:t xml:space="preserve"> </w:t>
      </w:r>
      <w:r w:rsidR="007C5D7A" w:rsidRPr="00C9026A">
        <w:t xml:space="preserve">[1] </w:t>
      </w:r>
      <w:r w:rsidR="00C275E7">
        <w:t>states</w:t>
      </w:r>
      <w:r w:rsidR="00C275E7" w:rsidRPr="00C9026A">
        <w:t xml:space="preserve"> </w:t>
      </w:r>
      <w:r w:rsidR="00D93144" w:rsidRPr="00C9026A">
        <w:t xml:space="preserve">that the likelihood and magnitude of potential exposures </w:t>
      </w:r>
      <w:r w:rsidR="00C275E7">
        <w:t xml:space="preserve">are required to </w:t>
      </w:r>
      <w:r w:rsidR="00D93144" w:rsidRPr="00C9026A">
        <w:t xml:space="preserve">be </w:t>
      </w:r>
      <w:r w:rsidR="00C275E7">
        <w:t>assessed</w:t>
      </w:r>
      <w:r w:rsidR="00C275E7" w:rsidRPr="00C9026A">
        <w:t xml:space="preserve"> </w:t>
      </w:r>
      <w:r w:rsidR="00D93144" w:rsidRPr="00C9026A">
        <w:t xml:space="preserve">and that restrictions </w:t>
      </w:r>
      <w:r w:rsidR="00C275E7">
        <w:t xml:space="preserve">are required to </w:t>
      </w:r>
      <w:r w:rsidR="00D93144" w:rsidRPr="00C9026A">
        <w:t>be established by the regulatory body</w:t>
      </w:r>
      <w:r w:rsidR="00AA363C" w:rsidRPr="00C9026A">
        <w:rPr>
          <w:rStyle w:val="FootnoteReference"/>
        </w:rPr>
        <w:footnoteReference w:id="31"/>
      </w:r>
      <w:r w:rsidR="00D93144" w:rsidRPr="00C9026A">
        <w:t xml:space="preserve">. For </w:t>
      </w:r>
      <w:r w:rsidR="00A50237" w:rsidRPr="00C9026A">
        <w:t xml:space="preserve">consideration of </w:t>
      </w:r>
      <w:r w:rsidR="00D93144" w:rsidRPr="00C9026A">
        <w:t>potential exposures</w:t>
      </w:r>
      <w:r w:rsidR="00DB30F2">
        <w:t xml:space="preserve"> </w:t>
      </w:r>
      <w:r w:rsidR="00A50237" w:rsidRPr="00C9026A">
        <w:t xml:space="preserve">that uses as </w:t>
      </w:r>
      <w:r w:rsidR="00C275E7">
        <w:t xml:space="preserve">an </w:t>
      </w:r>
      <w:r w:rsidR="00D93144" w:rsidRPr="00C9026A">
        <w:t>end</w:t>
      </w:r>
      <w:r w:rsidRPr="00C9026A">
        <w:t xml:space="preserve"> </w:t>
      </w:r>
      <w:r w:rsidR="00D93144" w:rsidRPr="00C9026A">
        <w:t>point a dose or a measure of the risk of health effects</w:t>
      </w:r>
      <w:r w:rsidR="00E8177D">
        <w:t>,</w:t>
      </w:r>
      <w:r w:rsidR="00A50237" w:rsidRPr="00C9026A">
        <w:t xml:space="preserve"> the restrictions established by the regulatory body should be </w:t>
      </w:r>
      <w:r w:rsidR="00D93144" w:rsidRPr="00C9026A">
        <w:t xml:space="preserve">a </w:t>
      </w:r>
      <w:r w:rsidR="00C46C7A">
        <w:t xml:space="preserve">reference </w:t>
      </w:r>
      <w:r w:rsidR="00D93144" w:rsidRPr="00C9026A">
        <w:t xml:space="preserve">dose </w:t>
      </w:r>
      <w:r w:rsidR="008143E3">
        <w:t xml:space="preserve">criterion </w:t>
      </w:r>
      <w:r w:rsidR="00D93144" w:rsidRPr="00C9026A">
        <w:t>or risk criterion</w:t>
      </w:r>
      <w:r w:rsidR="00A50237" w:rsidRPr="00C9026A">
        <w:t>,</w:t>
      </w:r>
      <w:r w:rsidR="00D93144" w:rsidRPr="00C9026A">
        <w:t xml:space="preserve"> as relevant</w:t>
      </w:r>
      <w:r w:rsidR="0028337A" w:rsidRPr="00C9026A">
        <w:t>.</w:t>
      </w:r>
    </w:p>
    <w:p w:rsidR="00D93144" w:rsidRDefault="000B41E1" w:rsidP="00A57A35">
      <w:pPr>
        <w:pStyle w:val="Heading4"/>
        <w:ind w:left="0"/>
      </w:pPr>
      <w:r w:rsidRPr="00C9026A">
        <w:t xml:space="preserve">For </w:t>
      </w:r>
      <w:r w:rsidR="0088042F" w:rsidRPr="00C9026A">
        <w:t>facilities</w:t>
      </w:r>
      <w:r w:rsidRPr="00C9026A">
        <w:t xml:space="preserve"> </w:t>
      </w:r>
      <w:r w:rsidR="00C67E64" w:rsidRPr="00C9026A">
        <w:t xml:space="preserve">and activities </w:t>
      </w:r>
      <w:r w:rsidR="00CA2938">
        <w:t>necessitating</w:t>
      </w:r>
      <w:r w:rsidR="00CA2938" w:rsidRPr="00C9026A">
        <w:t xml:space="preserve"> </w:t>
      </w:r>
      <w:r w:rsidRPr="00C9026A">
        <w:t>a simple asse</w:t>
      </w:r>
      <w:r w:rsidR="008145DB" w:rsidRPr="00C9026A">
        <w:t xml:space="preserve">ssment </w:t>
      </w:r>
      <w:r w:rsidR="000A3DA2">
        <w:t>based on</w:t>
      </w:r>
      <w:r w:rsidR="008145DB" w:rsidRPr="00C9026A">
        <w:t xml:space="preserve"> a conservatively defined </w:t>
      </w:r>
      <w:r w:rsidR="00C67E64" w:rsidRPr="00C9026A">
        <w:t xml:space="preserve">potential </w:t>
      </w:r>
      <w:r w:rsidRPr="00C9026A">
        <w:t>exposure scenario</w:t>
      </w:r>
      <w:r w:rsidR="001C1414">
        <w:t>s</w:t>
      </w:r>
      <w:r w:rsidRPr="00C9026A">
        <w:t xml:space="preserve"> (e.</w:t>
      </w:r>
      <w:r w:rsidR="000A3DA2">
        <w:t>g.</w:t>
      </w:r>
      <w:r w:rsidRPr="00C9026A">
        <w:t xml:space="preserve"> </w:t>
      </w:r>
      <w:r w:rsidR="00C275E7">
        <w:t>facilities</w:t>
      </w:r>
      <w:r w:rsidR="00C275E7" w:rsidRPr="00C9026A">
        <w:t xml:space="preserve"> </w:t>
      </w:r>
      <w:r w:rsidRPr="00C9026A">
        <w:t>with small inventories</w:t>
      </w:r>
      <w:r w:rsidR="00C275E7">
        <w:t xml:space="preserve"> of radioactive material</w:t>
      </w:r>
      <w:r w:rsidRPr="00C9026A">
        <w:t xml:space="preserve"> </w:t>
      </w:r>
      <w:r w:rsidR="0088042F" w:rsidRPr="00C9026A">
        <w:t>and</w:t>
      </w:r>
      <w:r w:rsidRPr="00C9026A">
        <w:t xml:space="preserve"> sources with </w:t>
      </w:r>
      <w:r w:rsidR="00C275E7">
        <w:t xml:space="preserve">a </w:t>
      </w:r>
      <w:r w:rsidRPr="00C9026A">
        <w:t xml:space="preserve">low </w:t>
      </w:r>
      <w:r w:rsidR="008A79FC" w:rsidRPr="00C9026A">
        <w:t xml:space="preserve">capacity </w:t>
      </w:r>
      <w:r w:rsidRPr="00C9026A">
        <w:t>for</w:t>
      </w:r>
      <w:r w:rsidR="00CC0307" w:rsidRPr="00C9026A">
        <w:t xml:space="preserve"> </w:t>
      </w:r>
      <w:r w:rsidR="00C275E7">
        <w:t>a radioactive</w:t>
      </w:r>
      <w:r w:rsidR="00C275E7" w:rsidRPr="00C9026A">
        <w:t xml:space="preserve"> </w:t>
      </w:r>
      <w:r w:rsidRPr="00C9026A">
        <w:t>release</w:t>
      </w:r>
      <w:r w:rsidR="00C275E7">
        <w:t xml:space="preserve"> in an accident</w:t>
      </w:r>
      <w:r w:rsidRPr="00C9026A">
        <w:t xml:space="preserve">), </w:t>
      </w:r>
      <w:r w:rsidR="00C275E7">
        <w:t>for consideration of potential exposures</w:t>
      </w:r>
      <w:r w:rsidR="00C275E7" w:rsidRPr="00C9026A" w:rsidDel="00C275E7">
        <w:t xml:space="preserve"> </w:t>
      </w:r>
      <w:r w:rsidR="00C275E7">
        <w:t>the</w:t>
      </w:r>
      <w:r w:rsidR="00C275E7" w:rsidRPr="00C9026A">
        <w:t xml:space="preserve"> </w:t>
      </w:r>
      <w:r w:rsidRPr="00C9026A">
        <w:t xml:space="preserve">dose </w:t>
      </w:r>
      <w:r w:rsidR="00FA1056">
        <w:t xml:space="preserve">on the representative person </w:t>
      </w:r>
      <w:r w:rsidRPr="00C9026A">
        <w:t xml:space="preserve">due to </w:t>
      </w:r>
      <w:r w:rsidR="00AC27BB">
        <w:lastRenderedPageBreak/>
        <w:t>characteristic</w:t>
      </w:r>
      <w:r w:rsidR="009F169D">
        <w:t xml:space="preserve"> </w:t>
      </w:r>
      <w:r w:rsidR="00E8177D">
        <w:t>accident</w:t>
      </w:r>
      <w:r w:rsidR="00AC27BB">
        <w:t>s</w:t>
      </w:r>
      <w:r w:rsidR="00E8177D">
        <w:t xml:space="preserve"> </w:t>
      </w:r>
      <w:r w:rsidRPr="00C9026A">
        <w:t>is normally estimated</w:t>
      </w:r>
      <w:r w:rsidR="009F169D">
        <w:t xml:space="preserve">, </w:t>
      </w:r>
      <w:r w:rsidRPr="00C9026A">
        <w:t xml:space="preserve">and </w:t>
      </w:r>
      <w:r w:rsidR="00864DC2" w:rsidRPr="00C9026A">
        <w:t xml:space="preserve">doses of 1 to a few </w:t>
      </w:r>
      <w:proofErr w:type="spellStart"/>
      <w:r w:rsidR="00864DC2" w:rsidRPr="00C9026A">
        <w:t>mSv</w:t>
      </w:r>
      <w:proofErr w:type="spellEnd"/>
      <w:r w:rsidR="000A3DA2">
        <w:t xml:space="preserve">, typically 5 </w:t>
      </w:r>
      <w:proofErr w:type="spellStart"/>
      <w:r w:rsidR="000A3DA2">
        <w:t>mSv</w:t>
      </w:r>
      <w:proofErr w:type="spellEnd"/>
      <w:r w:rsidR="00864DC2" w:rsidRPr="00C9026A">
        <w:t xml:space="preserve"> should be used as the decision criteria. </w:t>
      </w:r>
    </w:p>
    <w:p w:rsidR="000849D5" w:rsidRPr="00C9026A" w:rsidRDefault="000849D5" w:rsidP="000849D5">
      <w:pPr>
        <w:pStyle w:val="Heading4"/>
        <w:ind w:left="0"/>
        <w:rPr>
          <w:szCs w:val="24"/>
        </w:rPr>
      </w:pPr>
      <w:r>
        <w:t xml:space="preserve">The dose which is estimated to the representative person, combined with </w:t>
      </w:r>
      <w:r w:rsidRPr="00C9026A">
        <w:t>the probabilit</w:t>
      </w:r>
      <w:r>
        <w:t>y</w:t>
      </w:r>
      <w:r w:rsidRPr="00C9026A">
        <w:t xml:space="preserve"> determined in the specification of the source term and </w:t>
      </w:r>
      <w:r>
        <w:t>with probability determined by the characteristics of environmental</w:t>
      </w:r>
      <w:r w:rsidRPr="00C9026A">
        <w:t xml:space="preserve"> </w:t>
      </w:r>
      <w:r>
        <w:t>transfer (e.g. by the fraction of the time during the year that the winds blow toward the location of the representative person),</w:t>
      </w:r>
      <w:r w:rsidRPr="00C9026A">
        <w:t xml:space="preserve"> can be converted into an indication of the risk of health effects by means of risk coefficients provided</w:t>
      </w:r>
      <w:r>
        <w:t xml:space="preserve"> by</w:t>
      </w:r>
      <w:r w:rsidRPr="00C9026A">
        <w:t xml:space="preserve">, for example, </w:t>
      </w:r>
      <w:r>
        <w:t xml:space="preserve">the </w:t>
      </w:r>
      <w:r w:rsidRPr="00C9026A">
        <w:t>ICRP [</w:t>
      </w:r>
      <w:r w:rsidR="00085B52">
        <w:t>52</w:t>
      </w:r>
      <w:r w:rsidRPr="00C9026A">
        <w:t xml:space="preserve">]. </w:t>
      </w:r>
      <w:r w:rsidRPr="00C9026A">
        <w:rPr>
          <w:szCs w:val="24"/>
        </w:rPr>
        <w:t xml:space="preserve">The use of an indication of </w:t>
      </w:r>
      <w:r>
        <w:rPr>
          <w:szCs w:val="24"/>
        </w:rPr>
        <w:t xml:space="preserve">the </w:t>
      </w:r>
      <w:r w:rsidRPr="00C9026A">
        <w:rPr>
          <w:szCs w:val="24"/>
        </w:rPr>
        <w:t xml:space="preserve">risk </w:t>
      </w:r>
      <w:r>
        <w:rPr>
          <w:szCs w:val="24"/>
        </w:rPr>
        <w:t xml:space="preserve">of health effects </w:t>
      </w:r>
      <w:r w:rsidRPr="00C9026A">
        <w:rPr>
          <w:szCs w:val="24"/>
        </w:rPr>
        <w:t xml:space="preserve">should be applied </w:t>
      </w:r>
      <w:r>
        <w:rPr>
          <w:szCs w:val="24"/>
        </w:rPr>
        <w:t>in accordance with</w:t>
      </w:r>
      <w:r w:rsidRPr="00C9026A">
        <w:rPr>
          <w:szCs w:val="24"/>
        </w:rPr>
        <w:t xml:space="preserve"> national practices and regulations</w:t>
      </w:r>
      <w:r>
        <w:rPr>
          <w:szCs w:val="24"/>
        </w:rPr>
        <w:t>. Such indications of the risk of health effects should be used only in the framework of a prospective radiological environmental impact assessment as described in this Safety Guide and not for attributing health effects for individuals</w:t>
      </w:r>
      <w:r w:rsidR="00FA1056">
        <w:rPr>
          <w:szCs w:val="24"/>
        </w:rPr>
        <w:t xml:space="preserve"> </w:t>
      </w:r>
      <w:r w:rsidRPr="00C9026A">
        <w:t xml:space="preserve">Annex II </w:t>
      </w:r>
      <w:r>
        <w:t>provides</w:t>
      </w:r>
      <w:r w:rsidRPr="00C9026A">
        <w:t xml:space="preserve"> more </w:t>
      </w:r>
      <w:r>
        <w:t>information about risk estimation.</w:t>
      </w:r>
    </w:p>
    <w:p w:rsidR="00D93144" w:rsidRPr="00C9026A" w:rsidRDefault="0061594A" w:rsidP="00A57A35">
      <w:pPr>
        <w:pStyle w:val="Heading4"/>
        <w:ind w:left="0"/>
      </w:pPr>
      <w:r w:rsidRPr="00C9026A">
        <w:t>T</w:t>
      </w:r>
      <w:r w:rsidR="00D93144" w:rsidRPr="00C9026A">
        <w:t>he</w:t>
      </w:r>
      <w:r w:rsidR="00BF56ED">
        <w:t xml:space="preserve"> government or the</w:t>
      </w:r>
      <w:r w:rsidR="00D93144" w:rsidRPr="00C9026A">
        <w:t xml:space="preserve"> regulatory body </w:t>
      </w:r>
      <w:r w:rsidR="00C275E7">
        <w:t>is required to</w:t>
      </w:r>
      <w:r w:rsidR="00C275E7" w:rsidRPr="00C9026A">
        <w:t xml:space="preserve"> </w:t>
      </w:r>
      <w:r w:rsidR="00D93144" w:rsidRPr="00C9026A">
        <w:t xml:space="preserve">establish </w:t>
      </w:r>
      <w:r w:rsidR="00BF56ED">
        <w:t xml:space="preserve">or approve </w:t>
      </w:r>
      <w:r w:rsidR="00D93144" w:rsidRPr="00C9026A">
        <w:t>constraint</w:t>
      </w:r>
      <w:r w:rsidR="00C275E7">
        <w:t>s on risk</w:t>
      </w:r>
      <w:r w:rsidR="00D22D0C" w:rsidRPr="00C9026A">
        <w:t xml:space="preserve"> [</w:t>
      </w:r>
      <w:r w:rsidR="004D0C1D" w:rsidRPr="00C9026A">
        <w:t>1</w:t>
      </w:r>
      <w:r w:rsidR="0028337A" w:rsidRPr="00C9026A">
        <w:t>]</w:t>
      </w:r>
      <w:r w:rsidR="00BF56ED">
        <w:t>, as appropriate,</w:t>
      </w:r>
      <w:r w:rsidR="00CC0307" w:rsidRPr="00C9026A">
        <w:t xml:space="preserve"> for the consideration of potential exposures</w:t>
      </w:r>
      <w:r w:rsidR="00616CF5">
        <w:t>.</w:t>
      </w:r>
      <w:r w:rsidR="00D93144" w:rsidRPr="00C9026A">
        <w:t xml:space="preserve"> </w:t>
      </w:r>
      <w:r w:rsidR="007D3E3C">
        <w:t xml:space="preserve">Risk </w:t>
      </w:r>
      <w:r w:rsidR="00C275E7">
        <w:t>constraints</w:t>
      </w:r>
      <w:r w:rsidR="00C275E7" w:rsidRPr="00C9026A">
        <w:t xml:space="preserve"> </w:t>
      </w:r>
      <w:r w:rsidR="00D93144" w:rsidRPr="00C9026A">
        <w:t>could be</w:t>
      </w:r>
      <w:r w:rsidR="00616CF5">
        <w:t xml:space="preserve"> established on the basis of</w:t>
      </w:r>
      <w:r w:rsidR="00D93144" w:rsidRPr="00C9026A">
        <w:t xml:space="preserve"> </w:t>
      </w:r>
      <w:r w:rsidR="000669E1">
        <w:t>recommendations</w:t>
      </w:r>
      <w:r w:rsidR="009B3AFB" w:rsidRPr="00C9026A">
        <w:t xml:space="preserve"> </w:t>
      </w:r>
      <w:r w:rsidR="00830DC5">
        <w:t xml:space="preserve">by </w:t>
      </w:r>
      <w:r w:rsidR="00D93144" w:rsidRPr="00C9026A">
        <w:t xml:space="preserve">INSAG </w:t>
      </w:r>
      <w:r w:rsidR="004D0C1D" w:rsidRPr="00C9026A">
        <w:t>[</w:t>
      </w:r>
      <w:r w:rsidR="007C5D7A" w:rsidRPr="00C9026A">
        <w:t>5</w:t>
      </w:r>
      <w:r w:rsidR="00085B52">
        <w:t>3</w:t>
      </w:r>
      <w:r w:rsidR="004D0C1D" w:rsidRPr="00C9026A">
        <w:t xml:space="preserve">] </w:t>
      </w:r>
      <w:r w:rsidR="00D93144" w:rsidRPr="00C9026A">
        <w:t xml:space="preserve">or </w:t>
      </w:r>
      <w:r w:rsidR="00A656C5" w:rsidRPr="00C9026A">
        <w:t>ICRP</w:t>
      </w:r>
      <w:r w:rsidR="00E51702">
        <w:t xml:space="preserve"> [3, </w:t>
      </w:r>
      <w:r w:rsidR="00085B52">
        <w:t>52</w:t>
      </w:r>
      <w:r w:rsidR="004D0C1D" w:rsidRPr="00C9026A">
        <w:t>]</w:t>
      </w:r>
      <w:r w:rsidR="00D93144" w:rsidRPr="00C9026A">
        <w:t xml:space="preserve">. </w:t>
      </w:r>
      <w:r w:rsidR="000669E1">
        <w:t xml:space="preserve">Guidance </w:t>
      </w:r>
      <w:r w:rsidR="00C275E7">
        <w:t xml:space="preserve">for </w:t>
      </w:r>
      <w:r w:rsidR="000669E1">
        <w:t>establish</w:t>
      </w:r>
      <w:r w:rsidR="00C275E7">
        <w:t>ing</w:t>
      </w:r>
      <w:r w:rsidR="000669E1">
        <w:t xml:space="preserve"> </w:t>
      </w:r>
      <w:r w:rsidR="004E7F1D" w:rsidRPr="004E7F1D">
        <w:t xml:space="preserve">risk criteria for consideration of potential exposures is provided in </w:t>
      </w:r>
      <w:r w:rsidR="00985967">
        <w:t xml:space="preserve">the </w:t>
      </w:r>
      <w:r w:rsidR="004E7F1D" w:rsidRPr="004E7F1D">
        <w:t>Appendix</w:t>
      </w:r>
      <w:r w:rsidR="001903FC">
        <w:t xml:space="preserve">. </w:t>
      </w:r>
      <w:r w:rsidR="00C275E7">
        <w:t>Further information on t</w:t>
      </w:r>
      <w:r w:rsidRPr="00C9026A">
        <w:t xml:space="preserve">he definition </w:t>
      </w:r>
      <w:r w:rsidR="000669E1">
        <w:t xml:space="preserve">of a measure of </w:t>
      </w:r>
      <w:r w:rsidR="00577EF0">
        <w:t xml:space="preserve">the </w:t>
      </w:r>
      <w:r w:rsidR="000669E1">
        <w:t xml:space="preserve">risk </w:t>
      </w:r>
      <w:r w:rsidRPr="00C9026A">
        <w:t xml:space="preserve">and </w:t>
      </w:r>
      <w:r w:rsidR="000669E1">
        <w:t xml:space="preserve">the </w:t>
      </w:r>
      <w:r w:rsidRPr="00C9026A">
        <w:t xml:space="preserve">use of risk constraints are </w:t>
      </w:r>
      <w:r w:rsidR="00F469C7">
        <w:t xml:space="preserve">provided </w:t>
      </w:r>
      <w:r w:rsidR="000669E1">
        <w:t>in Annex II and</w:t>
      </w:r>
      <w:r w:rsidR="00C275E7">
        <w:t xml:space="preserve"> guidance is provided</w:t>
      </w:r>
      <w:r w:rsidR="000669E1">
        <w:t xml:space="preserve"> </w:t>
      </w:r>
      <w:r w:rsidRPr="00C9026A">
        <w:t xml:space="preserve">in </w:t>
      </w:r>
      <w:r w:rsidR="009B3AFB">
        <w:t xml:space="preserve">DS432 </w:t>
      </w:r>
      <w:r w:rsidRPr="00C9026A">
        <w:t>[</w:t>
      </w:r>
      <w:r w:rsidR="00186FD2">
        <w:t>7</w:t>
      </w:r>
      <w:r w:rsidRPr="00C9026A">
        <w:t>]</w:t>
      </w:r>
      <w:r w:rsidR="0028337A" w:rsidRPr="00C9026A">
        <w:t>.</w:t>
      </w:r>
    </w:p>
    <w:p w:rsidR="000B41E1" w:rsidRDefault="000B41E1" w:rsidP="00A57A35">
      <w:pPr>
        <w:pStyle w:val="Heading4"/>
        <w:ind w:left="0"/>
      </w:pPr>
      <w:r w:rsidRPr="00C9026A">
        <w:t xml:space="preserve">When </w:t>
      </w:r>
      <w:r w:rsidR="009B3AFB">
        <w:t xml:space="preserve">an assessment of potential exposures </w:t>
      </w:r>
      <w:r w:rsidR="0088042F" w:rsidRPr="00C9026A">
        <w:t xml:space="preserve">for a nuclear facility </w:t>
      </w:r>
      <w:r w:rsidR="009B3AFB">
        <w:t>is performed</w:t>
      </w:r>
      <w:r w:rsidR="00CA4C21">
        <w:t>,</w:t>
      </w:r>
      <w:r w:rsidR="009B3AFB">
        <w:t xml:space="preserve"> which makes use of </w:t>
      </w:r>
      <w:r w:rsidR="00CA4C21">
        <w:t xml:space="preserve">defined </w:t>
      </w:r>
      <w:r w:rsidRPr="00C9026A">
        <w:t xml:space="preserve">characteristic </w:t>
      </w:r>
      <w:r w:rsidR="00ED0DCA">
        <w:t xml:space="preserve">accident </w:t>
      </w:r>
      <w:r w:rsidRPr="00C9026A">
        <w:t>scenario</w:t>
      </w:r>
      <w:r w:rsidR="0088042F" w:rsidRPr="00C9026A">
        <w:t xml:space="preserve">s, </w:t>
      </w:r>
      <w:r w:rsidR="00186FD2">
        <w:t>the</w:t>
      </w:r>
      <w:r w:rsidR="0088042F" w:rsidRPr="00C9026A">
        <w:t xml:space="preserve"> dose corresponding to a reduced set of </w:t>
      </w:r>
      <w:r w:rsidR="000669E1">
        <w:t>accidents</w:t>
      </w:r>
      <w:r w:rsidR="0088042F" w:rsidRPr="00C9026A">
        <w:t xml:space="preserve"> is normally estimated. In </w:t>
      </w:r>
      <w:r w:rsidR="00C275E7">
        <w:t>this</w:t>
      </w:r>
      <w:r w:rsidR="00C275E7" w:rsidRPr="00C9026A">
        <w:t xml:space="preserve"> </w:t>
      </w:r>
      <w:r w:rsidR="0088042F" w:rsidRPr="00C9026A">
        <w:t xml:space="preserve">case, the criteria </w:t>
      </w:r>
      <w:r w:rsidR="00186FD2">
        <w:t>for deciding</w:t>
      </w:r>
      <w:r w:rsidR="009B3AFB">
        <w:t xml:space="preserve"> whether </w:t>
      </w:r>
      <w:r w:rsidR="00CA4C21">
        <w:t>the risk of potential exposures is acceptable</w:t>
      </w:r>
      <w:r w:rsidR="009B3AFB">
        <w:t xml:space="preserve"> </w:t>
      </w:r>
      <w:r w:rsidR="0088042F" w:rsidRPr="00C9026A">
        <w:t>should be defined in terms of dose</w:t>
      </w:r>
      <w:r w:rsidR="00926AC1" w:rsidRPr="00C9026A">
        <w:t xml:space="preserve"> </w:t>
      </w:r>
      <w:r w:rsidR="008145DB" w:rsidRPr="00C9026A">
        <w:t>(</w:t>
      </w:r>
      <w:r w:rsidR="00926AC1" w:rsidRPr="00C9026A">
        <w:t>e</w:t>
      </w:r>
      <w:r w:rsidR="009B3AFB">
        <w:t>.g.</w:t>
      </w:r>
      <w:r w:rsidR="00926AC1" w:rsidRPr="00C9026A">
        <w:t xml:space="preserve"> a dose </w:t>
      </w:r>
      <w:r w:rsidR="0088042F" w:rsidRPr="00C9026A">
        <w:t>in the range 10</w:t>
      </w:r>
      <w:r w:rsidR="000916E7">
        <w:t> </w:t>
      </w:r>
      <w:r w:rsidR="009B3AFB">
        <w:t xml:space="preserve">– </w:t>
      </w:r>
      <w:r w:rsidR="006B15E3">
        <w:t>100</w:t>
      </w:r>
      <w:r w:rsidR="006B15E3" w:rsidRPr="00C9026A">
        <w:t xml:space="preserve"> </w:t>
      </w:r>
      <w:proofErr w:type="spellStart"/>
      <w:r w:rsidR="0088042F" w:rsidRPr="00C9026A">
        <w:t>mSv</w:t>
      </w:r>
      <w:proofErr w:type="spellEnd"/>
      <w:r w:rsidR="00926AC1" w:rsidRPr="00C9026A">
        <w:t xml:space="preserve"> </w:t>
      </w:r>
      <w:r w:rsidR="009B3AFB">
        <w:t>could be used</w:t>
      </w:r>
      <w:r w:rsidR="00CA4C21">
        <w:t xml:space="preserve">, because </w:t>
      </w:r>
      <w:r w:rsidR="00C275E7">
        <w:t xml:space="preserve">these </w:t>
      </w:r>
      <w:r w:rsidR="00CA4C21">
        <w:t>are</w:t>
      </w:r>
      <w:r w:rsidR="009B3AFB">
        <w:t xml:space="preserve"> </w:t>
      </w:r>
      <w:r w:rsidR="00CA4C21">
        <w:t xml:space="preserve">values that </w:t>
      </w:r>
      <w:r w:rsidR="009B3AFB">
        <w:t xml:space="preserve">trigger the implementation of </w:t>
      </w:r>
      <w:r w:rsidR="00AE495C" w:rsidRPr="00C9026A">
        <w:t xml:space="preserve">certain </w:t>
      </w:r>
      <w:r w:rsidR="00C275E7">
        <w:t xml:space="preserve">protective actions </w:t>
      </w:r>
      <w:r w:rsidR="006B15E3">
        <w:t>[</w:t>
      </w:r>
      <w:r w:rsidR="00186FD2">
        <w:t>8</w:t>
      </w:r>
      <w:r w:rsidR="006B15E3">
        <w:t>]</w:t>
      </w:r>
      <w:r w:rsidR="00CC0307" w:rsidRPr="00C9026A">
        <w:t>)</w:t>
      </w:r>
      <w:r w:rsidR="002923C7" w:rsidRPr="00C9026A">
        <w:t>. Different values for the dose criteria could be defined within that range</w:t>
      </w:r>
      <w:r w:rsidR="00C275E7">
        <w:t>,</w:t>
      </w:r>
      <w:r w:rsidR="002923C7" w:rsidRPr="00C9026A">
        <w:t xml:space="preserve"> </w:t>
      </w:r>
      <w:r w:rsidR="00C275E7">
        <w:t xml:space="preserve">depending on </w:t>
      </w:r>
      <w:r w:rsidR="002923C7" w:rsidRPr="00C9026A">
        <w:t xml:space="preserve">the different annual frequencies of those characteristic </w:t>
      </w:r>
      <w:r w:rsidR="00CA4C21">
        <w:t xml:space="preserve">accident </w:t>
      </w:r>
      <w:r w:rsidR="002923C7" w:rsidRPr="00C9026A">
        <w:t>scenarios</w:t>
      </w:r>
      <w:r w:rsidR="003A598A">
        <w:t>:</w:t>
      </w:r>
      <w:r w:rsidR="002923C7" w:rsidRPr="00C9026A">
        <w:t xml:space="preserve"> for accidents with</w:t>
      </w:r>
      <w:r w:rsidR="000916E7">
        <w:t xml:space="preserve"> estimated</w:t>
      </w:r>
      <w:r w:rsidR="002923C7" w:rsidRPr="00C9026A">
        <w:t xml:space="preserve"> higher frequencies the dose criteria should be lower than for accidents with very low frequency. Although the end</w:t>
      </w:r>
      <w:r w:rsidR="00D56EC1" w:rsidRPr="00C9026A">
        <w:t xml:space="preserve"> </w:t>
      </w:r>
      <w:r w:rsidR="002923C7" w:rsidRPr="00C9026A">
        <w:t>point</w:t>
      </w:r>
      <w:r w:rsidR="000669E1">
        <w:t>s</w:t>
      </w:r>
      <w:r w:rsidR="002923C7" w:rsidRPr="00C9026A">
        <w:t xml:space="preserve"> and the criteria f</w:t>
      </w:r>
      <w:r w:rsidR="003A598A">
        <w:t>or</w:t>
      </w:r>
      <w:r w:rsidR="002923C7" w:rsidRPr="00C9026A">
        <w:t xml:space="preserve"> this type of assessment are </w:t>
      </w:r>
      <w:r w:rsidR="00C275E7">
        <w:t xml:space="preserve">stated </w:t>
      </w:r>
      <w:r w:rsidR="00926AC1" w:rsidRPr="00C9026A">
        <w:t>in term</w:t>
      </w:r>
      <w:r w:rsidR="00C275E7">
        <w:t>s</w:t>
      </w:r>
      <w:r w:rsidR="00926AC1" w:rsidRPr="00C9026A">
        <w:t xml:space="preserve"> of </w:t>
      </w:r>
      <w:r w:rsidR="002923C7" w:rsidRPr="00C9026A">
        <w:t>dose</w:t>
      </w:r>
      <w:r w:rsidR="00926AC1" w:rsidRPr="00C9026A">
        <w:t>s</w:t>
      </w:r>
      <w:r w:rsidR="002923C7" w:rsidRPr="00C9026A">
        <w:t xml:space="preserve">, owing to the fact that frequencies </w:t>
      </w:r>
      <w:r w:rsidR="00C275E7">
        <w:t xml:space="preserve">of accidents </w:t>
      </w:r>
      <w:r w:rsidR="002923C7" w:rsidRPr="00C9026A">
        <w:t>are involved</w:t>
      </w:r>
      <w:r w:rsidR="00C275E7">
        <w:t xml:space="preserve"> in setting the criteria</w:t>
      </w:r>
      <w:r w:rsidR="002923C7" w:rsidRPr="00C9026A">
        <w:t xml:space="preserve">, there is an implicit notion of risk and the results can be related to the criteria </w:t>
      </w:r>
      <w:r w:rsidR="00F469C7">
        <w:t>set out</w:t>
      </w:r>
      <w:r w:rsidR="00F469C7" w:rsidRPr="00C9026A">
        <w:t xml:space="preserve"> </w:t>
      </w:r>
      <w:r w:rsidR="002923C7" w:rsidRPr="00C9026A">
        <w:t xml:space="preserve">in </w:t>
      </w:r>
      <w:r w:rsidR="00985967">
        <w:t xml:space="preserve">the </w:t>
      </w:r>
      <w:r w:rsidR="002923C7" w:rsidRPr="00C9026A">
        <w:t>Appendix.</w:t>
      </w:r>
    </w:p>
    <w:p w:rsidR="008E056D" w:rsidRPr="008E056D" w:rsidRDefault="008E056D" w:rsidP="00974FEC">
      <w:pPr>
        <w:pStyle w:val="Heading4"/>
        <w:ind w:left="0"/>
      </w:pPr>
      <w:r>
        <w:t xml:space="preserve">Nuclear facilities having </w:t>
      </w:r>
      <w:r w:rsidR="00974FEC">
        <w:t>numerous engineered safety features may also use c</w:t>
      </w:r>
      <w:r>
        <w:t xml:space="preserve">omplex safety assessment techniques </w:t>
      </w:r>
      <w:r w:rsidR="00974FEC">
        <w:t>combining deterministic and probabilistic methods and expert judgement to assess the likelihood and magnitude of the doses to the representative person, which can be converted in an indication of risk and compared to a risk criterion. The criteria described in the Appendix should be considered by the regulatory body in order to define the relevant risk criteria for this approach. Annex II describe the basi</w:t>
      </w:r>
      <w:r w:rsidR="00C63C80">
        <w:t>c</w:t>
      </w:r>
      <w:r w:rsidR="00974FEC">
        <w:t xml:space="preserve"> aspects of these </w:t>
      </w:r>
      <w:r w:rsidR="005E6F57">
        <w:t>types of</w:t>
      </w:r>
      <w:r w:rsidR="00974FEC">
        <w:t xml:space="preserve"> assessment of potential exposures.</w:t>
      </w:r>
    </w:p>
    <w:p w:rsidR="00D93144" w:rsidRPr="00C9026A" w:rsidRDefault="00D93144" w:rsidP="00A57A35">
      <w:pPr>
        <w:pStyle w:val="Heading4"/>
        <w:ind w:left="0"/>
      </w:pPr>
      <w:r w:rsidRPr="00C9026A">
        <w:t>Another option may be to express the criteria</w:t>
      </w:r>
      <w:r w:rsidR="0012637B" w:rsidRPr="00C9026A">
        <w:t xml:space="preserve"> qualitatively,</w:t>
      </w:r>
      <w:r w:rsidRPr="00C9026A">
        <w:t xml:space="preserve"> in terms of </w:t>
      </w:r>
      <w:r w:rsidR="003A598A">
        <w:t xml:space="preserve">whether </w:t>
      </w:r>
      <w:r w:rsidRPr="00C9026A">
        <w:t xml:space="preserve">a </w:t>
      </w:r>
      <w:r w:rsidR="003A598A">
        <w:t xml:space="preserve">certain </w:t>
      </w:r>
      <w:r w:rsidRPr="00C9026A">
        <w:t xml:space="preserve">consequence to the public would be unacceptable. For instance, a criterion </w:t>
      </w:r>
      <w:r w:rsidR="00616CF5">
        <w:t>c</w:t>
      </w:r>
      <w:r w:rsidR="00D214C5">
        <w:t>ould</w:t>
      </w:r>
      <w:r w:rsidR="00D214C5" w:rsidRPr="00C9026A">
        <w:t xml:space="preserve"> </w:t>
      </w:r>
      <w:r w:rsidRPr="00C9026A">
        <w:t xml:space="preserve">be that very disruptive </w:t>
      </w:r>
      <w:r w:rsidR="00616CF5">
        <w:t>protective actions</w:t>
      </w:r>
      <w:r w:rsidR="003A598A">
        <w:t>,</w:t>
      </w:r>
      <w:r w:rsidR="00926AC1" w:rsidRPr="00C9026A">
        <w:t xml:space="preserve"> </w:t>
      </w:r>
      <w:r w:rsidR="003A598A">
        <w:t>such as</w:t>
      </w:r>
      <w:r w:rsidRPr="00C9026A">
        <w:t xml:space="preserve"> </w:t>
      </w:r>
      <w:r w:rsidR="003A598A">
        <w:t xml:space="preserve">a </w:t>
      </w:r>
      <w:r w:rsidR="0061594A" w:rsidRPr="00C9026A">
        <w:t xml:space="preserve">large </w:t>
      </w:r>
      <w:r w:rsidR="00B81264">
        <w:t xml:space="preserve">and prolonged </w:t>
      </w:r>
      <w:r w:rsidRPr="00C9026A">
        <w:t>evacuation or relocation</w:t>
      </w:r>
      <w:r w:rsidR="003A598A">
        <w:t>,</w:t>
      </w:r>
      <w:r w:rsidRPr="00C9026A">
        <w:t xml:space="preserve"> as a result of </w:t>
      </w:r>
      <w:r w:rsidR="00616CF5">
        <w:t>a</w:t>
      </w:r>
      <w:r w:rsidR="00616CF5" w:rsidRPr="00C9026A">
        <w:t xml:space="preserve"> </w:t>
      </w:r>
      <w:r w:rsidRPr="00C9026A">
        <w:t xml:space="preserve">potential accident scenario specified for the facility or activity </w:t>
      </w:r>
      <w:r w:rsidR="00616CF5">
        <w:t>would</w:t>
      </w:r>
      <w:r w:rsidR="00616CF5" w:rsidRPr="00C9026A">
        <w:t xml:space="preserve"> </w:t>
      </w:r>
      <w:r w:rsidRPr="00C9026A">
        <w:t>not</w:t>
      </w:r>
      <w:r w:rsidR="00616CF5">
        <w:t xml:space="preserve"> be</w:t>
      </w:r>
      <w:r w:rsidRPr="00C9026A">
        <w:t xml:space="preserve"> </w:t>
      </w:r>
      <w:r w:rsidRPr="00C9026A">
        <w:lastRenderedPageBreak/>
        <w:t>acceptable</w:t>
      </w:r>
      <w:r w:rsidR="008A6C50">
        <w:rPr>
          <w:rStyle w:val="FootnoteReference"/>
        </w:rPr>
        <w:footnoteReference w:id="32"/>
      </w:r>
      <w:r w:rsidRPr="00C9026A">
        <w:t xml:space="preserve">. </w:t>
      </w:r>
      <w:r w:rsidR="0012637B" w:rsidRPr="00C9026A">
        <w:t xml:space="preserve">Although this is in principle a qualitative </w:t>
      </w:r>
      <w:r w:rsidR="00926AC1" w:rsidRPr="00C9026A">
        <w:t>criterion</w:t>
      </w:r>
      <w:r w:rsidR="0012637B" w:rsidRPr="00C9026A">
        <w:t>, t</w:t>
      </w:r>
      <w:r w:rsidRPr="00C9026A">
        <w:t xml:space="preserve">he need </w:t>
      </w:r>
      <w:r w:rsidR="00616CF5">
        <w:t>for such protective actions</w:t>
      </w:r>
      <w:r w:rsidRPr="00C9026A">
        <w:t xml:space="preserve"> </w:t>
      </w:r>
      <w:r w:rsidR="00926AC1" w:rsidRPr="00C9026A">
        <w:t>should be</w:t>
      </w:r>
      <w:r w:rsidRPr="00C9026A">
        <w:t xml:space="preserve"> determined using estimations of projected doses (or related operational </w:t>
      </w:r>
      <w:r w:rsidR="003A598A">
        <w:t>quantities</w:t>
      </w:r>
      <w:r w:rsidRPr="00C9026A">
        <w:t xml:space="preserve">) and </w:t>
      </w:r>
      <w:r w:rsidR="00616CF5">
        <w:t xml:space="preserve">by </w:t>
      </w:r>
      <w:r w:rsidRPr="00C9026A">
        <w:t>comparing these estimations against emergency response decision criteria</w:t>
      </w:r>
      <w:r w:rsidR="00D214C5">
        <w:t xml:space="preserve">, for instance </w:t>
      </w:r>
      <w:r w:rsidR="00616CF5">
        <w:t xml:space="preserve">the </w:t>
      </w:r>
      <w:r w:rsidR="000916E7">
        <w:t>reference levels</w:t>
      </w:r>
      <w:r w:rsidR="00D214C5">
        <w:t xml:space="preserve"> </w:t>
      </w:r>
      <w:r w:rsidR="00616CF5">
        <w:t xml:space="preserve">provided </w:t>
      </w:r>
      <w:r w:rsidR="00D214C5">
        <w:t xml:space="preserve">in </w:t>
      </w:r>
      <w:r w:rsidR="00616CF5">
        <w:t>GSG-2</w:t>
      </w:r>
      <w:r w:rsidR="00D214C5">
        <w:t xml:space="preserve"> [</w:t>
      </w:r>
      <w:r w:rsidR="00186FD2">
        <w:t>8</w:t>
      </w:r>
      <w:r w:rsidR="00D214C5">
        <w:t>]</w:t>
      </w:r>
      <w:r w:rsidRPr="00C9026A">
        <w:t xml:space="preserve">. </w:t>
      </w:r>
      <w:r w:rsidR="00D22D0C" w:rsidRPr="00C9026A">
        <w:t>If this approach is used, t</w:t>
      </w:r>
      <w:r w:rsidRPr="00C9026A">
        <w:t xml:space="preserve">he regulatory body </w:t>
      </w:r>
      <w:r w:rsidR="00CD5346" w:rsidRPr="00C9026A">
        <w:t>should</w:t>
      </w:r>
      <w:r w:rsidRPr="00C9026A">
        <w:t xml:space="preserve"> </w:t>
      </w:r>
      <w:r w:rsidR="00197E3A" w:rsidRPr="00C9026A">
        <w:t>define</w:t>
      </w:r>
      <w:r w:rsidRPr="00C9026A">
        <w:t xml:space="preserve"> the decision criteria for </w:t>
      </w:r>
      <w:r w:rsidR="00232CBC">
        <w:t xml:space="preserve">the implementation of </w:t>
      </w:r>
      <w:r w:rsidR="00616CF5">
        <w:t>protective actions</w:t>
      </w:r>
      <w:r w:rsidR="00616CF5" w:rsidRPr="00C9026A">
        <w:t xml:space="preserve"> </w:t>
      </w:r>
      <w:r w:rsidRPr="00C9026A">
        <w:t xml:space="preserve">to be used </w:t>
      </w:r>
      <w:r w:rsidR="00197E3A" w:rsidRPr="00C9026A">
        <w:t>for the assessment</w:t>
      </w:r>
      <w:r w:rsidRPr="00C9026A">
        <w:t xml:space="preserve"> of the potential exposures in line with the requirements </w:t>
      </w:r>
      <w:r w:rsidR="00616CF5">
        <w:t xml:space="preserve">established </w:t>
      </w:r>
      <w:r w:rsidRPr="00C9026A">
        <w:t xml:space="preserve">in </w:t>
      </w:r>
      <w:r w:rsidR="00F07BC9">
        <w:t xml:space="preserve">GSR Part 7 </w:t>
      </w:r>
      <w:r w:rsidRPr="00C9026A">
        <w:t>[</w:t>
      </w:r>
      <w:r w:rsidR="00186FD2">
        <w:t>6</w:t>
      </w:r>
      <w:r w:rsidRPr="00C9026A">
        <w:t>].</w:t>
      </w:r>
    </w:p>
    <w:p w:rsidR="0040366D" w:rsidRPr="00C9026A" w:rsidRDefault="00D93144" w:rsidP="00A57A35">
      <w:pPr>
        <w:pStyle w:val="Heading4"/>
        <w:ind w:left="0"/>
      </w:pPr>
      <w:r w:rsidRPr="00C9026A">
        <w:t>When considering transboundary impacts</w:t>
      </w:r>
      <w:r w:rsidR="00616CF5">
        <w:t>,</w:t>
      </w:r>
      <w:r w:rsidRPr="00C9026A">
        <w:t xml:space="preserve"> the criteria used for the consideration of potential exposures </w:t>
      </w:r>
      <w:r w:rsidR="00FF6BB7" w:rsidRPr="00C9026A">
        <w:t xml:space="preserve">in other States </w:t>
      </w:r>
      <w:r w:rsidR="00CD5346" w:rsidRPr="00C9026A">
        <w:t>should</w:t>
      </w:r>
      <w:r w:rsidRPr="00C9026A">
        <w:t xml:space="preserve"> be </w:t>
      </w:r>
      <w:r w:rsidR="00FF6BB7" w:rsidRPr="00C9026A">
        <w:t xml:space="preserve">in line with the criteria </w:t>
      </w:r>
      <w:r w:rsidR="00F469C7">
        <w:t>set out</w:t>
      </w:r>
      <w:r w:rsidR="00F469C7" w:rsidRPr="00C9026A">
        <w:t xml:space="preserve"> </w:t>
      </w:r>
      <w:r w:rsidR="00FF6BB7" w:rsidRPr="00C9026A">
        <w:t xml:space="preserve">in this </w:t>
      </w:r>
      <w:r w:rsidR="00F469C7">
        <w:t>S</w:t>
      </w:r>
      <w:r w:rsidR="00FF6BB7" w:rsidRPr="00C9026A">
        <w:t xml:space="preserve">afety </w:t>
      </w:r>
      <w:r w:rsidR="00F469C7">
        <w:t>G</w:t>
      </w:r>
      <w:r w:rsidR="00FF6BB7" w:rsidRPr="00C9026A">
        <w:t xml:space="preserve">uide and, in principle, </w:t>
      </w:r>
      <w:r w:rsidR="00232CBC">
        <w:t>should</w:t>
      </w:r>
      <w:r w:rsidR="00232CBC" w:rsidRPr="00C9026A">
        <w:t xml:space="preserve"> </w:t>
      </w:r>
      <w:r w:rsidR="00FF6BB7" w:rsidRPr="00C9026A">
        <w:t xml:space="preserve">be </w:t>
      </w:r>
      <w:r w:rsidRPr="00C9026A">
        <w:t xml:space="preserve">the same </w:t>
      </w:r>
      <w:r w:rsidR="00FF6BB7" w:rsidRPr="00C9026A">
        <w:t>used in the State where the facility or activity is located</w:t>
      </w:r>
      <w:r w:rsidRPr="00C9026A">
        <w:t>.</w:t>
      </w:r>
    </w:p>
    <w:p w:rsidR="00B86524" w:rsidRPr="00C9026A" w:rsidRDefault="009D512F" w:rsidP="00A57A35">
      <w:pPr>
        <w:pStyle w:val="Heading2"/>
      </w:pPr>
      <w:bookmarkStart w:id="88" w:name="_Toc447613499"/>
      <w:bookmarkStart w:id="89" w:name="_Toc450204022"/>
      <w:r w:rsidRPr="00C9026A">
        <w:t>C</w:t>
      </w:r>
      <w:r w:rsidR="00DB630D" w:rsidRPr="00C9026A">
        <w:t>onsideration</w:t>
      </w:r>
      <w:r w:rsidR="00F341CC">
        <w:t xml:space="preserve">s </w:t>
      </w:r>
      <w:r w:rsidR="00B25D08" w:rsidRPr="00B25D08">
        <w:t>relating to the assessment of the protection of the environment</w:t>
      </w:r>
      <w:bookmarkEnd w:id="88"/>
      <w:bookmarkEnd w:id="89"/>
    </w:p>
    <w:p w:rsidR="00B86524" w:rsidRDefault="00B86524" w:rsidP="00A57A35">
      <w:pPr>
        <w:pStyle w:val="Heading4"/>
        <w:ind w:left="0"/>
      </w:pPr>
      <w:r w:rsidRPr="00C9026A">
        <w:t xml:space="preserve">The </w:t>
      </w:r>
      <w:r w:rsidR="007F6463" w:rsidRPr="00C9026A">
        <w:t xml:space="preserve">high level </w:t>
      </w:r>
      <w:r w:rsidRPr="00C9026A">
        <w:t xml:space="preserve">aim of protection of the environment set </w:t>
      </w:r>
      <w:r w:rsidR="00A80AF4" w:rsidRPr="00C9026A">
        <w:t xml:space="preserve">by the ICRP </w:t>
      </w:r>
      <w:r w:rsidR="007F6463">
        <w:t>is</w:t>
      </w:r>
      <w:r w:rsidRPr="00C9026A">
        <w:t xml:space="preserve"> to provide for the maintenance of biological diversity</w:t>
      </w:r>
      <w:r w:rsidR="00BC75AF">
        <w:t xml:space="preserve"> and</w:t>
      </w:r>
      <w:r w:rsidRPr="00C9026A">
        <w:t xml:space="preserve"> to ensure the conservation of species and the health of natural habitats, communities and ecosystems [</w:t>
      </w:r>
      <w:r w:rsidR="002E6C86">
        <w:t xml:space="preserve">3, </w:t>
      </w:r>
      <w:r w:rsidR="007C5D7A" w:rsidRPr="00C9026A">
        <w:t>5</w:t>
      </w:r>
      <w:r w:rsidR="00717572">
        <w:t>4</w:t>
      </w:r>
      <w:r w:rsidRPr="00C9026A">
        <w:t xml:space="preserve">]. </w:t>
      </w:r>
      <w:r w:rsidR="003D7E4C">
        <w:t xml:space="preserve">SF-1 </w:t>
      </w:r>
      <w:r w:rsidR="00A80AF4" w:rsidRPr="00C9026A">
        <w:t>acknowledge</w:t>
      </w:r>
      <w:r w:rsidR="00BC75AF">
        <w:t>s</w:t>
      </w:r>
      <w:r w:rsidR="00A80AF4" w:rsidRPr="00C9026A">
        <w:t xml:space="preserve"> that </w:t>
      </w:r>
      <w:r w:rsidR="00BC75AF">
        <w:t>“T</w:t>
      </w:r>
      <w:r w:rsidRPr="00C9026A">
        <w:t xml:space="preserve">he general intent of the measures taken for the purposes of environmental protection </w:t>
      </w:r>
      <w:r w:rsidR="00BC75AF">
        <w:t>has been</w:t>
      </w:r>
      <w:r w:rsidR="00BC75AF" w:rsidRPr="00C9026A">
        <w:t xml:space="preserve"> </w:t>
      </w:r>
      <w:r w:rsidRPr="00C9026A">
        <w:t xml:space="preserve">to protect ecosystems against radiation exposure that would have adverse consequences for populations of a species </w:t>
      </w:r>
      <w:r w:rsidR="00BC75AF">
        <w:t>(</w:t>
      </w:r>
      <w:r w:rsidRPr="00C9026A">
        <w:t>as distinct from individual organisms</w:t>
      </w:r>
      <w:r w:rsidR="00BC75AF">
        <w:t>)”</w:t>
      </w:r>
      <w:r w:rsidRPr="00C9026A">
        <w:t xml:space="preserve"> [2].</w:t>
      </w:r>
      <w:r w:rsidR="00A80AF4" w:rsidRPr="00C9026A">
        <w:t xml:space="preserve"> </w:t>
      </w:r>
      <w:r w:rsidRPr="00C9026A">
        <w:t>Considerations for</w:t>
      </w:r>
      <w:r w:rsidR="00567AE4" w:rsidRPr="00C9026A">
        <w:t xml:space="preserve"> </w:t>
      </w:r>
      <w:r w:rsidRPr="00C9026A">
        <w:t xml:space="preserve">protection of the environment may </w:t>
      </w:r>
      <w:r w:rsidR="00BC75AF">
        <w:t>differ</w:t>
      </w:r>
      <w:r w:rsidR="00BC75AF" w:rsidRPr="00C9026A">
        <w:t xml:space="preserve"> </w:t>
      </w:r>
      <w:r w:rsidRPr="00C9026A">
        <w:t xml:space="preserve">between States and </w:t>
      </w:r>
      <w:r w:rsidR="00A80AF4" w:rsidRPr="00C9026A">
        <w:t>should be</w:t>
      </w:r>
      <w:r w:rsidRPr="00C9026A">
        <w:t xml:space="preserve"> subject to the regulations and guidelines of the national competent authorities, including regulatory bodies. </w:t>
      </w:r>
    </w:p>
    <w:p w:rsidR="006B08A8" w:rsidRPr="00162DD0" w:rsidRDefault="00BC75AF" w:rsidP="00BC75AF">
      <w:pPr>
        <w:pStyle w:val="Heading4"/>
        <w:ind w:left="0"/>
      </w:pPr>
      <w:r>
        <w:t>Paragraphs 1.6 to 1.19</w:t>
      </w:r>
      <w:r w:rsidR="006B08A8" w:rsidRPr="006B08A8">
        <w:t xml:space="preserve"> in the introduction of GSR Part 3 [1] </w:t>
      </w:r>
      <w:r>
        <w:t>describe the system of protection and safety, which aims</w:t>
      </w:r>
      <w:r w:rsidR="006B08A8" w:rsidRPr="006B08A8">
        <w:t xml:space="preserve"> to assess, manage and control exposure to radiation for humans</w:t>
      </w:r>
      <w:r>
        <w:t>,</w:t>
      </w:r>
      <w:r w:rsidR="006B08A8" w:rsidRPr="006B08A8">
        <w:t xml:space="preserve"> </w:t>
      </w:r>
      <w:r>
        <w:t xml:space="preserve">and </w:t>
      </w:r>
      <w:r w:rsidR="006B08A8" w:rsidRPr="006B08A8">
        <w:t xml:space="preserve">which generally provides for appropriate protection of the environment from harmful effects of ionizing radiation. </w:t>
      </w:r>
      <w:r>
        <w:t xml:space="preserve">Paragraphs 1.32 to 1.35 </w:t>
      </w:r>
      <w:r w:rsidR="00514D17">
        <w:t>in the introduction of</w:t>
      </w:r>
      <w:r w:rsidR="006B08A8" w:rsidRPr="006B08A8">
        <w:t xml:space="preserve"> GSR Part 3 </w:t>
      </w:r>
      <w:r w:rsidR="00186FD2">
        <w:t xml:space="preserve">[1] </w:t>
      </w:r>
      <w:r w:rsidR="006B08A8" w:rsidRPr="006B08A8">
        <w:t xml:space="preserve">on protection of the environment acknowledge that some national regulations require the explicit demonstration (rather than the assumption) of the protection of the environment. </w:t>
      </w:r>
      <w:r w:rsidR="00702558">
        <w:t>Paragraph 1.34 of GSR Part 3 [1]</w:t>
      </w:r>
      <w:r w:rsidR="006B08A8" w:rsidRPr="006B08A8">
        <w:t xml:space="preserve"> also </w:t>
      </w:r>
      <w:r w:rsidR="00BD3FD7">
        <w:t xml:space="preserve">notes </w:t>
      </w:r>
      <w:r w:rsidR="006B08A8" w:rsidRPr="006B08A8">
        <w:t xml:space="preserve">that </w:t>
      </w:r>
      <w:r w:rsidR="00702558">
        <w:t>“</w:t>
      </w:r>
      <w:r w:rsidR="006B08A8" w:rsidRPr="006B08A8">
        <w:t>the assessment of impacts on the environment needs to be viewed in an integrated manner with other features of the system of protection and safety</w:t>
      </w:r>
      <w:r w:rsidR="00702558">
        <w:t>”</w:t>
      </w:r>
      <w:r w:rsidR="006B08A8" w:rsidRPr="006B08A8">
        <w:t xml:space="preserve"> and that </w:t>
      </w:r>
      <w:r w:rsidR="00702558">
        <w:t>“</w:t>
      </w:r>
      <w:r w:rsidR="006B08A8" w:rsidRPr="006B08A8">
        <w:t xml:space="preserve">the approach to the protection of people and protection of the environment is not limited to the prevention of radiological effects on humans and on </w:t>
      </w:r>
      <w:r w:rsidR="006B08A8" w:rsidRPr="00162DD0">
        <w:t>other species</w:t>
      </w:r>
      <w:r w:rsidR="00702558" w:rsidRPr="00162DD0">
        <w:t>”</w:t>
      </w:r>
      <w:r w:rsidRPr="00162DD0">
        <w:t>.</w:t>
      </w:r>
    </w:p>
    <w:p w:rsidR="00B86524" w:rsidRPr="00D9251A" w:rsidRDefault="00702558" w:rsidP="00A57A35">
      <w:pPr>
        <w:pStyle w:val="Heading4"/>
        <w:ind w:left="0"/>
      </w:pPr>
      <w:r w:rsidRPr="00D9251A">
        <w:t xml:space="preserve">Some </w:t>
      </w:r>
      <w:r w:rsidR="00B86524" w:rsidRPr="00D9251A">
        <w:t>States</w:t>
      </w:r>
      <w:r w:rsidR="00FD6935" w:rsidRPr="00D9251A">
        <w:t xml:space="preserve">, on </w:t>
      </w:r>
      <w:r w:rsidR="006B45F5" w:rsidRPr="00D9251A">
        <w:t xml:space="preserve">the basis of </w:t>
      </w:r>
      <w:r w:rsidR="00FD6935" w:rsidRPr="00D9251A">
        <w:t xml:space="preserve">experience or simplified analysis, </w:t>
      </w:r>
      <w:r w:rsidR="00B86524" w:rsidRPr="00D9251A">
        <w:t xml:space="preserve">may consider that </w:t>
      </w:r>
      <w:r w:rsidR="00F4319D" w:rsidRPr="00D9251A">
        <w:t xml:space="preserve">specific </w:t>
      </w:r>
      <w:r w:rsidR="009A2F2C">
        <w:t>assessment</w:t>
      </w:r>
      <w:r w:rsidR="00F4319D" w:rsidRPr="00D9251A">
        <w:t xml:space="preserve"> of </w:t>
      </w:r>
      <w:r w:rsidR="009A2F2C">
        <w:t>effects in</w:t>
      </w:r>
      <w:r w:rsidR="00F4319D" w:rsidRPr="00D9251A">
        <w:t xml:space="preserve"> the environment </w:t>
      </w:r>
      <w:r w:rsidR="00FD6935" w:rsidRPr="00D9251A">
        <w:t>is</w:t>
      </w:r>
      <w:r w:rsidR="00F4319D" w:rsidRPr="00D9251A">
        <w:t xml:space="preserve"> not </w:t>
      </w:r>
      <w:r w:rsidR="00FD6935" w:rsidRPr="00D9251A">
        <w:t>necessary</w:t>
      </w:r>
      <w:r w:rsidR="00F4319D" w:rsidRPr="00D9251A">
        <w:t>.</w:t>
      </w:r>
      <w:r w:rsidR="00B86524" w:rsidRPr="00D9251A">
        <w:t xml:space="preserve"> In th</w:t>
      </w:r>
      <w:r w:rsidR="00510619" w:rsidRPr="00D9251A">
        <w:t>ese</w:t>
      </w:r>
      <w:r w:rsidR="00B86524" w:rsidRPr="00D9251A">
        <w:t xml:space="preserve"> case</w:t>
      </w:r>
      <w:r w:rsidR="00510619" w:rsidRPr="00D9251A">
        <w:t>s</w:t>
      </w:r>
      <w:r w:rsidRPr="00D9251A">
        <w:t>,</w:t>
      </w:r>
      <w:r w:rsidR="00B86524" w:rsidRPr="00D9251A">
        <w:t xml:space="preserve"> </w:t>
      </w:r>
      <w:r w:rsidR="00AD6A41" w:rsidRPr="00D9251A">
        <w:t xml:space="preserve">the regulatory body may decide that </w:t>
      </w:r>
      <w:r w:rsidR="00B86524" w:rsidRPr="00D9251A">
        <w:t xml:space="preserve">the </w:t>
      </w:r>
      <w:r w:rsidR="00A80AF4" w:rsidRPr="00D9251A">
        <w:t xml:space="preserve">radiological environmental impact </w:t>
      </w:r>
      <w:r w:rsidR="00B86524" w:rsidRPr="00D9251A">
        <w:t xml:space="preserve">assessment </w:t>
      </w:r>
      <w:r w:rsidR="00A80AF4" w:rsidRPr="00D9251A">
        <w:t xml:space="preserve">does </w:t>
      </w:r>
      <w:r w:rsidR="00B86524" w:rsidRPr="00D9251A">
        <w:t xml:space="preserve">not need to include explicit consideration of </w:t>
      </w:r>
      <w:r w:rsidR="00AD6A41" w:rsidRPr="00D9251A">
        <w:t>exposures of flora and fauna</w:t>
      </w:r>
      <w:r w:rsidR="00B86524" w:rsidRPr="00D9251A">
        <w:t xml:space="preserve">. </w:t>
      </w:r>
    </w:p>
    <w:p w:rsidR="00567AE4" w:rsidRPr="00C9026A" w:rsidRDefault="00B86524" w:rsidP="00A57A35">
      <w:pPr>
        <w:pStyle w:val="Heading4"/>
        <w:ind w:left="0"/>
      </w:pPr>
      <w:r w:rsidRPr="00162DD0">
        <w:t xml:space="preserve">Other States may consider </w:t>
      </w:r>
      <w:r w:rsidR="00702558" w:rsidRPr="00162DD0">
        <w:t xml:space="preserve">that it is </w:t>
      </w:r>
      <w:r w:rsidRPr="00162DD0">
        <w:t>necessary to inclu</w:t>
      </w:r>
      <w:r w:rsidR="00567AE4" w:rsidRPr="00162DD0">
        <w:t>de</w:t>
      </w:r>
      <w:r w:rsidRPr="00162DD0">
        <w:t xml:space="preserve"> in the radiological</w:t>
      </w:r>
      <w:r w:rsidRPr="00C9026A">
        <w:t xml:space="preserve"> environmental impacts assessments </w:t>
      </w:r>
      <w:r w:rsidR="00567AE4" w:rsidRPr="00C9026A">
        <w:t>for certain facilities and activities</w:t>
      </w:r>
      <w:r w:rsidRPr="00C9026A">
        <w:t xml:space="preserve"> the estimation </w:t>
      </w:r>
      <w:r w:rsidR="00067BDE" w:rsidRPr="00C9026A">
        <w:t xml:space="preserve">and control </w:t>
      </w:r>
      <w:r w:rsidRPr="00C9026A">
        <w:t>of exposures</w:t>
      </w:r>
      <w:r w:rsidR="00CD2ABF" w:rsidRPr="00C9026A">
        <w:t xml:space="preserve"> </w:t>
      </w:r>
      <w:r w:rsidR="00702558">
        <w:t>of</w:t>
      </w:r>
      <w:r w:rsidR="00702558" w:rsidRPr="00C9026A">
        <w:t xml:space="preserve"> </w:t>
      </w:r>
      <w:r w:rsidR="00A40587" w:rsidRPr="00C9026A">
        <w:t>flora and fauna</w:t>
      </w:r>
      <w:r w:rsidRPr="00C9026A">
        <w:t>. In a</w:t>
      </w:r>
      <w:r w:rsidR="007F6463">
        <w:t>ny</w:t>
      </w:r>
      <w:r w:rsidRPr="00C9026A">
        <w:t xml:space="preserve"> case, the </w:t>
      </w:r>
      <w:r w:rsidR="00867CAD" w:rsidRPr="00C9026A">
        <w:t>requirement</w:t>
      </w:r>
      <w:r w:rsidRPr="00C9026A">
        <w:t xml:space="preserve"> of </w:t>
      </w:r>
      <w:r w:rsidR="007F6463">
        <w:t xml:space="preserve">the </w:t>
      </w:r>
      <w:r w:rsidRPr="00C9026A">
        <w:t xml:space="preserve">graded approach </w:t>
      </w:r>
      <w:r w:rsidR="00867CAD" w:rsidRPr="00C9026A">
        <w:lastRenderedPageBreak/>
        <w:t xml:space="preserve">[1] </w:t>
      </w:r>
      <w:r w:rsidRPr="00C9026A">
        <w:t xml:space="preserve">should be </w:t>
      </w:r>
      <w:r w:rsidR="007F6463">
        <w:t>appl</w:t>
      </w:r>
      <w:r w:rsidR="00702558">
        <w:t xml:space="preserve">ied </w:t>
      </w:r>
      <w:r w:rsidR="007F6463">
        <w:t>to ensure</w:t>
      </w:r>
      <w:r w:rsidRPr="00C9026A">
        <w:t xml:space="preserve"> that the effort </w:t>
      </w:r>
      <w:r w:rsidR="00CE4693">
        <w:t xml:space="preserve">spent </w:t>
      </w:r>
      <w:r w:rsidR="00702558">
        <w:t xml:space="preserve">in </w:t>
      </w:r>
      <w:r w:rsidR="00CE4693">
        <w:t>perform</w:t>
      </w:r>
      <w:r w:rsidR="00702558">
        <w:t>ing</w:t>
      </w:r>
      <w:r w:rsidR="00CE4693">
        <w:t xml:space="preserve"> </w:t>
      </w:r>
      <w:r w:rsidR="00CD2ABF" w:rsidRPr="00C9026A">
        <w:t xml:space="preserve">the assessment </w:t>
      </w:r>
      <w:r w:rsidR="00CE4693">
        <w:t>i</w:t>
      </w:r>
      <w:r w:rsidRPr="00C9026A">
        <w:t xml:space="preserve">s commensurate to the expected level of risk. </w:t>
      </w:r>
    </w:p>
    <w:p w:rsidR="00867CAD" w:rsidRPr="009F7804" w:rsidRDefault="00CE4693" w:rsidP="00A57A35">
      <w:pPr>
        <w:pStyle w:val="Heading4"/>
        <w:ind w:left="0"/>
      </w:pPr>
      <w:r>
        <w:t xml:space="preserve">Given that </w:t>
      </w:r>
      <w:r w:rsidR="00B86524" w:rsidRPr="00C9026A">
        <w:t xml:space="preserve">the </w:t>
      </w:r>
      <w:r w:rsidR="00702558">
        <w:t>radiation</w:t>
      </w:r>
      <w:r w:rsidR="00702558" w:rsidRPr="00C9026A">
        <w:t xml:space="preserve"> </w:t>
      </w:r>
      <w:r w:rsidR="00B86524" w:rsidRPr="00C9026A">
        <w:t xml:space="preserve">risk </w:t>
      </w:r>
      <w:r>
        <w:t>to</w:t>
      </w:r>
      <w:r w:rsidR="00B86524" w:rsidRPr="00C9026A">
        <w:t xml:space="preserve"> populations of flora and fauna</w:t>
      </w:r>
      <w:r>
        <w:t xml:space="preserve"> from</w:t>
      </w:r>
      <w:r w:rsidR="00B86524" w:rsidRPr="00C9026A">
        <w:t xml:space="preserve"> normal operation of facilities and </w:t>
      </w:r>
      <w:r w:rsidR="00CD2ABF" w:rsidRPr="00C9026A">
        <w:t xml:space="preserve">conduct of </w:t>
      </w:r>
      <w:r w:rsidR="00B86524" w:rsidRPr="00C9026A">
        <w:t>activities</w:t>
      </w:r>
      <w:r>
        <w:t xml:space="preserve"> is expected to be low</w:t>
      </w:r>
      <w:r w:rsidR="00B86524" w:rsidRPr="00C9026A">
        <w:t xml:space="preserve">, the methods used for the assessment </w:t>
      </w:r>
      <w:r w:rsidR="00A80AF4" w:rsidRPr="00C9026A">
        <w:t xml:space="preserve">of the impact </w:t>
      </w:r>
      <w:r w:rsidR="00702558">
        <w:t>on</w:t>
      </w:r>
      <w:r w:rsidR="00702558" w:rsidRPr="00C9026A">
        <w:t xml:space="preserve"> </w:t>
      </w:r>
      <w:r w:rsidR="00A80AF4" w:rsidRPr="00C9026A">
        <w:t xml:space="preserve">flora and fauna </w:t>
      </w:r>
      <w:r w:rsidR="00B86524" w:rsidRPr="00C9026A">
        <w:t>should be practical and simple, based on the scientific knowledge of radiation effects</w:t>
      </w:r>
      <w:r w:rsidR="00702558">
        <w:t>,</w:t>
      </w:r>
      <w:r w:rsidR="00B86524" w:rsidRPr="00C9026A">
        <w:t xml:space="preserve"> </w:t>
      </w:r>
      <w:r w:rsidR="00A80AF4" w:rsidRPr="00C9026A">
        <w:t>a</w:t>
      </w:r>
      <w:r w:rsidR="00567AE4" w:rsidRPr="00C9026A">
        <w:t xml:space="preserve">nd </w:t>
      </w:r>
      <w:r w:rsidR="00867CAD" w:rsidRPr="00C9026A">
        <w:t>should</w:t>
      </w:r>
      <w:r w:rsidR="00567AE4" w:rsidRPr="00C9026A">
        <w:t xml:space="preserve"> not impose </w:t>
      </w:r>
      <w:r w:rsidR="00702558">
        <w:t xml:space="preserve">an </w:t>
      </w:r>
      <w:r w:rsidR="00567AE4" w:rsidRPr="00C9026A">
        <w:t xml:space="preserve">unnecessary burden </w:t>
      </w:r>
      <w:r w:rsidR="00702558">
        <w:t>on</w:t>
      </w:r>
      <w:r w:rsidR="00702558" w:rsidRPr="00C9026A">
        <w:t xml:space="preserve"> </w:t>
      </w:r>
      <w:r w:rsidR="00702558">
        <w:t xml:space="preserve">the </w:t>
      </w:r>
      <w:r w:rsidR="00567AE4" w:rsidRPr="00C9026A">
        <w:t xml:space="preserve">operator </w:t>
      </w:r>
      <w:r w:rsidR="00702558">
        <w:t>or the</w:t>
      </w:r>
      <w:r w:rsidR="00567AE4" w:rsidRPr="00C9026A">
        <w:t xml:space="preserve"> regulator</w:t>
      </w:r>
      <w:r>
        <w:t>y bod</w:t>
      </w:r>
      <w:r w:rsidR="00702558">
        <w:t>y</w:t>
      </w:r>
      <w:r w:rsidR="00B86524" w:rsidRPr="00C9026A">
        <w:t xml:space="preserve">. </w:t>
      </w:r>
      <w:r w:rsidR="00B051D4">
        <w:t xml:space="preserve">The </w:t>
      </w:r>
      <w:r w:rsidR="00B86524" w:rsidRPr="00C9026A">
        <w:t>ICRP [</w:t>
      </w:r>
      <w:r w:rsidR="007C5D7A" w:rsidRPr="00C9026A">
        <w:t>5</w:t>
      </w:r>
      <w:r w:rsidR="00717572">
        <w:t>4</w:t>
      </w:r>
      <w:r w:rsidR="00B81264">
        <w:t>, 5</w:t>
      </w:r>
      <w:r w:rsidR="00717572">
        <w:t>5</w:t>
      </w:r>
      <w:r w:rsidR="00B86524" w:rsidRPr="00C9026A">
        <w:t>] provides a</w:t>
      </w:r>
      <w:r w:rsidR="00164873" w:rsidRPr="00C9026A">
        <w:t xml:space="preserve"> practical</w:t>
      </w:r>
      <w:r w:rsidR="00B86524" w:rsidRPr="00C9026A">
        <w:t xml:space="preserve"> approach to assess</w:t>
      </w:r>
      <w:r w:rsidR="009809D9">
        <w:t>ing</w:t>
      </w:r>
      <w:r w:rsidR="00B86524" w:rsidRPr="00C9026A">
        <w:t xml:space="preserve"> and manag</w:t>
      </w:r>
      <w:r w:rsidR="009809D9">
        <w:t>ing</w:t>
      </w:r>
      <w:r w:rsidR="00B86524" w:rsidRPr="00C9026A">
        <w:t xml:space="preserve"> the effects on flora and fauna due to </w:t>
      </w:r>
      <w:r w:rsidR="00702558">
        <w:t xml:space="preserve">radioactive </w:t>
      </w:r>
      <w:r w:rsidR="00B86524" w:rsidRPr="00C9026A">
        <w:t>releases to the environment</w:t>
      </w:r>
      <w:r w:rsidR="00457DF8" w:rsidRPr="009F7804">
        <w:t>.</w:t>
      </w:r>
    </w:p>
    <w:p w:rsidR="00BD0D6A" w:rsidRDefault="00867CAD" w:rsidP="00A57A35">
      <w:pPr>
        <w:pStyle w:val="Heading4"/>
        <w:ind w:left="0"/>
        <w:rPr>
          <w:rFonts w:eastAsia="TimesNewRoman"/>
        </w:rPr>
      </w:pPr>
      <w:r w:rsidRPr="00C9026A">
        <w:rPr>
          <w:rFonts w:eastAsia="TimesNewRoman"/>
        </w:rPr>
        <w:t xml:space="preserve">For national or international frameworks </w:t>
      </w:r>
      <w:r w:rsidR="00702558">
        <w:rPr>
          <w:rFonts w:eastAsia="TimesNewRoman"/>
        </w:rPr>
        <w:t xml:space="preserve">in </w:t>
      </w:r>
      <w:r w:rsidRPr="00C9026A">
        <w:rPr>
          <w:rFonts w:eastAsia="TimesNewRoman"/>
        </w:rPr>
        <w:t>which the explicit consideration of the protection of flora and fauna</w:t>
      </w:r>
      <w:r w:rsidR="009809D9">
        <w:rPr>
          <w:rFonts w:eastAsia="TimesNewRoman"/>
        </w:rPr>
        <w:t xml:space="preserve"> is required</w:t>
      </w:r>
      <w:r w:rsidRPr="00C9026A">
        <w:rPr>
          <w:rStyle w:val="FootnoteReference"/>
          <w:rFonts w:eastAsia="TimesNewRoman"/>
        </w:rPr>
        <w:footnoteReference w:id="33"/>
      </w:r>
      <w:r w:rsidRPr="00C9026A">
        <w:rPr>
          <w:rFonts w:eastAsia="TimesNewRoman"/>
        </w:rPr>
        <w:t xml:space="preserve">, Annex I </w:t>
      </w:r>
      <w:r w:rsidR="009809D9">
        <w:rPr>
          <w:rFonts w:eastAsia="TimesNewRoman"/>
        </w:rPr>
        <w:t xml:space="preserve">of this Safety Guide presents </w:t>
      </w:r>
      <w:r w:rsidR="00FD7165">
        <w:rPr>
          <w:rFonts w:eastAsia="TimesNewRoman"/>
        </w:rPr>
        <w:t xml:space="preserve">an example of </w:t>
      </w:r>
      <w:r w:rsidRPr="00C9026A">
        <w:rPr>
          <w:rFonts w:eastAsia="TimesNewRoman"/>
        </w:rPr>
        <w:t xml:space="preserve">a methodology </w:t>
      </w:r>
      <w:r w:rsidR="009809D9">
        <w:rPr>
          <w:rFonts w:eastAsia="TimesNewRoman"/>
        </w:rPr>
        <w:t>for</w:t>
      </w:r>
      <w:r w:rsidR="009809D9" w:rsidRPr="00C9026A">
        <w:rPr>
          <w:rFonts w:eastAsia="TimesNewRoman"/>
        </w:rPr>
        <w:t xml:space="preserve"> </w:t>
      </w:r>
      <w:r w:rsidRPr="00C9026A">
        <w:rPr>
          <w:rFonts w:eastAsia="TimesNewRoman"/>
        </w:rPr>
        <w:t>assess</w:t>
      </w:r>
      <w:r w:rsidR="009809D9">
        <w:rPr>
          <w:rFonts w:eastAsia="TimesNewRoman"/>
        </w:rPr>
        <w:t>ing</w:t>
      </w:r>
      <w:r w:rsidRPr="00C9026A">
        <w:rPr>
          <w:rFonts w:eastAsia="TimesNewRoman"/>
        </w:rPr>
        <w:t xml:space="preserve"> the impact </w:t>
      </w:r>
      <w:r w:rsidR="00FD7165">
        <w:rPr>
          <w:rFonts w:eastAsia="TimesNewRoman"/>
        </w:rPr>
        <w:t>on</w:t>
      </w:r>
      <w:r w:rsidR="00FD7165" w:rsidRPr="00C9026A">
        <w:rPr>
          <w:rFonts w:eastAsia="TimesNewRoman"/>
        </w:rPr>
        <w:t xml:space="preserve"> </w:t>
      </w:r>
      <w:r w:rsidRPr="00C9026A">
        <w:rPr>
          <w:rFonts w:eastAsia="TimesNewRoman"/>
        </w:rPr>
        <w:t xml:space="preserve">flora and fauna </w:t>
      </w:r>
      <w:r w:rsidR="00BB5A4E">
        <w:rPr>
          <w:rFonts w:eastAsia="TimesNewRoman"/>
        </w:rPr>
        <w:t>in</w:t>
      </w:r>
      <w:r w:rsidR="00BB5A4E" w:rsidRPr="00C9026A">
        <w:rPr>
          <w:rFonts w:eastAsia="TimesNewRoman"/>
        </w:rPr>
        <w:t xml:space="preserve"> </w:t>
      </w:r>
      <w:r w:rsidRPr="00C9026A">
        <w:rPr>
          <w:rFonts w:eastAsia="TimesNewRoman"/>
        </w:rPr>
        <w:t>normal operation</w:t>
      </w:r>
      <w:r w:rsidRPr="00C9026A">
        <w:rPr>
          <w:rStyle w:val="FootnoteReference"/>
          <w:rFonts w:eastAsia="TimesNewRoman"/>
        </w:rPr>
        <w:footnoteReference w:id="34"/>
      </w:r>
      <w:r w:rsidRPr="00C9026A">
        <w:rPr>
          <w:rFonts w:eastAsia="TimesNewRoman"/>
        </w:rPr>
        <w:t>, based on the ICRP approach for protection of different ecosyste</w:t>
      </w:r>
      <w:r w:rsidR="002634D0" w:rsidRPr="00C9026A">
        <w:rPr>
          <w:rFonts w:eastAsia="TimesNewRoman"/>
        </w:rPr>
        <w:t>ms in the environment [</w:t>
      </w:r>
      <w:r w:rsidR="007C5D7A" w:rsidRPr="00C9026A">
        <w:rPr>
          <w:rFonts w:eastAsia="TimesNewRoman"/>
        </w:rPr>
        <w:t>5</w:t>
      </w:r>
      <w:r w:rsidR="00717572">
        <w:rPr>
          <w:rFonts w:eastAsia="TimesNewRoman"/>
        </w:rPr>
        <w:t>4</w:t>
      </w:r>
      <w:r w:rsidR="002634D0" w:rsidRPr="00C9026A">
        <w:rPr>
          <w:rFonts w:eastAsia="TimesNewRoman"/>
        </w:rPr>
        <w:t xml:space="preserve">, </w:t>
      </w:r>
      <w:r w:rsidR="007C5D7A" w:rsidRPr="00C9026A">
        <w:rPr>
          <w:rFonts w:eastAsia="TimesNewRoman"/>
        </w:rPr>
        <w:t>5</w:t>
      </w:r>
      <w:r w:rsidR="00717572">
        <w:rPr>
          <w:rFonts w:eastAsia="TimesNewRoman"/>
        </w:rPr>
        <w:t>5</w:t>
      </w:r>
      <w:r w:rsidR="002634D0" w:rsidRPr="00C9026A">
        <w:rPr>
          <w:rFonts w:eastAsia="TimesNewRoman"/>
        </w:rPr>
        <w:t>].</w:t>
      </w:r>
    </w:p>
    <w:p w:rsidR="00B86524" w:rsidRPr="00BD0D6A" w:rsidRDefault="00BD0D6A" w:rsidP="00BD0D6A">
      <w:pPr>
        <w:pStyle w:val="BodyText"/>
        <w:rPr>
          <w:rFonts w:eastAsia="TimesNewRoman"/>
          <w:szCs w:val="28"/>
        </w:rPr>
      </w:pPr>
      <w:r>
        <w:rPr>
          <w:rFonts w:eastAsia="TimesNewRoman"/>
        </w:rPr>
        <w:br w:type="page"/>
      </w:r>
    </w:p>
    <w:p w:rsidR="00217D17" w:rsidRPr="00C9026A" w:rsidRDefault="00050D66" w:rsidP="00A57A35">
      <w:pPr>
        <w:pStyle w:val="Heading1"/>
      </w:pPr>
      <w:bookmarkStart w:id="90" w:name="_Toc429147807"/>
      <w:bookmarkStart w:id="91" w:name="_Toc447613500"/>
      <w:bookmarkStart w:id="92" w:name="_Toc450204023"/>
      <w:bookmarkEnd w:id="90"/>
      <w:r>
        <w:lastRenderedPageBreak/>
        <w:t xml:space="preserve">CONSIDERATIONS ON </w:t>
      </w:r>
      <w:r w:rsidR="00573F14" w:rsidRPr="00C9026A">
        <w:t xml:space="preserve">Variability and uncertainty in </w:t>
      </w:r>
      <w:r w:rsidR="00255AD1" w:rsidRPr="00C9026A">
        <w:t xml:space="preserve">radiological environmental impact </w:t>
      </w:r>
      <w:r w:rsidR="00573F14" w:rsidRPr="00C9026A">
        <w:t>assessments</w:t>
      </w:r>
      <w:bookmarkEnd w:id="91"/>
      <w:bookmarkEnd w:id="92"/>
    </w:p>
    <w:p w:rsidR="00E5524D" w:rsidRDefault="005B4A45" w:rsidP="00702558">
      <w:pPr>
        <w:pStyle w:val="Heading4"/>
        <w:ind w:left="0"/>
      </w:pPr>
      <w:r w:rsidRPr="00C9026A">
        <w:t>Uncertainty</w:t>
      </w:r>
      <w:r w:rsidR="00217D17" w:rsidRPr="00C9026A">
        <w:t xml:space="preserve"> reflects the </w:t>
      </w:r>
      <w:r w:rsidR="00332B2D" w:rsidRPr="00C9026A">
        <w:t xml:space="preserve">state </w:t>
      </w:r>
      <w:r w:rsidR="00217D17" w:rsidRPr="00C9026A">
        <w:t>of knowledge about the system being investigated and relates to how accurately the doses</w:t>
      </w:r>
      <w:r w:rsidR="00082720" w:rsidRPr="00C9026A">
        <w:t xml:space="preserve"> or the risk</w:t>
      </w:r>
      <w:r w:rsidR="00217D17" w:rsidRPr="00C9026A">
        <w:t xml:space="preserve"> can be estimated</w:t>
      </w:r>
      <w:r w:rsidR="007664C9" w:rsidRPr="00C9026A">
        <w:t xml:space="preserve">. The main sources of uncertainty </w:t>
      </w:r>
      <w:r w:rsidR="00050D66">
        <w:t xml:space="preserve">in </w:t>
      </w:r>
      <w:r w:rsidR="009809D9">
        <w:t xml:space="preserve">a </w:t>
      </w:r>
      <w:r w:rsidR="00050D66">
        <w:t xml:space="preserve">radiological environmental impact assessment </w:t>
      </w:r>
      <w:r w:rsidR="007664C9" w:rsidRPr="00C9026A">
        <w:t>arise from the incomplete knowledge of the</w:t>
      </w:r>
      <w:r w:rsidR="00BD3FD7">
        <w:t xml:space="preserve"> conditions of</w:t>
      </w:r>
      <w:r w:rsidR="007664C9" w:rsidRPr="00C9026A">
        <w:t xml:space="preserve"> exposure of the representative person and </w:t>
      </w:r>
      <w:r w:rsidR="009809D9">
        <w:t>from</w:t>
      </w:r>
      <w:r w:rsidR="009809D9" w:rsidRPr="00C9026A">
        <w:t xml:space="preserve"> </w:t>
      </w:r>
      <w:r w:rsidR="007664C9" w:rsidRPr="00C9026A">
        <w:t xml:space="preserve">the variability of model parameters. </w:t>
      </w:r>
      <w:r w:rsidR="00E5524D">
        <w:t>The</w:t>
      </w:r>
      <w:r w:rsidR="0095646F">
        <w:t xml:space="preserve"> latter</w:t>
      </w:r>
      <w:r w:rsidR="00E5524D" w:rsidRPr="00C9026A">
        <w:t xml:space="preserve"> </w:t>
      </w:r>
      <w:r w:rsidR="007664C9" w:rsidRPr="00C9026A">
        <w:t xml:space="preserve">includes both variations in the </w:t>
      </w:r>
      <w:r w:rsidR="00C83533">
        <w:t xml:space="preserve">processes of </w:t>
      </w:r>
      <w:r w:rsidR="00E5524D">
        <w:t xml:space="preserve">transport </w:t>
      </w:r>
      <w:r w:rsidR="00C83533">
        <w:t xml:space="preserve">of radionuclides due to atmospheric and aquatic dispersion </w:t>
      </w:r>
      <w:r w:rsidR="00E5524D">
        <w:t xml:space="preserve">and </w:t>
      </w:r>
      <w:r w:rsidR="00C83533">
        <w:t xml:space="preserve">in the </w:t>
      </w:r>
      <w:r w:rsidR="00217D17" w:rsidRPr="00C9026A">
        <w:t xml:space="preserve">transfer </w:t>
      </w:r>
      <w:r w:rsidR="007664C9" w:rsidRPr="00C9026A">
        <w:t xml:space="preserve">of radionuclides </w:t>
      </w:r>
      <w:r w:rsidR="00C83533">
        <w:t xml:space="preserve">between </w:t>
      </w:r>
      <w:r w:rsidR="00217D17" w:rsidRPr="00C9026A">
        <w:t>the different environment</w:t>
      </w:r>
      <w:r w:rsidR="00C83533">
        <w:t>al compartments a</w:t>
      </w:r>
      <w:r w:rsidR="00217D17" w:rsidRPr="00C9026A">
        <w:t>nd</w:t>
      </w:r>
      <w:r w:rsidR="0045797B">
        <w:t>,</w:t>
      </w:r>
      <w:r w:rsidR="008834B9" w:rsidRPr="00C9026A">
        <w:t xml:space="preserve"> for the case of humans,</w:t>
      </w:r>
      <w:r w:rsidR="00217D17" w:rsidRPr="00C9026A">
        <w:t xml:space="preserve"> </w:t>
      </w:r>
      <w:r w:rsidR="007664C9" w:rsidRPr="00C9026A">
        <w:t xml:space="preserve">variations in </w:t>
      </w:r>
      <w:r w:rsidR="00C83533">
        <w:t xml:space="preserve">the location and </w:t>
      </w:r>
      <w:r w:rsidR="007664C9" w:rsidRPr="00C9026A">
        <w:t xml:space="preserve">living habits among </w:t>
      </w:r>
      <w:r w:rsidR="00217D17" w:rsidRPr="00C9026A">
        <w:t>individuals within a group</w:t>
      </w:r>
      <w:r w:rsidR="007664C9" w:rsidRPr="00C9026A">
        <w:t xml:space="preserve"> </w:t>
      </w:r>
      <w:r w:rsidR="0095646F">
        <w:t>(</w:t>
      </w:r>
      <w:r w:rsidR="007664C9" w:rsidRPr="00C9026A">
        <w:t xml:space="preserve">e.g. food intake and time spent </w:t>
      </w:r>
      <w:r w:rsidR="0095646F">
        <w:t>at different locations)</w:t>
      </w:r>
      <w:r w:rsidR="007664C9" w:rsidRPr="00C9026A">
        <w:t>.</w:t>
      </w:r>
      <w:r w:rsidR="00217D17" w:rsidRPr="00C9026A">
        <w:t xml:space="preserve"> </w:t>
      </w:r>
      <w:r w:rsidR="00F9140D">
        <w:t>Other sources of uncertainty may be</w:t>
      </w:r>
      <w:r w:rsidR="001D504A">
        <w:t xml:space="preserve"> in the source term and </w:t>
      </w:r>
      <w:r w:rsidR="001E56DD">
        <w:t xml:space="preserve">in </w:t>
      </w:r>
      <w:r w:rsidR="001D504A">
        <w:t>demography.</w:t>
      </w:r>
      <w:r w:rsidR="00F9140D">
        <w:t xml:space="preserve"> </w:t>
      </w:r>
      <w:r w:rsidR="00217D17" w:rsidRPr="00C9026A">
        <w:t>When defining the methodology, including the</w:t>
      </w:r>
      <w:r w:rsidR="00907EBA">
        <w:t xml:space="preserve"> decision</w:t>
      </w:r>
      <w:r w:rsidR="00217D17" w:rsidRPr="00C9026A">
        <w:t xml:space="preserve"> criteria, the regulatory body or the </w:t>
      </w:r>
      <w:r w:rsidR="00001DDE" w:rsidRPr="00C9026A">
        <w:t xml:space="preserve">applicant </w:t>
      </w:r>
      <w:r w:rsidR="00CD5346" w:rsidRPr="00C9026A">
        <w:t>should</w:t>
      </w:r>
      <w:r w:rsidR="00217D17" w:rsidRPr="00C9026A">
        <w:t xml:space="preserve"> consider aspects relat</w:t>
      </w:r>
      <w:r w:rsidR="0045797B">
        <w:t>ing</w:t>
      </w:r>
      <w:r w:rsidR="00217D17" w:rsidRPr="00C9026A">
        <w:t xml:space="preserve"> to variability and uncertainty</w:t>
      </w:r>
      <w:r w:rsidR="0095646F">
        <w:t>,</w:t>
      </w:r>
      <w:r w:rsidR="0095646F" w:rsidRPr="0095646F">
        <w:t xml:space="preserve"> </w:t>
      </w:r>
      <w:r w:rsidR="0095646F" w:rsidRPr="00C9026A">
        <w:t>as appropriate</w:t>
      </w:r>
      <w:r w:rsidR="00115E36">
        <w:t xml:space="preserve">. </w:t>
      </w:r>
    </w:p>
    <w:p w:rsidR="00E5524D" w:rsidRDefault="00303ACD" w:rsidP="00A57A35">
      <w:pPr>
        <w:pStyle w:val="Heading4"/>
        <w:ind w:left="0"/>
      </w:pPr>
      <w:r w:rsidRPr="00C9026A">
        <w:t xml:space="preserve">The level of uncertainty in </w:t>
      </w:r>
      <w:r w:rsidR="0045797B">
        <w:t>a</w:t>
      </w:r>
      <w:r w:rsidR="0045797B" w:rsidRPr="00C9026A">
        <w:t xml:space="preserve"> </w:t>
      </w:r>
      <w:r>
        <w:t xml:space="preserve">prospective radiological environmental impact </w:t>
      </w:r>
      <w:r w:rsidRPr="00C9026A">
        <w:t xml:space="preserve">assessment </w:t>
      </w:r>
      <w:r>
        <w:t>sh</w:t>
      </w:r>
      <w:r w:rsidR="0095646F">
        <w:t>ould</w:t>
      </w:r>
      <w:r w:rsidRPr="00C9026A">
        <w:t xml:space="preserve"> still </w:t>
      </w:r>
      <w:r w:rsidR="0095646F">
        <w:t>allow for</w:t>
      </w:r>
      <w:r w:rsidR="00EC371D">
        <w:t xml:space="preserve"> a conclusion </w:t>
      </w:r>
      <w:r w:rsidR="0045797B">
        <w:t xml:space="preserve">to be drawn </w:t>
      </w:r>
      <w:r w:rsidR="00EC371D">
        <w:t>on whether</w:t>
      </w:r>
      <w:r w:rsidRPr="00C9026A">
        <w:t xml:space="preserve"> the </w:t>
      </w:r>
      <w:r w:rsidR="00500CD1">
        <w:t>actual</w:t>
      </w:r>
      <w:r w:rsidR="00EC371D">
        <w:t xml:space="preserve"> </w:t>
      </w:r>
      <w:r w:rsidRPr="00C9026A">
        <w:t xml:space="preserve">doses to members of the public </w:t>
      </w:r>
      <w:r w:rsidR="00500CD1">
        <w:t>would</w:t>
      </w:r>
      <w:r w:rsidR="00500CD1" w:rsidRPr="00C9026A">
        <w:t xml:space="preserve"> </w:t>
      </w:r>
      <w:r w:rsidR="00EC371D">
        <w:t xml:space="preserve">or </w:t>
      </w:r>
      <w:r w:rsidR="00500CD1">
        <w:t xml:space="preserve">would </w:t>
      </w:r>
      <w:r w:rsidRPr="00C9026A">
        <w:t>not exceed the dose limits</w:t>
      </w:r>
      <w:r w:rsidR="0045797B">
        <w:t xml:space="preserve"> or dose </w:t>
      </w:r>
      <w:r w:rsidR="00EB0F61">
        <w:t>constraints</w:t>
      </w:r>
      <w:r w:rsidRPr="00C9026A">
        <w:t xml:space="preserve"> set by the national regulatory body.</w:t>
      </w:r>
      <w:r>
        <w:t xml:space="preserve"> When insufficient information or data are available</w:t>
      </w:r>
      <w:r w:rsidR="00EC371D">
        <w:t>,</w:t>
      </w:r>
      <w:r>
        <w:t xml:space="preserve"> conservative assumptions should be used [4</w:t>
      </w:r>
      <w:r w:rsidR="00717572">
        <w:t>4</w:t>
      </w:r>
      <w:r>
        <w:t>]. However</w:t>
      </w:r>
      <w:r w:rsidRPr="00303ACD">
        <w:t>, use of a large number of conservative assumptions can result in unrealistic overestimation of doses and this should be avoided</w:t>
      </w:r>
      <w:r>
        <w:t xml:space="preserve"> [4</w:t>
      </w:r>
      <w:r w:rsidR="00717572">
        <w:t>4</w:t>
      </w:r>
      <w:r>
        <w:t>].</w:t>
      </w:r>
      <w:r w:rsidR="00B051D4">
        <w:t xml:space="preserve"> </w:t>
      </w:r>
    </w:p>
    <w:p w:rsidR="003B4A0F" w:rsidRDefault="00B051D4" w:rsidP="00A57A35">
      <w:pPr>
        <w:pStyle w:val="Heading4"/>
        <w:ind w:left="0"/>
      </w:pPr>
      <w:r>
        <w:t xml:space="preserve">The ICRP discusses in </w:t>
      </w:r>
      <w:r w:rsidR="0095646F">
        <w:t>its Publication 101</w:t>
      </w:r>
      <w:r w:rsidR="00EB0F61">
        <w:t xml:space="preserve"> [4</w:t>
      </w:r>
      <w:r w:rsidR="00717572">
        <w:t>4</w:t>
      </w:r>
      <w:r w:rsidR="00EB0F61">
        <w:t>] the characteristics of an approach using “</w:t>
      </w:r>
      <w:r>
        <w:t>reasonable conservative</w:t>
      </w:r>
      <w:r w:rsidR="00EB0F61">
        <w:t xml:space="preserve"> and plausible assum</w:t>
      </w:r>
      <w:r w:rsidR="0045797B">
        <w:t>p</w:t>
      </w:r>
      <w:r w:rsidR="00EB0F61">
        <w:t>tions”</w:t>
      </w:r>
      <w:r>
        <w:t xml:space="preserve"> to estimate doses to members of the public, using single values </w:t>
      </w:r>
      <w:r w:rsidR="0045797B">
        <w:t>for</w:t>
      </w:r>
      <w:r>
        <w:t xml:space="preserve"> parameters and habit data relevant for dose assessment</w:t>
      </w:r>
      <w:r w:rsidR="00510619">
        <w:t xml:space="preserve">. </w:t>
      </w:r>
      <w:r w:rsidR="00671A27" w:rsidRPr="00671A27">
        <w:t xml:space="preserve">For </w:t>
      </w:r>
      <w:r w:rsidR="0095646F">
        <w:t xml:space="preserve">these </w:t>
      </w:r>
      <w:r w:rsidR="00671A27" w:rsidRPr="00671A27">
        <w:t>assessments</w:t>
      </w:r>
      <w:r w:rsidR="0045797B">
        <w:t>,</w:t>
      </w:r>
      <w:r w:rsidR="00671A27" w:rsidRPr="00671A27">
        <w:t xml:space="preserve"> </w:t>
      </w:r>
      <w:r w:rsidR="0045797B">
        <w:t xml:space="preserve">in some cases </w:t>
      </w:r>
      <w:r w:rsidR="00671A27" w:rsidRPr="00671A27">
        <w:t xml:space="preserve">high percentiles </w:t>
      </w:r>
      <w:r w:rsidR="004F78D1">
        <w:t>in</w:t>
      </w:r>
      <w:r w:rsidR="00671A27" w:rsidRPr="00671A27">
        <w:t xml:space="preserve"> </w:t>
      </w:r>
      <w:r w:rsidR="0045797B">
        <w:t xml:space="preserve">the </w:t>
      </w:r>
      <w:r w:rsidR="0045797B" w:rsidRPr="00671A27">
        <w:t xml:space="preserve">distribution </w:t>
      </w:r>
      <w:r w:rsidR="00EB0F61">
        <w:t xml:space="preserve">of </w:t>
      </w:r>
      <w:r w:rsidR="00671A27" w:rsidRPr="00671A27">
        <w:t>the habit data could be used (</w:t>
      </w:r>
      <w:r w:rsidR="0095646F">
        <w:t>e.g.</w:t>
      </w:r>
      <w:r w:rsidR="00671A27" w:rsidRPr="00671A27">
        <w:t xml:space="preserve"> </w:t>
      </w:r>
      <w:r w:rsidR="00082BB9">
        <w:t>the 95</w:t>
      </w:r>
      <w:r w:rsidR="0095646F" w:rsidRPr="00483DED">
        <w:rPr>
          <w:vertAlign w:val="superscript"/>
        </w:rPr>
        <w:t>th</w:t>
      </w:r>
      <w:r w:rsidR="0095646F">
        <w:t xml:space="preserve"> </w:t>
      </w:r>
      <w:r w:rsidR="00EB0F61">
        <w:t>percentile</w:t>
      </w:r>
      <w:r w:rsidR="00671A27" w:rsidRPr="00671A27">
        <w:t>)</w:t>
      </w:r>
      <w:r w:rsidR="0095646F">
        <w:t xml:space="preserve">, </w:t>
      </w:r>
      <w:r w:rsidR="00483DED">
        <w:t>although</w:t>
      </w:r>
      <w:r w:rsidR="0024072B">
        <w:t xml:space="preserve"> it </w:t>
      </w:r>
      <w:r w:rsidR="00EB0F61">
        <w:t xml:space="preserve">is </w:t>
      </w:r>
      <w:r w:rsidR="0024072B">
        <w:t xml:space="preserve">not reasonable to assume high percentile habit data </w:t>
      </w:r>
      <w:r w:rsidR="0095646F">
        <w:t>for</w:t>
      </w:r>
      <w:r w:rsidR="0024072B">
        <w:t xml:space="preserve"> all exposure routes. As </w:t>
      </w:r>
      <w:r w:rsidR="0045797B">
        <w:t xml:space="preserve">a </w:t>
      </w:r>
      <w:r w:rsidR="0024072B">
        <w:t xml:space="preserve">default or </w:t>
      </w:r>
      <w:r w:rsidR="0045797B">
        <w:t xml:space="preserve">for </w:t>
      </w:r>
      <w:r w:rsidR="001E56DD">
        <w:t xml:space="preserve">an </w:t>
      </w:r>
      <w:r w:rsidR="0024072B">
        <w:t>initial assessment,</w:t>
      </w:r>
      <w:r w:rsidR="0024072B" w:rsidRPr="0024072B">
        <w:t xml:space="preserve"> single recommended values </w:t>
      </w:r>
      <w:r w:rsidR="00AC49DF" w:rsidRPr="0024072B">
        <w:t xml:space="preserve">for environmental </w:t>
      </w:r>
      <w:r w:rsidR="00AC49DF">
        <w:t xml:space="preserve">transfer </w:t>
      </w:r>
      <w:r w:rsidR="00AC49DF" w:rsidRPr="0024072B">
        <w:t>parameters</w:t>
      </w:r>
      <w:r w:rsidR="00AC49DF">
        <w:t xml:space="preserve"> can be taken </w:t>
      </w:r>
      <w:r w:rsidR="0095646F">
        <w:t xml:space="preserve">from the </w:t>
      </w:r>
      <w:r w:rsidR="0045797B">
        <w:t xml:space="preserve">available </w:t>
      </w:r>
      <w:r w:rsidR="0095646F">
        <w:t>literature</w:t>
      </w:r>
      <w:r w:rsidR="0024072B" w:rsidRPr="0024072B">
        <w:t xml:space="preserve"> [</w:t>
      </w:r>
      <w:r w:rsidR="00A96C5A">
        <w:t>10 </w:t>
      </w:r>
      <w:r w:rsidR="00A96C5A">
        <w:noBreakHyphen/>
        <w:t> 12</w:t>
      </w:r>
      <w:r w:rsidR="0024072B" w:rsidRPr="0024072B">
        <w:t xml:space="preserve">] or average measured values, when available, </w:t>
      </w:r>
      <w:r w:rsidR="0024072B">
        <w:t>could</w:t>
      </w:r>
      <w:r w:rsidR="0024072B" w:rsidRPr="0024072B">
        <w:t xml:space="preserve"> be used</w:t>
      </w:r>
      <w:r w:rsidR="00082BB9">
        <w:t>.</w:t>
      </w:r>
      <w:r w:rsidR="0024072B" w:rsidRPr="0024072B">
        <w:t xml:space="preserve"> </w:t>
      </w:r>
      <w:r w:rsidR="00D41223">
        <w:t xml:space="preserve">The dose resulting when applying this reasonable conservative approach should be compared directly to the radiological criteria. </w:t>
      </w:r>
    </w:p>
    <w:p w:rsidR="00E5524D" w:rsidRDefault="00510619" w:rsidP="00A57A35">
      <w:pPr>
        <w:pStyle w:val="Heading4"/>
        <w:ind w:left="0"/>
      </w:pPr>
      <w:r>
        <w:t>Another</w:t>
      </w:r>
      <w:r w:rsidR="00B051D4">
        <w:t xml:space="preserve"> approach </w:t>
      </w:r>
      <w:r w:rsidR="0045797B">
        <w:t xml:space="preserve">described </w:t>
      </w:r>
      <w:r w:rsidR="00AC49DF">
        <w:t>in</w:t>
      </w:r>
      <w:r>
        <w:t xml:space="preserve"> ICRP </w:t>
      </w:r>
      <w:r w:rsidR="0095646F">
        <w:t xml:space="preserve">Publication 101 </w:t>
      </w:r>
      <w:r w:rsidR="00881EA7">
        <w:t>[4</w:t>
      </w:r>
      <w:r w:rsidR="00717572">
        <w:t>4</w:t>
      </w:r>
      <w:r w:rsidR="00881EA7">
        <w:t xml:space="preserve">] </w:t>
      </w:r>
      <w:r>
        <w:t xml:space="preserve">is </w:t>
      </w:r>
      <w:r w:rsidR="0095646F">
        <w:t>the use</w:t>
      </w:r>
      <w:r w:rsidR="00383C62">
        <w:t xml:space="preserve"> of</w:t>
      </w:r>
      <w:r w:rsidR="00B051D4">
        <w:t xml:space="preserve"> frequency distributions </w:t>
      </w:r>
      <w:r w:rsidR="00554CD3">
        <w:t>of the model parameter</w:t>
      </w:r>
      <w:r w:rsidR="00383C62">
        <w:t>s</w:t>
      </w:r>
      <w:r w:rsidR="00554CD3">
        <w:t xml:space="preserve"> combined with statistical methods</w:t>
      </w:r>
      <w:r w:rsidR="0045797B">
        <w:t xml:space="preserve">, </w:t>
      </w:r>
      <w:r w:rsidR="00383C62">
        <w:t>such as</w:t>
      </w:r>
      <w:r w:rsidR="00554CD3">
        <w:t xml:space="preserve"> </w:t>
      </w:r>
      <w:r w:rsidR="00383C62">
        <w:t xml:space="preserve">the </w:t>
      </w:r>
      <w:r w:rsidR="00554CD3">
        <w:t xml:space="preserve">Monte Carlo </w:t>
      </w:r>
      <w:r w:rsidR="00383C62">
        <w:t>method</w:t>
      </w:r>
      <w:r w:rsidR="0045797B">
        <w:t xml:space="preserve">, </w:t>
      </w:r>
      <w:r w:rsidR="00B051D4">
        <w:t xml:space="preserve">as input for </w:t>
      </w:r>
      <w:r w:rsidR="00383C62">
        <w:t xml:space="preserve">the </w:t>
      </w:r>
      <w:r w:rsidR="00B051D4">
        <w:t>dose assessment</w:t>
      </w:r>
      <w:r w:rsidR="001C1D6B">
        <w:t xml:space="preserve">, </w:t>
      </w:r>
      <w:r w:rsidR="0045797B">
        <w:t xml:space="preserve">which </w:t>
      </w:r>
      <w:r w:rsidR="00AC49DF">
        <w:t xml:space="preserve">will then </w:t>
      </w:r>
      <w:r w:rsidR="001C1D6B">
        <w:t>result in a distribution of the</w:t>
      </w:r>
      <w:r w:rsidR="0045797B">
        <w:t xml:space="preserve"> estimated</w:t>
      </w:r>
      <w:r w:rsidR="001C1D6B">
        <w:t xml:space="preserve"> dose</w:t>
      </w:r>
      <w:r w:rsidR="00B051D4">
        <w:t>.</w:t>
      </w:r>
      <w:r w:rsidR="00082BB9">
        <w:t xml:space="preserve"> F</w:t>
      </w:r>
      <w:r w:rsidR="00082BB9" w:rsidRPr="00082BB9">
        <w:t xml:space="preserve">or assessments </w:t>
      </w:r>
      <w:r w:rsidR="0045797B">
        <w:t>in which</w:t>
      </w:r>
      <w:r w:rsidR="00082BB9" w:rsidRPr="00082BB9">
        <w:t xml:space="preserve"> </w:t>
      </w:r>
      <w:r w:rsidR="00383C62">
        <w:t xml:space="preserve">a </w:t>
      </w:r>
      <w:r w:rsidR="00082BB9" w:rsidRPr="00082BB9">
        <w:t>distribution of the habit data</w:t>
      </w:r>
      <w:r w:rsidR="0045797B">
        <w:t xml:space="preserve"> is </w:t>
      </w:r>
      <w:r w:rsidR="009378E3">
        <w:t>to be used</w:t>
      </w:r>
      <w:r w:rsidR="00082BB9" w:rsidRPr="00082BB9">
        <w:t xml:space="preserve">, </w:t>
      </w:r>
      <w:r w:rsidR="00082BB9">
        <w:t xml:space="preserve">the approach </w:t>
      </w:r>
      <w:r w:rsidR="003B4A0F">
        <w:t>should</w:t>
      </w:r>
      <w:r w:rsidR="00082BB9">
        <w:t xml:space="preserve"> </w:t>
      </w:r>
      <w:r w:rsidR="00383C62">
        <w:t xml:space="preserve">involve </w:t>
      </w:r>
      <w:r w:rsidR="009378E3">
        <w:t xml:space="preserve">comparing </w:t>
      </w:r>
      <w:r w:rsidR="00EF630B">
        <w:t>a</w:t>
      </w:r>
      <w:r w:rsidR="00383C62">
        <w:t xml:space="preserve"> </w:t>
      </w:r>
      <w:r w:rsidR="00EF630B">
        <w:t xml:space="preserve">high </w:t>
      </w:r>
      <w:r w:rsidR="00082BB9" w:rsidRPr="00082BB9">
        <w:t xml:space="preserve">percentile </w:t>
      </w:r>
      <w:r w:rsidR="00383C62">
        <w:t xml:space="preserve">of the </w:t>
      </w:r>
      <w:r w:rsidR="00383C62" w:rsidRPr="00082BB9">
        <w:t xml:space="preserve">resulting </w:t>
      </w:r>
      <w:r w:rsidR="00D41223">
        <w:t xml:space="preserve">distribution of </w:t>
      </w:r>
      <w:r w:rsidR="00383C62" w:rsidRPr="00082BB9">
        <w:t xml:space="preserve">dose </w:t>
      </w:r>
      <w:r w:rsidR="00EF630B">
        <w:t>(e.g</w:t>
      </w:r>
      <w:r w:rsidR="00A96C5A">
        <w:t>.</w:t>
      </w:r>
      <w:r w:rsidR="00EF630B">
        <w:t xml:space="preserve"> the 95</w:t>
      </w:r>
      <w:r w:rsidR="00EF630B" w:rsidRPr="00D41223">
        <w:rPr>
          <w:vertAlign w:val="superscript"/>
        </w:rPr>
        <w:t>th</w:t>
      </w:r>
      <w:r w:rsidR="00EF630B">
        <w:t xml:space="preserve"> percentile) </w:t>
      </w:r>
      <w:r w:rsidR="00082BB9" w:rsidRPr="00082BB9">
        <w:t xml:space="preserve">with the </w:t>
      </w:r>
      <w:r w:rsidR="00383C62">
        <w:t>dose</w:t>
      </w:r>
      <w:r w:rsidR="00082BB9" w:rsidRPr="00082BB9">
        <w:t xml:space="preserve"> criteria</w:t>
      </w:r>
      <w:r w:rsidR="00383C62">
        <w:t xml:space="preserve"> established by the regulatory </w:t>
      </w:r>
      <w:r w:rsidR="0045797B">
        <w:t>body</w:t>
      </w:r>
      <w:r w:rsidR="00082BB9" w:rsidRPr="00082BB9">
        <w:t>.</w:t>
      </w:r>
      <w:r w:rsidR="00082BB9">
        <w:t xml:space="preserve"> </w:t>
      </w:r>
      <w:r w:rsidR="0045797B">
        <w:t>I</w:t>
      </w:r>
      <w:r w:rsidR="00554CD3" w:rsidRPr="00554CD3">
        <w:t xml:space="preserve">n cases where </w:t>
      </w:r>
      <w:r w:rsidR="00383C62">
        <w:t>there is a</w:t>
      </w:r>
      <w:r w:rsidR="00554CD3" w:rsidRPr="00554CD3">
        <w:t xml:space="preserve"> lack of data about the variability of transfer parameters, the use of frequency distributions should not be </w:t>
      </w:r>
      <w:r w:rsidR="009378E3">
        <w:t xml:space="preserve">applied </w:t>
      </w:r>
      <w:r w:rsidR="00554CD3" w:rsidRPr="00554CD3">
        <w:t xml:space="preserve">systematically </w:t>
      </w:r>
      <w:r w:rsidR="009378E3">
        <w:t xml:space="preserve">as </w:t>
      </w:r>
      <w:r w:rsidR="0045797B">
        <w:t>such use</w:t>
      </w:r>
      <w:r w:rsidR="00554CD3" w:rsidRPr="00554CD3">
        <w:t xml:space="preserve"> does</w:t>
      </w:r>
      <w:r>
        <w:t xml:space="preserve"> </w:t>
      </w:r>
      <w:r w:rsidR="00554CD3" w:rsidRPr="00554CD3">
        <w:t>n</w:t>
      </w:r>
      <w:r>
        <w:t>ot</w:t>
      </w:r>
      <w:r w:rsidR="00554CD3" w:rsidRPr="00554CD3">
        <w:t xml:space="preserve"> always lead to conservative results</w:t>
      </w:r>
      <w:r w:rsidR="00554CD3">
        <w:t>.</w:t>
      </w:r>
      <w:r w:rsidR="00D41223">
        <w:t xml:space="preserve"> </w:t>
      </w:r>
    </w:p>
    <w:p w:rsidR="00217D17" w:rsidRPr="00C9026A" w:rsidRDefault="00DB408D" w:rsidP="00A57A35">
      <w:pPr>
        <w:pStyle w:val="Heading4"/>
        <w:ind w:left="0"/>
      </w:pPr>
      <w:r>
        <w:t xml:space="preserve">The </w:t>
      </w:r>
      <w:r w:rsidR="00A03EB1">
        <w:t xml:space="preserve">existence </w:t>
      </w:r>
      <w:r>
        <w:t xml:space="preserve">of variability and uncertainty in </w:t>
      </w:r>
      <w:r w:rsidR="009378E3">
        <w:t xml:space="preserve">a </w:t>
      </w:r>
      <w:r>
        <w:t>radiological environmental impact assessment should not necessar</w:t>
      </w:r>
      <w:r w:rsidR="009378E3">
        <w:t>il</w:t>
      </w:r>
      <w:r>
        <w:t xml:space="preserve">y imply the need </w:t>
      </w:r>
      <w:r w:rsidR="0045797B">
        <w:t xml:space="preserve">for </w:t>
      </w:r>
      <w:r>
        <w:t>very complex</w:t>
      </w:r>
      <w:r w:rsidR="00E00DCB">
        <w:t xml:space="preserve"> and sometimes inconclusive</w:t>
      </w:r>
      <w:r>
        <w:t xml:space="preserve"> studies. </w:t>
      </w:r>
      <w:r w:rsidR="000F3B62">
        <w:t>The</w:t>
      </w:r>
      <w:r>
        <w:t xml:space="preserve"> </w:t>
      </w:r>
      <w:r w:rsidR="00A03EB1">
        <w:t xml:space="preserve">applicant </w:t>
      </w:r>
      <w:r>
        <w:t xml:space="preserve">and the </w:t>
      </w:r>
      <w:r w:rsidR="00A03EB1">
        <w:t xml:space="preserve">regulatory body </w:t>
      </w:r>
      <w:r>
        <w:t xml:space="preserve">should be aware of the limitations of the results </w:t>
      </w:r>
      <w:r w:rsidR="00296CE7">
        <w:t>of th</w:t>
      </w:r>
      <w:r w:rsidR="00BA6080">
        <w:t xml:space="preserve">is type of </w:t>
      </w:r>
      <w:r w:rsidR="00296CE7">
        <w:t xml:space="preserve">assessment </w:t>
      </w:r>
      <w:r w:rsidR="000F3B62">
        <w:t xml:space="preserve">and </w:t>
      </w:r>
      <w:r w:rsidR="0045797B">
        <w:t xml:space="preserve">should </w:t>
      </w:r>
      <w:r w:rsidR="000F3B62">
        <w:t>proceed with reasonable cautio</w:t>
      </w:r>
      <w:r w:rsidR="00383C62">
        <w:t>n</w:t>
      </w:r>
      <w:r w:rsidR="00E00DCB">
        <w:t xml:space="preserve"> when selecting the models and parameters and when </w:t>
      </w:r>
      <w:r w:rsidR="0045797B">
        <w:t>drawing conclusions</w:t>
      </w:r>
      <w:r w:rsidR="00E00DCB">
        <w:t xml:space="preserve"> from the results,</w:t>
      </w:r>
      <w:r w:rsidR="000F3B62">
        <w:t xml:space="preserve"> as necessary</w:t>
      </w:r>
      <w:r w:rsidR="00E00DCB">
        <w:t>, particularly when the results are very close to the decision criteria</w:t>
      </w:r>
      <w:r w:rsidR="000F3B62">
        <w:t>.</w:t>
      </w:r>
    </w:p>
    <w:p w:rsidR="00E5524D" w:rsidRPr="00BB597E" w:rsidRDefault="0045797B" w:rsidP="00A57A35">
      <w:pPr>
        <w:pStyle w:val="Heading4"/>
        <w:ind w:left="0"/>
      </w:pPr>
      <w:r>
        <w:lastRenderedPageBreak/>
        <w:t>Programmes for s</w:t>
      </w:r>
      <w:r w:rsidR="00675A7F">
        <w:t xml:space="preserve">ource </w:t>
      </w:r>
      <w:r>
        <w:t xml:space="preserve">monitoring </w:t>
      </w:r>
      <w:r w:rsidR="00675A7F">
        <w:t xml:space="preserve">and </w:t>
      </w:r>
      <w:r w:rsidR="00217D17" w:rsidRPr="00C9026A">
        <w:t xml:space="preserve">environmental monitoring </w:t>
      </w:r>
      <w:r>
        <w:t xml:space="preserve">are required to </w:t>
      </w:r>
      <w:r w:rsidR="00AC27BB">
        <w:t xml:space="preserve">be </w:t>
      </w:r>
      <w:r>
        <w:t>established</w:t>
      </w:r>
      <w:r w:rsidR="00217D17" w:rsidRPr="00C9026A">
        <w:t xml:space="preserve"> once the </w:t>
      </w:r>
      <w:r>
        <w:t>facility</w:t>
      </w:r>
      <w:r w:rsidRPr="00C9026A">
        <w:t xml:space="preserve"> </w:t>
      </w:r>
      <w:r w:rsidR="00217D17" w:rsidRPr="00C9026A">
        <w:t>is operating</w:t>
      </w:r>
      <w:r w:rsidR="00675A7F">
        <w:t xml:space="preserve"> </w:t>
      </w:r>
      <w:r w:rsidR="00BA6080">
        <w:t>or the activity is being conducted</w:t>
      </w:r>
      <w:r w:rsidR="00AC27BB">
        <w:t xml:space="preserve"> [1]. </w:t>
      </w:r>
      <w:r>
        <w:t>Such</w:t>
      </w:r>
      <w:r w:rsidR="00AC27BB">
        <w:t xml:space="preserve"> programmes are</w:t>
      </w:r>
      <w:r w:rsidR="00675A7F">
        <w:t xml:space="preserve"> </w:t>
      </w:r>
      <w:r w:rsidR="003F1467">
        <w:t xml:space="preserve">necessary </w:t>
      </w:r>
      <w:r w:rsidR="00675A7F">
        <w:t>to check</w:t>
      </w:r>
      <w:r w:rsidR="00B96E91">
        <w:t xml:space="preserve"> whether the discharges comply with the authorized limits and whether the models </w:t>
      </w:r>
      <w:r w:rsidR="00E00DCB">
        <w:t xml:space="preserve">and </w:t>
      </w:r>
      <w:r w:rsidR="00BA6080">
        <w:t>data</w:t>
      </w:r>
      <w:r w:rsidR="00E00DCB">
        <w:t xml:space="preserve"> </w:t>
      </w:r>
      <w:r w:rsidR="00B96E91">
        <w:t xml:space="preserve">used </w:t>
      </w:r>
      <w:r w:rsidR="00217D17" w:rsidRPr="00C9026A">
        <w:t xml:space="preserve">are </w:t>
      </w:r>
      <w:r w:rsidR="00383C62">
        <w:t>adequate</w:t>
      </w:r>
      <w:r>
        <w:t xml:space="preserve"> and</w:t>
      </w:r>
      <w:r w:rsidR="00AC27BB">
        <w:t xml:space="preserve"> contribut</w:t>
      </w:r>
      <w:r>
        <w:t>e</w:t>
      </w:r>
      <w:r w:rsidR="00AC27BB">
        <w:t xml:space="preserve"> to reduc</w:t>
      </w:r>
      <w:r>
        <w:t>ing</w:t>
      </w:r>
      <w:r w:rsidR="00AC27BB">
        <w:t xml:space="preserve"> the uncertainties</w:t>
      </w:r>
      <w:r w:rsidR="00C10FE0">
        <w:t xml:space="preserve"> in the radiological </w:t>
      </w:r>
      <w:r w:rsidR="009378E3">
        <w:t xml:space="preserve">environmental </w:t>
      </w:r>
      <w:r w:rsidR="00C10FE0">
        <w:t>impact assessments</w:t>
      </w:r>
      <w:r w:rsidR="00217D17" w:rsidRPr="00C9026A">
        <w:t>.</w:t>
      </w:r>
      <w:r w:rsidR="00AC27BB">
        <w:t xml:space="preserve"> Guidance on environmental</w:t>
      </w:r>
      <w:r w:rsidR="00C10FE0">
        <w:t xml:space="preserve"> </w:t>
      </w:r>
      <w:r>
        <w:t xml:space="preserve">monitoring </w:t>
      </w:r>
      <w:r w:rsidR="00C10FE0">
        <w:t>and</w:t>
      </w:r>
      <w:r w:rsidR="00AC27BB">
        <w:t xml:space="preserve"> </w:t>
      </w:r>
      <w:r w:rsidR="00C10FE0">
        <w:t xml:space="preserve">source </w:t>
      </w:r>
      <w:r w:rsidR="00AC27BB">
        <w:t>monitoring program</w:t>
      </w:r>
      <w:r>
        <w:t>me</w:t>
      </w:r>
      <w:r w:rsidR="00AC27BB">
        <w:t xml:space="preserve">s </w:t>
      </w:r>
      <w:r w:rsidR="00C10FE0">
        <w:t>for purposes of radiation protection is presented in RS-G-1.8 [1</w:t>
      </w:r>
      <w:r w:rsidR="00717572">
        <w:t>8</w:t>
      </w:r>
      <w:r w:rsidR="00C10FE0">
        <w:t>]</w:t>
      </w:r>
    </w:p>
    <w:p w:rsidR="00217D17" w:rsidRPr="00C9026A" w:rsidRDefault="00B96E91" w:rsidP="00A57A35">
      <w:pPr>
        <w:pStyle w:val="Heading4"/>
        <w:ind w:left="0"/>
      </w:pPr>
      <w:r>
        <w:t>S</w:t>
      </w:r>
      <w:r w:rsidR="00B45793" w:rsidRPr="00C9026A">
        <w:t xml:space="preserve">ensitivity studies </w:t>
      </w:r>
      <w:r w:rsidR="0045797B">
        <w:t xml:space="preserve">should </w:t>
      </w:r>
      <w:r w:rsidR="00B45793" w:rsidRPr="00C9026A">
        <w:t xml:space="preserve">be carried </w:t>
      </w:r>
      <w:r>
        <w:t xml:space="preserve">to identify the most important </w:t>
      </w:r>
      <w:r w:rsidRPr="001D504A">
        <w:t>sources of uncertainty</w:t>
      </w:r>
      <w:r w:rsidRPr="00C9026A">
        <w:t xml:space="preserve"> </w:t>
      </w:r>
      <w:r>
        <w:t xml:space="preserve">and the processes contributing most to the uncertainty. </w:t>
      </w:r>
      <w:r w:rsidR="001957AB">
        <w:t>On this basis</w:t>
      </w:r>
      <w:r w:rsidR="0045797B">
        <w:t>,</w:t>
      </w:r>
      <w:r w:rsidR="001957AB">
        <w:t xml:space="preserve"> f</w:t>
      </w:r>
      <w:r w:rsidR="00B45793" w:rsidRPr="00C9026A">
        <w:t xml:space="preserve">urther research, modelling, or </w:t>
      </w:r>
      <w:r w:rsidR="0045797B" w:rsidRPr="00C9026A">
        <w:t xml:space="preserve">collection </w:t>
      </w:r>
      <w:r w:rsidR="0045797B">
        <w:t xml:space="preserve">of </w:t>
      </w:r>
      <w:r w:rsidR="00B45793" w:rsidRPr="00C9026A">
        <w:t>experimental data may be carried out, if the reduction of the level of uncertainty is deemed necessary</w:t>
      </w:r>
      <w:r w:rsidR="00B45793">
        <w:t>.</w:t>
      </w:r>
    </w:p>
    <w:p w:rsidR="00217D17" w:rsidRPr="00C9026A" w:rsidRDefault="002C4A96" w:rsidP="00A57A35">
      <w:pPr>
        <w:pStyle w:val="Heading4"/>
        <w:ind w:left="0"/>
      </w:pPr>
      <w:r w:rsidRPr="00C9026A">
        <w:t>Addressing</w:t>
      </w:r>
      <w:r w:rsidR="00A277F1" w:rsidRPr="00C9026A">
        <w:t xml:space="preserve"> </w:t>
      </w:r>
      <w:r w:rsidR="00217D17" w:rsidRPr="00C9026A">
        <w:t xml:space="preserve">variability and uncertainty </w:t>
      </w:r>
      <w:r w:rsidR="0020619E">
        <w:t>in</w:t>
      </w:r>
      <w:r w:rsidR="0020619E" w:rsidRPr="00C9026A">
        <w:t xml:space="preserve"> </w:t>
      </w:r>
      <w:r w:rsidR="00217D17" w:rsidRPr="00C9026A">
        <w:t xml:space="preserve">the assessment of potential exposures is </w:t>
      </w:r>
      <w:r w:rsidR="00A277F1" w:rsidRPr="00C9026A">
        <w:t>more complex</w:t>
      </w:r>
      <w:r w:rsidRPr="00C9026A">
        <w:t xml:space="preserve">. Reasons for this </w:t>
      </w:r>
      <w:r w:rsidR="00217D17" w:rsidRPr="00C9026A">
        <w:t>include</w:t>
      </w:r>
      <w:r w:rsidR="0045797B">
        <w:t xml:space="preserve"> the following</w:t>
      </w:r>
      <w:r w:rsidR="00217D17" w:rsidRPr="00C9026A">
        <w:t>:</w:t>
      </w:r>
    </w:p>
    <w:p w:rsidR="00217D17" w:rsidRPr="00C9026A" w:rsidRDefault="00217D17" w:rsidP="0045797B">
      <w:pPr>
        <w:pStyle w:val="BodyTextList"/>
        <w:numPr>
          <w:ilvl w:val="0"/>
          <w:numId w:val="10"/>
        </w:numPr>
        <w:spacing w:after="120" w:line="240" w:lineRule="auto"/>
        <w:ind w:left="0" w:firstLine="0"/>
        <w:rPr>
          <w:noProof w:val="0"/>
        </w:rPr>
      </w:pPr>
      <w:r w:rsidRPr="00C9026A">
        <w:rPr>
          <w:noProof w:val="0"/>
        </w:rPr>
        <w:t>The scenarios selected</w:t>
      </w:r>
      <w:r w:rsidR="0020619E">
        <w:rPr>
          <w:noProof w:val="0"/>
        </w:rPr>
        <w:t xml:space="preserve"> for the assessment</w:t>
      </w:r>
      <w:r w:rsidR="00F95984" w:rsidRPr="00C9026A">
        <w:rPr>
          <w:noProof w:val="0"/>
        </w:rPr>
        <w:t xml:space="preserve">, including </w:t>
      </w:r>
      <w:r w:rsidR="0045797B">
        <w:rPr>
          <w:noProof w:val="0"/>
        </w:rPr>
        <w:t xml:space="preserve">the </w:t>
      </w:r>
      <w:r w:rsidR="00F95984" w:rsidRPr="00C9026A">
        <w:rPr>
          <w:noProof w:val="0"/>
        </w:rPr>
        <w:t>source terms and environmental conditions</w:t>
      </w:r>
      <w:r w:rsidR="00771AA6" w:rsidRPr="00C9026A">
        <w:rPr>
          <w:noProof w:val="0"/>
        </w:rPr>
        <w:t xml:space="preserve"> at the time of the accident</w:t>
      </w:r>
      <w:r w:rsidR="00F95984" w:rsidRPr="00C9026A">
        <w:rPr>
          <w:noProof w:val="0"/>
        </w:rPr>
        <w:t>,</w:t>
      </w:r>
      <w:r w:rsidRPr="00C9026A">
        <w:rPr>
          <w:noProof w:val="0"/>
        </w:rPr>
        <w:t xml:space="preserve"> may not be representative of what might actually happen.</w:t>
      </w:r>
    </w:p>
    <w:p w:rsidR="00217D17" w:rsidRPr="00C9026A" w:rsidRDefault="00217D17" w:rsidP="0045797B">
      <w:pPr>
        <w:pStyle w:val="BodyTextList"/>
        <w:numPr>
          <w:ilvl w:val="0"/>
          <w:numId w:val="10"/>
        </w:numPr>
        <w:spacing w:after="120" w:line="240" w:lineRule="auto"/>
        <w:ind w:left="0" w:firstLine="0"/>
        <w:rPr>
          <w:noProof w:val="0"/>
        </w:rPr>
      </w:pPr>
      <w:r w:rsidRPr="00C9026A">
        <w:rPr>
          <w:noProof w:val="0"/>
        </w:rPr>
        <w:t xml:space="preserve">The probability or frequency of the </w:t>
      </w:r>
      <w:r w:rsidR="0007735A">
        <w:rPr>
          <w:noProof w:val="0"/>
        </w:rPr>
        <w:t xml:space="preserve">accident </w:t>
      </w:r>
      <w:r w:rsidRPr="00C9026A">
        <w:rPr>
          <w:noProof w:val="0"/>
        </w:rPr>
        <w:t>scenarios</w:t>
      </w:r>
      <w:r w:rsidR="0007735A">
        <w:rPr>
          <w:noProof w:val="0"/>
        </w:rPr>
        <w:t xml:space="preserve"> assumed in the assessment can be highly uncertain</w:t>
      </w:r>
      <w:r w:rsidR="00746971">
        <w:rPr>
          <w:noProof w:val="0"/>
        </w:rPr>
        <w:t>.</w:t>
      </w:r>
      <w:r w:rsidRPr="00C9026A">
        <w:rPr>
          <w:noProof w:val="0"/>
        </w:rPr>
        <w:t xml:space="preserve"> Conservative </w:t>
      </w:r>
      <w:r w:rsidR="006E1147">
        <w:rPr>
          <w:noProof w:val="0"/>
        </w:rPr>
        <w:t xml:space="preserve">deterministic </w:t>
      </w:r>
      <w:r w:rsidRPr="00C9026A">
        <w:rPr>
          <w:noProof w:val="0"/>
        </w:rPr>
        <w:t xml:space="preserve">analysis seeks to avoid the issue by assuming certain </w:t>
      </w:r>
      <w:r w:rsidR="00E014DC" w:rsidRPr="00C9026A">
        <w:rPr>
          <w:noProof w:val="0"/>
        </w:rPr>
        <w:t xml:space="preserve">bounding </w:t>
      </w:r>
      <w:r w:rsidRPr="00C9026A">
        <w:rPr>
          <w:noProof w:val="0"/>
        </w:rPr>
        <w:t>representative initiating events and system failures. If</w:t>
      </w:r>
      <w:r w:rsidR="002A4AB1" w:rsidRPr="00C9026A">
        <w:rPr>
          <w:noProof w:val="0"/>
        </w:rPr>
        <w:t>,</w:t>
      </w:r>
      <w:r w:rsidRPr="00C9026A">
        <w:rPr>
          <w:noProof w:val="0"/>
        </w:rPr>
        <w:t xml:space="preserve"> for example</w:t>
      </w:r>
      <w:r w:rsidR="002A4AB1" w:rsidRPr="00C9026A">
        <w:rPr>
          <w:noProof w:val="0"/>
        </w:rPr>
        <w:t>,</w:t>
      </w:r>
      <w:r w:rsidRPr="00C9026A">
        <w:rPr>
          <w:noProof w:val="0"/>
        </w:rPr>
        <w:t xml:space="preserve"> </w:t>
      </w:r>
      <w:r w:rsidR="00FE4CAD" w:rsidRPr="00C9026A">
        <w:rPr>
          <w:noProof w:val="0"/>
        </w:rPr>
        <w:t>probabilistic safet</w:t>
      </w:r>
      <w:r w:rsidR="00A43170" w:rsidRPr="00C9026A">
        <w:rPr>
          <w:noProof w:val="0"/>
        </w:rPr>
        <w:t>y</w:t>
      </w:r>
      <w:r w:rsidR="00FE4CAD" w:rsidRPr="00C9026A">
        <w:rPr>
          <w:noProof w:val="0"/>
        </w:rPr>
        <w:t xml:space="preserve"> anal</w:t>
      </w:r>
      <w:r w:rsidR="00A43170" w:rsidRPr="00C9026A">
        <w:rPr>
          <w:noProof w:val="0"/>
        </w:rPr>
        <w:t xml:space="preserve">ysis </w:t>
      </w:r>
      <w:r w:rsidRPr="00C9026A">
        <w:rPr>
          <w:noProof w:val="0"/>
        </w:rPr>
        <w:t xml:space="preserve">techniques are used to estimate accident frequencies, these frequencies are determined by combining many </w:t>
      </w:r>
      <w:r w:rsidR="00EC371D">
        <w:rPr>
          <w:noProof w:val="0"/>
        </w:rPr>
        <w:t xml:space="preserve">events and/or </w:t>
      </w:r>
      <w:r w:rsidRPr="00C9026A">
        <w:rPr>
          <w:noProof w:val="0"/>
        </w:rPr>
        <w:t>failure probabilities</w:t>
      </w:r>
      <w:r w:rsidR="00EC371D">
        <w:rPr>
          <w:noProof w:val="0"/>
        </w:rPr>
        <w:t>,</w:t>
      </w:r>
      <w:r w:rsidRPr="00C9026A">
        <w:rPr>
          <w:noProof w:val="0"/>
        </w:rPr>
        <w:t xml:space="preserve"> </w:t>
      </w:r>
      <w:r w:rsidR="0045797B">
        <w:rPr>
          <w:noProof w:val="0"/>
        </w:rPr>
        <w:t>each</w:t>
      </w:r>
      <w:r w:rsidR="0045797B" w:rsidRPr="00C9026A">
        <w:rPr>
          <w:noProof w:val="0"/>
        </w:rPr>
        <w:t xml:space="preserve"> </w:t>
      </w:r>
      <w:r w:rsidRPr="00C9026A">
        <w:rPr>
          <w:noProof w:val="0"/>
        </w:rPr>
        <w:t xml:space="preserve">with </w:t>
      </w:r>
      <w:proofErr w:type="gramStart"/>
      <w:r w:rsidR="0045797B">
        <w:rPr>
          <w:noProof w:val="0"/>
        </w:rPr>
        <w:t>its</w:t>
      </w:r>
      <w:r w:rsidR="0045797B" w:rsidRPr="00C9026A">
        <w:rPr>
          <w:noProof w:val="0"/>
        </w:rPr>
        <w:t xml:space="preserve"> </w:t>
      </w:r>
      <w:r w:rsidRPr="00C9026A">
        <w:rPr>
          <w:noProof w:val="0"/>
        </w:rPr>
        <w:t>own</w:t>
      </w:r>
      <w:proofErr w:type="gramEnd"/>
      <w:r w:rsidRPr="00C9026A">
        <w:rPr>
          <w:noProof w:val="0"/>
        </w:rPr>
        <w:t xml:space="preserve"> uncertaint</w:t>
      </w:r>
      <w:r w:rsidR="0045797B">
        <w:rPr>
          <w:noProof w:val="0"/>
        </w:rPr>
        <w:t>y</w:t>
      </w:r>
      <w:r w:rsidRPr="00C9026A">
        <w:rPr>
          <w:noProof w:val="0"/>
        </w:rPr>
        <w:t>.</w:t>
      </w:r>
    </w:p>
    <w:p w:rsidR="00217D17" w:rsidRPr="00C9026A" w:rsidRDefault="00217D17" w:rsidP="0045797B">
      <w:pPr>
        <w:pStyle w:val="BodyTextList"/>
        <w:numPr>
          <w:ilvl w:val="0"/>
          <w:numId w:val="10"/>
        </w:numPr>
        <w:spacing w:after="120" w:line="240" w:lineRule="auto"/>
        <w:ind w:left="0" w:firstLine="0"/>
        <w:rPr>
          <w:noProof w:val="0"/>
        </w:rPr>
      </w:pPr>
      <w:r w:rsidRPr="00C9026A">
        <w:rPr>
          <w:noProof w:val="0"/>
        </w:rPr>
        <w:t xml:space="preserve">Unlike </w:t>
      </w:r>
      <w:r w:rsidR="0007066D">
        <w:rPr>
          <w:noProof w:val="0"/>
        </w:rPr>
        <w:t xml:space="preserve">the estimations of </w:t>
      </w:r>
      <w:r w:rsidRPr="00C9026A">
        <w:rPr>
          <w:noProof w:val="0"/>
        </w:rPr>
        <w:t>exposures</w:t>
      </w:r>
      <w:r w:rsidR="00557157" w:rsidRPr="00C9026A">
        <w:rPr>
          <w:noProof w:val="0"/>
        </w:rPr>
        <w:t xml:space="preserve"> resulting from </w:t>
      </w:r>
      <w:r w:rsidR="00AC49DF">
        <w:rPr>
          <w:noProof w:val="0"/>
        </w:rPr>
        <w:t xml:space="preserve">discharges in </w:t>
      </w:r>
      <w:r w:rsidR="00557157" w:rsidRPr="00C9026A">
        <w:rPr>
          <w:noProof w:val="0"/>
        </w:rPr>
        <w:t xml:space="preserve">normal </w:t>
      </w:r>
      <w:r w:rsidR="00AC49DF">
        <w:rPr>
          <w:noProof w:val="0"/>
        </w:rPr>
        <w:t>operation</w:t>
      </w:r>
      <w:r w:rsidR="002419E7" w:rsidRPr="00C9026A">
        <w:rPr>
          <w:noProof w:val="0"/>
        </w:rPr>
        <w:t>,</w:t>
      </w:r>
      <w:r w:rsidRPr="00C9026A">
        <w:rPr>
          <w:noProof w:val="0"/>
        </w:rPr>
        <w:t xml:space="preserve"> which usually occur more or less continuously and can be averaged over a year </w:t>
      </w:r>
      <w:r w:rsidR="00AC49DF">
        <w:rPr>
          <w:noProof w:val="0"/>
        </w:rPr>
        <w:t xml:space="preserve">in order to </w:t>
      </w:r>
      <w:r w:rsidRPr="00C9026A">
        <w:rPr>
          <w:noProof w:val="0"/>
        </w:rPr>
        <w:t xml:space="preserve">smooth out </w:t>
      </w:r>
      <w:r w:rsidR="00A96B4D" w:rsidRPr="00C9026A">
        <w:rPr>
          <w:noProof w:val="0"/>
        </w:rPr>
        <w:t>fluct</w:t>
      </w:r>
      <w:r w:rsidR="002419E7" w:rsidRPr="00C9026A">
        <w:rPr>
          <w:noProof w:val="0"/>
        </w:rPr>
        <w:t>uations</w:t>
      </w:r>
      <w:r w:rsidRPr="00C9026A">
        <w:rPr>
          <w:noProof w:val="0"/>
        </w:rPr>
        <w:t xml:space="preserve">, </w:t>
      </w:r>
      <w:r w:rsidR="00AC49DF">
        <w:rPr>
          <w:noProof w:val="0"/>
        </w:rPr>
        <w:t xml:space="preserve">potential </w:t>
      </w:r>
      <w:r w:rsidR="006E1147">
        <w:rPr>
          <w:noProof w:val="0"/>
        </w:rPr>
        <w:t>e</w:t>
      </w:r>
      <w:r w:rsidR="006E1147" w:rsidRPr="00C9026A">
        <w:rPr>
          <w:noProof w:val="0"/>
        </w:rPr>
        <w:t xml:space="preserve">xposures </w:t>
      </w:r>
      <w:r w:rsidRPr="00C9026A">
        <w:rPr>
          <w:noProof w:val="0"/>
        </w:rPr>
        <w:t xml:space="preserve">will usually </w:t>
      </w:r>
      <w:r w:rsidR="006E1147">
        <w:rPr>
          <w:noProof w:val="0"/>
        </w:rPr>
        <w:t xml:space="preserve">be variable in time </w:t>
      </w:r>
      <w:r w:rsidRPr="00C9026A">
        <w:rPr>
          <w:noProof w:val="0"/>
        </w:rPr>
        <w:t xml:space="preserve">and the impact will be dependent on </w:t>
      </w:r>
      <w:r w:rsidR="0020619E">
        <w:rPr>
          <w:noProof w:val="0"/>
        </w:rPr>
        <w:t xml:space="preserve">the </w:t>
      </w:r>
      <w:r w:rsidR="00A96B4D" w:rsidRPr="00C9026A">
        <w:rPr>
          <w:noProof w:val="0"/>
        </w:rPr>
        <w:t xml:space="preserve">actual </w:t>
      </w:r>
      <w:r w:rsidR="00E00DCB">
        <w:rPr>
          <w:noProof w:val="0"/>
        </w:rPr>
        <w:t xml:space="preserve">exposure </w:t>
      </w:r>
      <w:r w:rsidRPr="00C9026A">
        <w:rPr>
          <w:noProof w:val="0"/>
        </w:rPr>
        <w:t xml:space="preserve">conditions </w:t>
      </w:r>
      <w:r w:rsidR="0020619E">
        <w:rPr>
          <w:noProof w:val="0"/>
        </w:rPr>
        <w:t>at the time of the accident (</w:t>
      </w:r>
      <w:r w:rsidR="00154513" w:rsidRPr="00C9026A">
        <w:rPr>
          <w:noProof w:val="0"/>
        </w:rPr>
        <w:t>e.g.</w:t>
      </w:r>
      <w:r w:rsidRPr="00C9026A">
        <w:rPr>
          <w:noProof w:val="0"/>
        </w:rPr>
        <w:t xml:space="preserve"> t</w:t>
      </w:r>
      <w:r w:rsidR="00A96B4D" w:rsidRPr="00C9026A">
        <w:rPr>
          <w:noProof w:val="0"/>
        </w:rPr>
        <w:t xml:space="preserve">he </w:t>
      </w:r>
      <w:r w:rsidR="0020619E">
        <w:rPr>
          <w:noProof w:val="0"/>
        </w:rPr>
        <w:t>meteorological conditions</w:t>
      </w:r>
      <w:r w:rsidR="00A96B4D" w:rsidRPr="00C9026A">
        <w:rPr>
          <w:noProof w:val="0"/>
        </w:rPr>
        <w:t xml:space="preserve"> and </w:t>
      </w:r>
      <w:r w:rsidRPr="00C9026A">
        <w:rPr>
          <w:noProof w:val="0"/>
        </w:rPr>
        <w:t>the location of members of the public</w:t>
      </w:r>
      <w:r w:rsidR="00E00DCB">
        <w:rPr>
          <w:noProof w:val="0"/>
        </w:rPr>
        <w:t>)</w:t>
      </w:r>
      <w:r w:rsidRPr="00C9026A">
        <w:rPr>
          <w:noProof w:val="0"/>
        </w:rPr>
        <w:t>.</w:t>
      </w:r>
    </w:p>
    <w:p w:rsidR="00B45793" w:rsidRDefault="00217D17" w:rsidP="0045797B">
      <w:pPr>
        <w:pStyle w:val="BodyTextList"/>
        <w:numPr>
          <w:ilvl w:val="0"/>
          <w:numId w:val="10"/>
        </w:numPr>
        <w:spacing w:after="240"/>
        <w:ind w:left="0" w:firstLine="0"/>
        <w:rPr>
          <w:noProof w:val="0"/>
        </w:rPr>
      </w:pPr>
      <w:r w:rsidRPr="00C9026A">
        <w:rPr>
          <w:noProof w:val="0"/>
        </w:rPr>
        <w:t xml:space="preserve">Unlike </w:t>
      </w:r>
      <w:r w:rsidR="00693B17" w:rsidRPr="00C9026A">
        <w:rPr>
          <w:noProof w:val="0"/>
        </w:rPr>
        <w:t xml:space="preserve">the estimations of </w:t>
      </w:r>
      <w:r w:rsidR="00557157" w:rsidRPr="00C9026A">
        <w:rPr>
          <w:noProof w:val="0"/>
        </w:rPr>
        <w:t xml:space="preserve">exposures resulting from </w:t>
      </w:r>
      <w:r w:rsidR="00AC49DF">
        <w:rPr>
          <w:noProof w:val="0"/>
        </w:rPr>
        <w:t>discharges in normal operation</w:t>
      </w:r>
      <w:r w:rsidR="00693B17" w:rsidRPr="00C9026A">
        <w:rPr>
          <w:noProof w:val="0"/>
        </w:rPr>
        <w:t xml:space="preserve">, which can be validated </w:t>
      </w:r>
      <w:r w:rsidR="00693B17" w:rsidRPr="00C9026A" w:rsidDel="00557157">
        <w:rPr>
          <w:noProof w:val="0"/>
        </w:rPr>
        <w:t>retrospectively</w:t>
      </w:r>
      <w:r w:rsidR="00693B17" w:rsidRPr="00C9026A">
        <w:rPr>
          <w:noProof w:val="0"/>
        </w:rPr>
        <w:t xml:space="preserve"> by means of the </w:t>
      </w:r>
      <w:r w:rsidRPr="00C9026A">
        <w:rPr>
          <w:noProof w:val="0"/>
        </w:rPr>
        <w:t xml:space="preserve">environmental monitoring </w:t>
      </w:r>
      <w:r w:rsidR="00693B17" w:rsidRPr="00C9026A">
        <w:rPr>
          <w:noProof w:val="0"/>
        </w:rPr>
        <w:t xml:space="preserve">programmes established </w:t>
      </w:r>
      <w:r w:rsidR="00AC49DF">
        <w:rPr>
          <w:noProof w:val="0"/>
        </w:rPr>
        <w:t>at</w:t>
      </w:r>
      <w:r w:rsidR="00AC49DF" w:rsidRPr="00C9026A">
        <w:rPr>
          <w:noProof w:val="0"/>
        </w:rPr>
        <w:t xml:space="preserve"> </w:t>
      </w:r>
      <w:r w:rsidR="00693B17" w:rsidRPr="00C9026A">
        <w:rPr>
          <w:noProof w:val="0"/>
        </w:rPr>
        <w:t>the operational stage, this</w:t>
      </w:r>
      <w:r w:rsidRPr="00C9026A">
        <w:rPr>
          <w:noProof w:val="0"/>
        </w:rPr>
        <w:t xml:space="preserve"> is not possible for potential exposures.</w:t>
      </w:r>
    </w:p>
    <w:p w:rsidR="00217D17" w:rsidRPr="00C9026A" w:rsidRDefault="006E1147" w:rsidP="0007066D">
      <w:pPr>
        <w:pStyle w:val="Heading4"/>
        <w:ind w:left="0"/>
      </w:pPr>
      <w:r>
        <w:t>T</w:t>
      </w:r>
      <w:r w:rsidR="00DE2BF2">
        <w:t>h</w:t>
      </w:r>
      <w:r w:rsidR="0007735A">
        <w:t>e</w:t>
      </w:r>
      <w:r w:rsidR="00E5524D">
        <w:t xml:space="preserve"> uncertaint</w:t>
      </w:r>
      <w:r w:rsidR="0007735A">
        <w:t>ies</w:t>
      </w:r>
      <w:r w:rsidR="00DE2BF2">
        <w:t xml:space="preserve"> </w:t>
      </w:r>
      <w:r w:rsidR="00E00DCB">
        <w:t xml:space="preserve">should </w:t>
      </w:r>
      <w:r w:rsidR="00DE2BF2">
        <w:t xml:space="preserve">be </w:t>
      </w:r>
      <w:r w:rsidR="0007735A">
        <w:t xml:space="preserve">taken into account </w:t>
      </w:r>
      <w:r w:rsidR="00DE2BF2">
        <w:t xml:space="preserve">in the definition </w:t>
      </w:r>
      <w:r w:rsidR="00E5524D">
        <w:t xml:space="preserve">and use </w:t>
      </w:r>
      <w:r w:rsidR="00DE2BF2">
        <w:t>of the criteria to make decisions on the acceptability of the potential exposures from a facility or an activity</w:t>
      </w:r>
      <w:r w:rsidR="00E5524D">
        <w:t>. The criteria used for potential exposures should be</w:t>
      </w:r>
      <w:r w:rsidR="00DE2BF2">
        <w:t xml:space="preserve"> expressed </w:t>
      </w:r>
      <w:r w:rsidR="003227C0">
        <w:t>preferabl</w:t>
      </w:r>
      <w:r w:rsidR="0007066D">
        <w:t>y</w:t>
      </w:r>
      <w:r w:rsidR="003227C0">
        <w:t xml:space="preserve"> </w:t>
      </w:r>
      <w:r w:rsidR="00DE2BF2">
        <w:t xml:space="preserve">in ranges or as orders of magnitude (see </w:t>
      </w:r>
      <w:r w:rsidR="00985967">
        <w:t xml:space="preserve">the </w:t>
      </w:r>
      <w:r w:rsidR="00DE2BF2">
        <w:t>Appendix).</w:t>
      </w:r>
    </w:p>
    <w:p w:rsidR="00B006F0" w:rsidRPr="00EE3E62" w:rsidRDefault="00B006F0" w:rsidP="004669AD">
      <w:pPr>
        <w:pStyle w:val="Heading4"/>
        <w:ind w:left="0"/>
        <w:sectPr w:rsidR="00B006F0" w:rsidRPr="00EE3E62" w:rsidSect="000D2AC8">
          <w:headerReference w:type="even" r:id="rId15"/>
          <w:headerReference w:type="default" r:id="rId16"/>
          <w:footerReference w:type="even" r:id="rId17"/>
          <w:footerReference w:type="default" r:id="rId18"/>
          <w:headerReference w:type="first" r:id="rId19"/>
          <w:type w:val="oddPage"/>
          <w:pgSz w:w="11907" w:h="16840" w:code="9"/>
          <w:pgMar w:top="1134" w:right="1418" w:bottom="1531" w:left="1418" w:header="709" w:footer="709" w:gutter="0"/>
          <w:cols w:space="720"/>
          <w:docGrid w:linePitch="360"/>
        </w:sectPr>
      </w:pPr>
    </w:p>
    <w:p w:rsidR="00993B3B" w:rsidRPr="00BD0D6A" w:rsidRDefault="00104DD6" w:rsidP="00AC49DF">
      <w:pPr>
        <w:pStyle w:val="AppendixHeading1"/>
        <w:numPr>
          <w:ilvl w:val="0"/>
          <w:numId w:val="0"/>
        </w:numPr>
        <w:rPr>
          <w:lang w:val="en-GB"/>
        </w:rPr>
      </w:pPr>
      <w:r w:rsidRPr="00C9026A">
        <w:rPr>
          <w:sz w:val="24"/>
          <w:szCs w:val="24"/>
          <w:lang w:val="en-GB"/>
        </w:rPr>
        <w:lastRenderedPageBreak/>
        <w:br/>
      </w:r>
      <w:bookmarkStart w:id="93" w:name="_Toc447613501"/>
      <w:bookmarkStart w:id="94" w:name="_Toc450204024"/>
      <w:proofErr w:type="gramStart"/>
      <w:r w:rsidR="00BD0D6A">
        <w:rPr>
          <w:lang w:val="en-GB"/>
        </w:rPr>
        <w:t>APPENDIX.</w:t>
      </w:r>
      <w:proofErr w:type="gramEnd"/>
      <w:r w:rsidR="00BD0D6A">
        <w:rPr>
          <w:lang w:val="en-GB"/>
        </w:rPr>
        <w:br/>
      </w:r>
      <w:r w:rsidR="00BB5A4E">
        <w:rPr>
          <w:lang w:val="en-GB"/>
        </w:rPr>
        <w:t xml:space="preserve">RISK </w:t>
      </w:r>
      <w:r w:rsidR="00993B3B" w:rsidRPr="00BD0D6A">
        <w:rPr>
          <w:lang w:val="en-GB"/>
        </w:rPr>
        <w:t>Criteria</w:t>
      </w:r>
      <w:r w:rsidR="00B96B4E" w:rsidRPr="00BD0D6A">
        <w:rPr>
          <w:lang w:val="en-GB"/>
        </w:rPr>
        <w:t xml:space="preserve"> </w:t>
      </w:r>
      <w:r w:rsidR="007922B1" w:rsidRPr="00BD0D6A">
        <w:rPr>
          <w:lang w:val="en-GB"/>
        </w:rPr>
        <w:t xml:space="preserve">FOR </w:t>
      </w:r>
      <w:r w:rsidR="00630BDA" w:rsidRPr="00BD0D6A">
        <w:rPr>
          <w:lang w:val="en-GB"/>
        </w:rPr>
        <w:t xml:space="preserve">the assessment of </w:t>
      </w:r>
      <w:r w:rsidR="007922B1" w:rsidRPr="00BD0D6A">
        <w:rPr>
          <w:lang w:val="en-GB"/>
        </w:rPr>
        <w:t>POTENTIAL EXPOSURE</w:t>
      </w:r>
      <w:r w:rsidR="005272FB" w:rsidRPr="00BD0D6A">
        <w:rPr>
          <w:lang w:val="en-GB"/>
        </w:rPr>
        <w:t xml:space="preserve"> </w:t>
      </w:r>
      <w:r w:rsidR="004B13C4" w:rsidRPr="00BD0D6A">
        <w:rPr>
          <w:lang w:val="en-GB"/>
        </w:rPr>
        <w:t xml:space="preserve">of </w:t>
      </w:r>
      <w:r w:rsidR="005272FB" w:rsidRPr="00BD0D6A">
        <w:rPr>
          <w:lang w:val="en-GB"/>
        </w:rPr>
        <w:t>the public</w:t>
      </w:r>
      <w:bookmarkEnd w:id="93"/>
      <w:bookmarkEnd w:id="94"/>
    </w:p>
    <w:p w:rsidR="00816351" w:rsidRDefault="00866778" w:rsidP="00BD0D6A">
      <w:pPr>
        <w:pStyle w:val="AppendixHeading3"/>
      </w:pPr>
      <w:r w:rsidRPr="00C9026A">
        <w:t>This Appendix</w:t>
      </w:r>
      <w:r w:rsidR="00A1678D" w:rsidRPr="00C9026A">
        <w:t xml:space="preserve"> </w:t>
      </w:r>
      <w:r w:rsidR="00816351" w:rsidRPr="00C9026A">
        <w:t xml:space="preserve">presents </w:t>
      </w:r>
      <w:r w:rsidR="00E257F1" w:rsidRPr="00C9026A">
        <w:t>criteria</w:t>
      </w:r>
      <w:r w:rsidR="00816351" w:rsidRPr="00C9026A">
        <w:t xml:space="preserve"> </w:t>
      </w:r>
      <w:r w:rsidR="004B13C4">
        <w:t>established</w:t>
      </w:r>
      <w:r w:rsidR="00F469C7" w:rsidRPr="00C9026A">
        <w:t xml:space="preserve"> </w:t>
      </w:r>
      <w:r w:rsidR="00816351" w:rsidRPr="00C9026A">
        <w:t xml:space="preserve">by </w:t>
      </w:r>
      <w:r w:rsidR="00A1678D" w:rsidRPr="00C9026A">
        <w:t xml:space="preserve">relevant </w:t>
      </w:r>
      <w:r w:rsidR="00816351" w:rsidRPr="00C9026A">
        <w:t>international organizations</w:t>
      </w:r>
      <w:r w:rsidR="00943CCB" w:rsidRPr="00C9026A">
        <w:t>,</w:t>
      </w:r>
      <w:r w:rsidR="00E257F1" w:rsidRPr="00C9026A">
        <w:t xml:space="preserve"> which </w:t>
      </w:r>
      <w:r w:rsidR="000669E1">
        <w:t>should</w:t>
      </w:r>
      <w:r w:rsidR="00E257F1" w:rsidRPr="00C9026A">
        <w:t xml:space="preserve"> be used </w:t>
      </w:r>
      <w:r w:rsidR="001F3038">
        <w:t>by</w:t>
      </w:r>
      <w:r w:rsidR="00E257F1" w:rsidRPr="00C9026A">
        <w:t xml:space="preserve"> </w:t>
      </w:r>
      <w:r w:rsidR="001F3038">
        <w:t xml:space="preserve">the </w:t>
      </w:r>
      <w:r w:rsidR="00A32E10" w:rsidRPr="00C9026A">
        <w:t>regulatory</w:t>
      </w:r>
      <w:r w:rsidR="00E257F1" w:rsidRPr="00C9026A">
        <w:t xml:space="preserve"> bod</w:t>
      </w:r>
      <w:r w:rsidR="001F3038">
        <w:t>y</w:t>
      </w:r>
      <w:r w:rsidR="00907241" w:rsidRPr="00C9026A">
        <w:t xml:space="preserve"> </w:t>
      </w:r>
      <w:r w:rsidR="001F3038">
        <w:t>as guidance for</w:t>
      </w:r>
      <w:r w:rsidR="001F3038" w:rsidRPr="00C9026A">
        <w:t xml:space="preserve"> </w:t>
      </w:r>
      <w:r w:rsidR="00907241" w:rsidRPr="00C9026A">
        <w:t>defin</w:t>
      </w:r>
      <w:r w:rsidR="001F3038">
        <w:t>ing</w:t>
      </w:r>
      <w:r w:rsidR="00907241" w:rsidRPr="00C9026A">
        <w:t xml:space="preserve"> national criteria</w:t>
      </w:r>
      <w:r w:rsidR="00943CCB" w:rsidRPr="00C9026A">
        <w:t xml:space="preserve">. The criteria </w:t>
      </w:r>
      <w:r w:rsidR="00F469C7">
        <w:t>set out</w:t>
      </w:r>
      <w:r w:rsidR="00F469C7" w:rsidRPr="00C9026A">
        <w:t xml:space="preserve"> </w:t>
      </w:r>
      <w:r w:rsidR="00943CCB" w:rsidRPr="00C9026A">
        <w:t xml:space="preserve">in this Appendix are </w:t>
      </w:r>
      <w:r w:rsidR="00933D5D" w:rsidRPr="00C9026A">
        <w:t xml:space="preserve">for </w:t>
      </w:r>
      <w:r w:rsidR="001F3038">
        <w:t xml:space="preserve">the </w:t>
      </w:r>
      <w:r w:rsidR="00907241" w:rsidRPr="00C9026A">
        <w:t xml:space="preserve">risk of </w:t>
      </w:r>
      <w:r w:rsidR="00943CCB" w:rsidRPr="00C9026A">
        <w:t xml:space="preserve">health effects to </w:t>
      </w:r>
      <w:r w:rsidR="00933D5D" w:rsidRPr="00C9026A">
        <w:t>individual members of the public</w:t>
      </w:r>
      <w:r w:rsidR="00A32E10" w:rsidRPr="00C9026A">
        <w:t>.</w:t>
      </w:r>
      <w:r w:rsidR="00E257F1" w:rsidRPr="00C9026A">
        <w:t xml:space="preserve"> </w:t>
      </w:r>
      <w:r w:rsidR="00816351" w:rsidRPr="00C9026A">
        <w:t xml:space="preserve">Other types of </w:t>
      </w:r>
      <w:r w:rsidR="00943CCB" w:rsidRPr="00C9026A">
        <w:t xml:space="preserve">effects </w:t>
      </w:r>
      <w:r w:rsidR="001F3038">
        <w:t>of</w:t>
      </w:r>
      <w:r w:rsidR="004B7DD4" w:rsidRPr="00C9026A">
        <w:t xml:space="preserve"> </w:t>
      </w:r>
      <w:r w:rsidR="00943CCB" w:rsidRPr="00C9026A">
        <w:t>accident</w:t>
      </w:r>
      <w:r w:rsidR="001F3038">
        <w:t>s</w:t>
      </w:r>
      <w:r w:rsidR="00943CCB" w:rsidRPr="00C9026A">
        <w:t xml:space="preserve"> with large releases to the environment,</w:t>
      </w:r>
      <w:r w:rsidR="00816351" w:rsidRPr="00C9026A">
        <w:t xml:space="preserve"> </w:t>
      </w:r>
      <w:r w:rsidR="001F3038">
        <w:t>such as</w:t>
      </w:r>
      <w:r w:rsidR="001F3038" w:rsidRPr="00C9026A">
        <w:t xml:space="preserve"> </w:t>
      </w:r>
      <w:r w:rsidR="00943CCB" w:rsidRPr="00C9026A">
        <w:t xml:space="preserve">social, </w:t>
      </w:r>
      <w:r w:rsidR="00154513" w:rsidRPr="00C9026A">
        <w:t>economic</w:t>
      </w:r>
      <w:r w:rsidR="00943CCB" w:rsidRPr="00C9026A">
        <w:t xml:space="preserve"> and environmental </w:t>
      </w:r>
      <w:r w:rsidR="001F3038">
        <w:t>effects</w:t>
      </w:r>
      <w:r w:rsidR="00943CCB" w:rsidRPr="00C9026A">
        <w:t>, are</w:t>
      </w:r>
      <w:r w:rsidR="00816351" w:rsidRPr="00C9026A">
        <w:t xml:space="preserve"> out of the scope of this Safety Guide</w:t>
      </w:r>
      <w:r w:rsidR="00A519A5" w:rsidRPr="00C9026A">
        <w:t>.</w:t>
      </w:r>
      <w:r w:rsidR="00535D34" w:rsidRPr="00535D34">
        <w:t xml:space="preserve"> </w:t>
      </w:r>
      <w:r w:rsidR="001F3038">
        <w:t>Further</w:t>
      </w:r>
      <w:r w:rsidR="001F3038" w:rsidRPr="00BA64C9">
        <w:t xml:space="preserve"> </w:t>
      </w:r>
      <w:r w:rsidR="00535D34">
        <w:t>considerations and</w:t>
      </w:r>
      <w:r w:rsidR="00535D34" w:rsidRPr="00BA64C9">
        <w:t xml:space="preserve"> information on </w:t>
      </w:r>
      <w:r w:rsidR="00535D34">
        <w:t xml:space="preserve">definitions of </w:t>
      </w:r>
      <w:r w:rsidR="00535D34" w:rsidRPr="00BA64C9">
        <w:t xml:space="preserve">risk and </w:t>
      </w:r>
      <w:r w:rsidR="00535D34">
        <w:t>assessment of</w:t>
      </w:r>
      <w:r w:rsidR="00535D34" w:rsidRPr="00BA64C9">
        <w:t xml:space="preserve"> potential exposures </w:t>
      </w:r>
      <w:r w:rsidR="00535D34">
        <w:t>presented</w:t>
      </w:r>
      <w:r w:rsidR="00535D34" w:rsidRPr="00BA64C9">
        <w:t xml:space="preserve"> in Annex II</w:t>
      </w:r>
      <w:r w:rsidR="0061079A">
        <w:t>.</w:t>
      </w:r>
    </w:p>
    <w:p w:rsidR="0037506C" w:rsidRPr="00C9026A" w:rsidRDefault="00595EA6" w:rsidP="00A57A35">
      <w:pPr>
        <w:pStyle w:val="AppendixHeading2"/>
        <w:spacing w:before="360"/>
        <w:rPr>
          <w:lang w:val="en-GB"/>
        </w:rPr>
      </w:pPr>
      <w:r w:rsidRPr="00C9026A">
        <w:rPr>
          <w:lang w:val="en-GB"/>
        </w:rPr>
        <w:t>International Nuclear Safety Advisory Group</w:t>
      </w:r>
      <w:r w:rsidR="000D6065">
        <w:rPr>
          <w:lang w:val="en-GB"/>
        </w:rPr>
        <w:t xml:space="preserve"> </w:t>
      </w:r>
    </w:p>
    <w:p w:rsidR="0037506C" w:rsidRPr="007150D7" w:rsidRDefault="00416537" w:rsidP="00A57A35">
      <w:pPr>
        <w:pStyle w:val="AppendixHeading3"/>
      </w:pPr>
      <w:r>
        <w:t>T</w:t>
      </w:r>
      <w:r w:rsidR="0037506C" w:rsidRPr="00C9026A">
        <w:t>he International Nuclear Safety Advisory Group (INSAG)</w:t>
      </w:r>
      <w:r w:rsidR="00111689">
        <w:t>, in 1995,</w:t>
      </w:r>
      <w:r w:rsidR="0037506C" w:rsidRPr="00C9026A">
        <w:t xml:space="preserve"> considered safety goals for potential exposure [</w:t>
      </w:r>
      <w:r w:rsidR="003C696A" w:rsidRPr="00C9026A">
        <w:t>5</w:t>
      </w:r>
      <w:r w:rsidR="00717572">
        <w:t>3</w:t>
      </w:r>
      <w:r w:rsidR="0037506C" w:rsidRPr="00C9026A">
        <w:t>]</w:t>
      </w:r>
      <w:r w:rsidR="000D6065">
        <w:t xml:space="preserve">. </w:t>
      </w:r>
      <w:r w:rsidR="00AC49DF">
        <w:t>Reference [</w:t>
      </w:r>
      <w:r w:rsidR="00E20EA1">
        <w:t>5</w:t>
      </w:r>
      <w:r w:rsidR="00717572">
        <w:t>3</w:t>
      </w:r>
      <w:r w:rsidR="005A300E">
        <w:t>]</w:t>
      </w:r>
      <w:r w:rsidR="0037506C" w:rsidRPr="00C9026A">
        <w:t xml:space="preserve"> state</w:t>
      </w:r>
      <w:r w:rsidR="005A300E">
        <w:t>s</w:t>
      </w:r>
      <w:r w:rsidR="000D6065">
        <w:t xml:space="preserve"> that</w:t>
      </w:r>
      <w:r w:rsidR="0037506C" w:rsidRPr="00C9026A">
        <w:t xml:space="preserve"> for individual risk to a member of the public</w:t>
      </w:r>
      <w:r w:rsidR="000D6065">
        <w:t xml:space="preserve"> </w:t>
      </w:r>
      <w:r w:rsidR="0037506C" w:rsidRPr="000D6065">
        <w:t xml:space="preserve">“It seems appropriate that for members of the public a risk for potential exposure, expressed as the annual probability of death attributable to a single installation, </w:t>
      </w:r>
      <w:r w:rsidR="00CD5346" w:rsidRPr="000D6065">
        <w:t>should</w:t>
      </w:r>
      <w:r w:rsidR="0037506C" w:rsidRPr="000D6065">
        <w:t xml:space="preserve"> not exceed 10</w:t>
      </w:r>
      <w:r w:rsidR="0037506C" w:rsidRPr="007150D7">
        <w:rPr>
          <w:vertAlign w:val="superscript"/>
        </w:rPr>
        <w:t>-5</w:t>
      </w:r>
      <w:r w:rsidR="0037506C" w:rsidRPr="007150D7">
        <w:t>.”</w:t>
      </w:r>
      <w:r w:rsidR="000D6065">
        <w:t xml:space="preserve"> It also states that </w:t>
      </w:r>
      <w:r w:rsidR="0037506C" w:rsidRPr="000D6065">
        <w:t>“</w:t>
      </w:r>
      <w:r w:rsidR="005A300E">
        <w:t>I</w:t>
      </w:r>
      <w:r w:rsidR="0037506C" w:rsidRPr="000D6065">
        <w:t>t seems reasonable to expect that accidents that require simple, local countermeasures</w:t>
      </w:r>
      <w:r w:rsidR="000D6065">
        <w:t xml:space="preserve"> </w:t>
      </w:r>
      <w:r w:rsidR="00CD5346" w:rsidRPr="000D6065">
        <w:t>should</w:t>
      </w:r>
      <w:r w:rsidR="0037506C" w:rsidRPr="000D6065">
        <w:t xml:space="preserve"> have an annual probability of not more than about 10</w:t>
      </w:r>
      <w:r w:rsidR="0037506C" w:rsidRPr="000D6065">
        <w:rPr>
          <w:vertAlign w:val="superscript"/>
        </w:rPr>
        <w:t>-4</w:t>
      </w:r>
      <w:r w:rsidR="0037506C" w:rsidRPr="000D6065">
        <w:t>.”</w:t>
      </w:r>
      <w:r w:rsidR="000D6065">
        <w:t xml:space="preserve"> </w:t>
      </w:r>
      <w:r w:rsidR="008323D1">
        <w:t>These types of accidents are</w:t>
      </w:r>
      <w:r w:rsidR="007150D7">
        <w:t xml:space="preserve"> expected to deliver </w:t>
      </w:r>
      <w:r w:rsidR="000D6065" w:rsidRPr="000D6065">
        <w:t>dose</w:t>
      </w:r>
      <w:r w:rsidR="007150D7">
        <w:t>s</w:t>
      </w:r>
      <w:r w:rsidR="000D6065" w:rsidRPr="000D6065">
        <w:t xml:space="preserve"> to most </w:t>
      </w:r>
      <w:r w:rsidR="007150D7">
        <w:t xml:space="preserve">highly </w:t>
      </w:r>
      <w:r w:rsidR="000D6065" w:rsidRPr="000D6065">
        <w:t>exposed member</w:t>
      </w:r>
      <w:r w:rsidR="007150D7">
        <w:t>s</w:t>
      </w:r>
      <w:r w:rsidR="000D6065" w:rsidRPr="000D6065">
        <w:t xml:space="preserve"> of the public </w:t>
      </w:r>
      <w:r w:rsidR="007150D7">
        <w:t xml:space="preserve">in the range </w:t>
      </w:r>
      <w:r w:rsidR="000D6065" w:rsidRPr="000D6065">
        <w:t>of 10</w:t>
      </w:r>
      <w:r w:rsidR="007150D7">
        <w:t xml:space="preserve"> to 1</w:t>
      </w:r>
      <w:r w:rsidR="000D6065" w:rsidRPr="000D6065">
        <w:t xml:space="preserve">00 </w:t>
      </w:r>
      <w:proofErr w:type="spellStart"/>
      <w:r w:rsidR="000D6065" w:rsidRPr="000D6065">
        <w:t>mSv</w:t>
      </w:r>
      <w:proofErr w:type="spellEnd"/>
      <w:r w:rsidR="000D6065">
        <w:t xml:space="preserve">. For </w:t>
      </w:r>
      <w:r w:rsidR="000D6065" w:rsidRPr="00C9026A">
        <w:t xml:space="preserve">more severe accidents </w:t>
      </w:r>
      <w:r w:rsidR="005A300E">
        <w:t xml:space="preserve">that </w:t>
      </w:r>
      <w:r w:rsidR="000D6065">
        <w:t xml:space="preserve">may </w:t>
      </w:r>
      <w:r w:rsidR="005A300E">
        <w:t>deliver</w:t>
      </w:r>
      <w:r w:rsidR="005A300E" w:rsidRPr="00C9026A">
        <w:t xml:space="preserve"> </w:t>
      </w:r>
      <w:r w:rsidR="000D6065" w:rsidRPr="00C9026A">
        <w:t>a dose to most</w:t>
      </w:r>
      <w:r w:rsidR="000D6065">
        <w:t xml:space="preserve"> hig</w:t>
      </w:r>
      <w:r w:rsidR="007150D7">
        <w:t>h</w:t>
      </w:r>
      <w:r w:rsidR="000D6065">
        <w:t>ly</w:t>
      </w:r>
      <w:r w:rsidR="000D6065" w:rsidRPr="00C9026A">
        <w:t xml:space="preserve"> exposed member</w:t>
      </w:r>
      <w:r w:rsidR="000D6065">
        <w:t>s</w:t>
      </w:r>
      <w:r w:rsidR="000D6065" w:rsidRPr="00C9026A">
        <w:t xml:space="preserve"> of the public of 1 </w:t>
      </w:r>
      <w:proofErr w:type="spellStart"/>
      <w:r w:rsidR="000D6065" w:rsidRPr="00C9026A">
        <w:t>Sv</w:t>
      </w:r>
      <w:proofErr w:type="spellEnd"/>
      <w:r w:rsidR="00AC49DF">
        <w:t>, Ref. [</w:t>
      </w:r>
      <w:r w:rsidR="00E20EA1">
        <w:t>5</w:t>
      </w:r>
      <w:r w:rsidR="00717572">
        <w:t>3</w:t>
      </w:r>
      <w:r w:rsidR="005A300E">
        <w:t>]</w:t>
      </w:r>
      <w:r w:rsidR="000D6065">
        <w:t xml:space="preserve"> states that </w:t>
      </w:r>
      <w:r w:rsidR="0037506C" w:rsidRPr="000D6065">
        <w:t>“An annual probability of such an accident</w:t>
      </w:r>
      <w:r w:rsidR="000D6065">
        <w:t xml:space="preserve"> </w:t>
      </w:r>
      <w:r w:rsidR="0037506C" w:rsidRPr="007150D7">
        <w:t>of 10</w:t>
      </w:r>
      <w:r w:rsidR="0037506C" w:rsidRPr="007150D7">
        <w:rPr>
          <w:vertAlign w:val="superscript"/>
        </w:rPr>
        <w:t>-5</w:t>
      </w:r>
      <w:r w:rsidR="0037506C" w:rsidRPr="007150D7">
        <w:t xml:space="preserve"> is likely to be required because of the societal consequences.”</w:t>
      </w:r>
    </w:p>
    <w:p w:rsidR="0037506C" w:rsidRPr="00C9026A" w:rsidRDefault="00416537" w:rsidP="00A57A35">
      <w:pPr>
        <w:pStyle w:val="AppendixHeading3"/>
      </w:pPr>
      <w:r>
        <w:t>INSAG</w:t>
      </w:r>
      <w:r w:rsidR="00111689">
        <w:t>, in 1999,</w:t>
      </w:r>
      <w:r>
        <w:t xml:space="preserve"> </w:t>
      </w:r>
      <w:r w:rsidR="005A300E">
        <w:t xml:space="preserve">also </w:t>
      </w:r>
      <w:r w:rsidR="007150D7">
        <w:t>provide</w:t>
      </w:r>
      <w:r w:rsidR="005A300E">
        <w:t>d</w:t>
      </w:r>
      <w:r w:rsidR="007150D7">
        <w:t xml:space="preserve"> </w:t>
      </w:r>
      <w:r w:rsidR="007150D7" w:rsidRPr="00C9026A">
        <w:t xml:space="preserve">risk targets </w:t>
      </w:r>
      <w:r w:rsidR="007150D7">
        <w:t>f</w:t>
      </w:r>
      <w:r w:rsidR="007150D7" w:rsidRPr="00C9026A">
        <w:t>or nuclear power plants</w:t>
      </w:r>
      <w:r w:rsidR="006A4CB5">
        <w:t xml:space="preserve"> </w:t>
      </w:r>
      <w:r w:rsidR="006A4CB5" w:rsidRPr="00C9026A">
        <w:t>[5</w:t>
      </w:r>
      <w:r w:rsidR="00717572">
        <w:t>7</w:t>
      </w:r>
      <w:r w:rsidR="006A4CB5" w:rsidRPr="00C9026A">
        <w:t>]</w:t>
      </w:r>
      <w:r w:rsidR="007150D7">
        <w:t>. It recommend</w:t>
      </w:r>
      <w:r w:rsidR="000F65F9">
        <w:t>s</w:t>
      </w:r>
      <w:r w:rsidR="007150D7">
        <w:t xml:space="preserve"> that the frequency of</w:t>
      </w:r>
      <w:r w:rsidR="005A300E">
        <w:t xml:space="preserve"> occurrence of</w:t>
      </w:r>
      <w:r w:rsidR="0037506C" w:rsidRPr="00C9026A">
        <w:t xml:space="preserve"> severe core damage </w:t>
      </w:r>
      <w:r w:rsidR="007150D7">
        <w:t>should be</w:t>
      </w:r>
      <w:r w:rsidR="0037506C" w:rsidRPr="00C9026A">
        <w:t xml:space="preserve"> less than 10</w:t>
      </w:r>
      <w:r w:rsidR="0037506C" w:rsidRPr="00C9026A">
        <w:rPr>
          <w:vertAlign w:val="superscript"/>
        </w:rPr>
        <w:t>-4</w:t>
      </w:r>
      <w:r w:rsidR="0037506C" w:rsidRPr="00C9026A">
        <w:t xml:space="preserve"> events per </w:t>
      </w:r>
      <w:r w:rsidR="005A300E">
        <w:t xml:space="preserve">plant operating </w:t>
      </w:r>
      <w:r w:rsidR="0037506C" w:rsidRPr="00C9026A">
        <w:t>year for existing nuclear power plants</w:t>
      </w:r>
      <w:r w:rsidR="005A300E">
        <w:t>,</w:t>
      </w:r>
      <w:r w:rsidR="0037506C" w:rsidRPr="00C9026A">
        <w:t xml:space="preserve"> </w:t>
      </w:r>
      <w:r w:rsidR="007150D7">
        <w:t xml:space="preserve">and </w:t>
      </w:r>
      <w:r w:rsidR="005A300E">
        <w:t>suggests that application of all safety principles c</w:t>
      </w:r>
      <w:r w:rsidR="00CD5346" w:rsidRPr="00C9026A">
        <w:t>ould</w:t>
      </w:r>
      <w:r w:rsidR="0037506C" w:rsidRPr="00C9026A">
        <w:t xml:space="preserve"> </w:t>
      </w:r>
      <w:r w:rsidR="005A300E">
        <w:t xml:space="preserve">lead to an improved goal of </w:t>
      </w:r>
      <w:r w:rsidR="0037506C" w:rsidRPr="00C9026A">
        <w:t>not more than 10</w:t>
      </w:r>
      <w:r w:rsidR="0037506C" w:rsidRPr="00C9026A">
        <w:rPr>
          <w:vertAlign w:val="superscript"/>
        </w:rPr>
        <w:t>-5</w:t>
      </w:r>
      <w:r w:rsidR="0037506C" w:rsidRPr="00C9026A">
        <w:t xml:space="preserve"> events per year for new nuclear power plants. </w:t>
      </w:r>
      <w:r w:rsidR="000F65F9">
        <w:t>It also indicates that s</w:t>
      </w:r>
      <w:r w:rsidR="0037506C" w:rsidRPr="00C9026A">
        <w:t xml:space="preserve">evere accident management </w:t>
      </w:r>
      <w:r w:rsidR="005A300E">
        <w:t xml:space="preserve">measures </w:t>
      </w:r>
      <w:r w:rsidR="0037506C" w:rsidRPr="00C9026A">
        <w:t xml:space="preserve">and </w:t>
      </w:r>
      <w:proofErr w:type="spellStart"/>
      <w:r w:rsidR="0037506C" w:rsidRPr="00C9026A">
        <w:t>mitigat</w:t>
      </w:r>
      <w:r w:rsidR="005A300E">
        <w:t>ory</w:t>
      </w:r>
      <w:proofErr w:type="spellEnd"/>
      <w:r w:rsidR="0037506C" w:rsidRPr="00C9026A">
        <w:t xml:space="preserve"> measures </w:t>
      </w:r>
      <w:r w:rsidR="00CD5346" w:rsidRPr="00C9026A">
        <w:t>should</w:t>
      </w:r>
      <w:r w:rsidR="0037506C" w:rsidRPr="00C9026A">
        <w:t xml:space="preserve"> reduce by a factor of at least ten the probability of </w:t>
      </w:r>
      <w:r w:rsidR="005A300E">
        <w:t>large</w:t>
      </w:r>
      <w:r w:rsidR="005A300E" w:rsidRPr="00C9026A">
        <w:t xml:space="preserve"> </w:t>
      </w:r>
      <w:r w:rsidR="005A300E">
        <w:t>off-site</w:t>
      </w:r>
      <w:r w:rsidR="005A300E" w:rsidRPr="00C9026A">
        <w:t xml:space="preserve"> </w:t>
      </w:r>
      <w:r w:rsidR="0037506C" w:rsidRPr="00C9026A">
        <w:t xml:space="preserve">radioactive releases requiring off-site response in the short term. </w:t>
      </w:r>
      <w:r w:rsidR="00AC49DF">
        <w:t>Reference [</w:t>
      </w:r>
      <w:r w:rsidR="00E20EA1">
        <w:t>5</w:t>
      </w:r>
      <w:r w:rsidR="00717572">
        <w:t>3</w:t>
      </w:r>
      <w:r w:rsidR="00744CDD">
        <w:t>]</w:t>
      </w:r>
      <w:r w:rsidR="00744CDD" w:rsidRPr="00C9026A">
        <w:t xml:space="preserve"> </w:t>
      </w:r>
      <w:r w:rsidR="0037506C" w:rsidRPr="00C9026A">
        <w:t xml:space="preserve">states that </w:t>
      </w:r>
      <w:r w:rsidR="00744CDD">
        <w:t>these targets</w:t>
      </w:r>
      <w:r w:rsidR="00744CDD" w:rsidRPr="00C9026A">
        <w:t xml:space="preserve"> </w:t>
      </w:r>
      <w:r w:rsidR="0037506C" w:rsidRPr="00C9026A">
        <w:t>would correspond to an individual risk of death for a member of the public of much less than 10</w:t>
      </w:r>
      <w:r w:rsidR="0037506C" w:rsidRPr="00C9026A">
        <w:rPr>
          <w:vertAlign w:val="superscript"/>
        </w:rPr>
        <w:t>-5</w:t>
      </w:r>
      <w:r w:rsidR="0037506C" w:rsidRPr="00C9026A">
        <w:t xml:space="preserve"> per plant operating year for existing </w:t>
      </w:r>
      <w:r w:rsidR="005A300E">
        <w:t xml:space="preserve">plants </w:t>
      </w:r>
      <w:r w:rsidR="0037506C" w:rsidRPr="00C9026A">
        <w:t>and 10</w:t>
      </w:r>
      <w:r w:rsidR="0037506C" w:rsidRPr="00C9026A">
        <w:rPr>
          <w:vertAlign w:val="superscript"/>
        </w:rPr>
        <w:t>-6</w:t>
      </w:r>
      <w:r w:rsidR="0037506C" w:rsidRPr="00C9026A">
        <w:t xml:space="preserve"> for new plant</w:t>
      </w:r>
      <w:r w:rsidR="005A300E">
        <w:t>s</w:t>
      </w:r>
      <w:r w:rsidR="0037506C" w:rsidRPr="00C9026A">
        <w:t>.</w:t>
      </w:r>
    </w:p>
    <w:p w:rsidR="007B4F70" w:rsidRPr="00C9026A" w:rsidRDefault="00595EA6" w:rsidP="00A57A35">
      <w:pPr>
        <w:pStyle w:val="AppendixHeading2"/>
        <w:rPr>
          <w:lang w:val="en-GB"/>
        </w:rPr>
      </w:pPr>
      <w:r w:rsidRPr="00C9026A">
        <w:rPr>
          <w:lang w:val="en-GB"/>
        </w:rPr>
        <w:t>International Commission on Radiological Protection</w:t>
      </w:r>
    </w:p>
    <w:p w:rsidR="007B4F70" w:rsidRPr="009B3AFB" w:rsidRDefault="007B4F70" w:rsidP="00A57A35">
      <w:pPr>
        <w:pStyle w:val="AppendixHeading3"/>
      </w:pPr>
      <w:r w:rsidRPr="00C9026A">
        <w:t xml:space="preserve">The </w:t>
      </w:r>
      <w:r w:rsidR="00A656C5" w:rsidRPr="00C9026A">
        <w:t>ICRP</w:t>
      </w:r>
      <w:r w:rsidR="006A4CB5">
        <w:t xml:space="preserve"> </w:t>
      </w:r>
      <w:r w:rsidR="008323D1">
        <w:t xml:space="preserve">recommends </w:t>
      </w:r>
      <w:r w:rsidR="00135DC9">
        <w:t xml:space="preserve">that </w:t>
      </w:r>
      <w:r w:rsidR="0065110E" w:rsidRPr="00C9026A">
        <w:t xml:space="preserve">for the </w:t>
      </w:r>
      <w:r w:rsidR="0065110E">
        <w:t>assessment</w:t>
      </w:r>
      <w:r w:rsidR="0065110E" w:rsidRPr="00C9026A">
        <w:t xml:space="preserve"> of potential exposure</w:t>
      </w:r>
      <w:r w:rsidR="0065110E">
        <w:t>s</w:t>
      </w:r>
      <w:r w:rsidR="0065110E" w:rsidRPr="00C9026A">
        <w:t xml:space="preserve">, the risk </w:t>
      </w:r>
      <w:r w:rsidR="0065110E">
        <w:t>constraints</w:t>
      </w:r>
      <w:r w:rsidR="0065110E" w:rsidRPr="00C9026A">
        <w:t xml:space="preserve"> </w:t>
      </w:r>
      <w:r w:rsidR="0065110E">
        <w:t xml:space="preserve">related to a source </w:t>
      </w:r>
      <w:r w:rsidR="0065110E" w:rsidRPr="00C9026A">
        <w:t xml:space="preserve">should be of the same order of magnitude as the health risk implied by the dose </w:t>
      </w:r>
      <w:r w:rsidR="0065110E">
        <w:t>constraints for the same source</w:t>
      </w:r>
      <w:r w:rsidR="0065110E" w:rsidRPr="0065110E">
        <w:t xml:space="preserve"> </w:t>
      </w:r>
      <w:r w:rsidR="0065110E">
        <w:t xml:space="preserve">(ICRP Publication 103, published in 2007 </w:t>
      </w:r>
      <w:r w:rsidR="0065110E" w:rsidRPr="00C9026A">
        <w:t>[</w:t>
      </w:r>
      <w:r w:rsidR="0065110E">
        <w:t>3</w:t>
      </w:r>
      <w:r w:rsidR="0065110E" w:rsidRPr="00C9026A">
        <w:t>]</w:t>
      </w:r>
      <w:r w:rsidR="0065110E">
        <w:t>).</w:t>
      </w:r>
      <w:r w:rsidR="0065110E" w:rsidRPr="00751E9A">
        <w:t xml:space="preserve"> </w:t>
      </w:r>
      <w:r w:rsidR="0065110E">
        <w:t>ICRP Publication 64, published in 1993</w:t>
      </w:r>
      <w:r w:rsidR="00A4244F">
        <w:t xml:space="preserve"> </w:t>
      </w:r>
      <w:r w:rsidR="0065110E">
        <w:t>[</w:t>
      </w:r>
      <w:r w:rsidR="00717572">
        <w:t>52</w:t>
      </w:r>
      <w:r w:rsidR="0065110E">
        <w:t xml:space="preserve">] states that </w:t>
      </w:r>
      <w:r w:rsidR="00135DC9" w:rsidRPr="00751E9A">
        <w:t xml:space="preserve">“One procedure for applying source-related constraints is to express the probability of an event sequence as a function of the dose that will be delivered </w:t>
      </w:r>
      <w:r w:rsidR="00135DC9" w:rsidRPr="000A3DA2">
        <w:t>should the sequence actually occur. Such a constraint would express the maximum probability that can be permitted from sequences exceeding a given magnitude of dose”</w:t>
      </w:r>
      <w:r w:rsidR="00135DC9">
        <w:t>.</w:t>
      </w:r>
    </w:p>
    <w:p w:rsidR="007B4F70" w:rsidRPr="00C9026A" w:rsidRDefault="004E7F1D" w:rsidP="00A57A35">
      <w:pPr>
        <w:pStyle w:val="AppendixHeading3"/>
      </w:pPr>
      <w:r>
        <w:t>ICRP Publication 64</w:t>
      </w:r>
      <w:r w:rsidRPr="004E7F1D">
        <w:t xml:space="preserve"> [</w:t>
      </w:r>
      <w:r w:rsidR="00717572">
        <w:t>52</w:t>
      </w:r>
      <w:r w:rsidRPr="004E7F1D">
        <w:t xml:space="preserve">] </w:t>
      </w:r>
      <w:r w:rsidR="00744CDD">
        <w:t>provides</w:t>
      </w:r>
      <w:r w:rsidR="00744CDD" w:rsidRPr="004E7F1D">
        <w:t xml:space="preserve"> </w:t>
      </w:r>
      <w:r w:rsidRPr="004E7F1D">
        <w:t xml:space="preserve">a range of probabilities in a year </w:t>
      </w:r>
      <w:r w:rsidR="00744CDD">
        <w:t>that</w:t>
      </w:r>
      <w:r w:rsidR="00744CDD" w:rsidRPr="004E7F1D">
        <w:t xml:space="preserve"> </w:t>
      </w:r>
      <w:r w:rsidRPr="004E7F1D">
        <w:t xml:space="preserve">may be used to </w:t>
      </w:r>
      <w:r w:rsidRPr="004E7F1D">
        <w:lastRenderedPageBreak/>
        <w:t xml:space="preserve">define risk constraints; </w:t>
      </w:r>
      <w:r w:rsidR="00744CDD">
        <w:t>the maximum probability</w:t>
      </w:r>
      <w:r w:rsidR="00744CDD" w:rsidRPr="004E7F1D">
        <w:t xml:space="preserve"> </w:t>
      </w:r>
      <w:r w:rsidR="00744CDD">
        <w:t>of a</w:t>
      </w:r>
      <w:r w:rsidR="00744CDD" w:rsidRPr="004E7F1D">
        <w:t xml:space="preserve"> </w:t>
      </w:r>
      <w:r w:rsidRPr="004E7F1D">
        <w:t xml:space="preserve">severe accident with some deterministic consequences or </w:t>
      </w:r>
      <w:r w:rsidR="00744CDD">
        <w:t>for the occurrence</w:t>
      </w:r>
      <w:r w:rsidR="00744CDD" w:rsidRPr="004E7F1D">
        <w:t xml:space="preserve"> </w:t>
      </w:r>
      <w:r w:rsidR="00D30036">
        <w:t xml:space="preserve">of </w:t>
      </w:r>
      <w:r w:rsidRPr="004E7F1D">
        <w:t>severe health effects should range from 10</w:t>
      </w:r>
      <w:r w:rsidRPr="004E7F1D">
        <w:rPr>
          <w:vertAlign w:val="superscript"/>
        </w:rPr>
        <w:t>-6</w:t>
      </w:r>
      <w:r w:rsidRPr="004E7F1D">
        <w:t xml:space="preserve"> to 10</w:t>
      </w:r>
      <w:r w:rsidRPr="004E7F1D">
        <w:rPr>
          <w:vertAlign w:val="superscript"/>
        </w:rPr>
        <w:t>-5</w:t>
      </w:r>
      <w:r w:rsidRPr="004E7F1D">
        <w:t xml:space="preserve"> per year. </w:t>
      </w:r>
      <w:r>
        <w:t xml:space="preserve">The complete </w:t>
      </w:r>
      <w:r w:rsidR="007B4F70" w:rsidRPr="00C9026A">
        <w:t xml:space="preserve">scheme is reproduced in Table </w:t>
      </w:r>
      <w:r w:rsidR="0004749B" w:rsidRPr="00C9026A">
        <w:t>2</w:t>
      </w:r>
      <w:r>
        <w:t xml:space="preserve"> below</w:t>
      </w:r>
      <w:r w:rsidR="007B4F70" w:rsidRPr="00C9026A">
        <w:t xml:space="preserve">. For complex systems, similar sequences </w:t>
      </w:r>
      <w:r w:rsidR="00744CDD">
        <w:t xml:space="preserve">of events </w:t>
      </w:r>
      <w:r w:rsidR="00CD5346" w:rsidRPr="00C9026A">
        <w:t>should</w:t>
      </w:r>
      <w:r w:rsidR="007B4F70" w:rsidRPr="00C9026A">
        <w:t xml:space="preserve"> be grouped </w:t>
      </w:r>
      <w:r w:rsidR="00C663A5">
        <w:t xml:space="preserve">by </w:t>
      </w:r>
      <w:r w:rsidR="00111689">
        <w:t>combining</w:t>
      </w:r>
      <w:r w:rsidR="0042605E" w:rsidRPr="00C9026A">
        <w:t xml:space="preserve"> </w:t>
      </w:r>
      <w:r w:rsidR="007B4F70" w:rsidRPr="00C9026A">
        <w:t xml:space="preserve">their probabilities and taking the worst consequence from any individual sequence to represent the group as a whole. </w:t>
      </w:r>
      <w:r w:rsidR="00C663A5">
        <w:t>Reference [</w:t>
      </w:r>
      <w:r w:rsidR="00717572">
        <w:t>52</w:t>
      </w:r>
      <w:r w:rsidR="00C663A5">
        <w:t>]</w:t>
      </w:r>
      <w:r w:rsidR="00C663A5" w:rsidRPr="00C9026A">
        <w:t xml:space="preserve"> </w:t>
      </w:r>
      <w:r w:rsidR="007B4F70" w:rsidRPr="00C9026A">
        <w:t xml:space="preserve">states that the values in Table </w:t>
      </w:r>
      <w:r w:rsidR="0004749B" w:rsidRPr="00C9026A">
        <w:t>2</w:t>
      </w:r>
      <w:r w:rsidR="007B4F70" w:rsidRPr="00C9026A">
        <w:t xml:space="preserve"> are intended to illustrate the types of constraint that might be imposed based on </w:t>
      </w:r>
      <w:r w:rsidR="00C663A5">
        <w:t xml:space="preserve">past </w:t>
      </w:r>
      <w:r w:rsidR="007B4F70" w:rsidRPr="00C9026A">
        <w:t>experience</w:t>
      </w:r>
      <w:r w:rsidR="00C663A5">
        <w:t>,</w:t>
      </w:r>
      <w:r w:rsidR="007B4F70" w:rsidRPr="00C9026A">
        <w:t xml:space="preserve"> </w:t>
      </w:r>
      <w:r w:rsidR="00C663A5">
        <w:t>with</w:t>
      </w:r>
      <w:r w:rsidR="007B4F70" w:rsidRPr="00C9026A">
        <w:t xml:space="preserve"> account </w:t>
      </w:r>
      <w:r w:rsidR="00C663A5">
        <w:t xml:space="preserve">taken of </w:t>
      </w:r>
      <w:r w:rsidR="007B4F70" w:rsidRPr="00C9026A">
        <w:t>the benefits derived from the particular practice. It adds that the values</w:t>
      </w:r>
      <w:r w:rsidR="00C663A5">
        <w:t xml:space="preserve"> in Table 2</w:t>
      </w:r>
      <w:r w:rsidR="007B4F70" w:rsidRPr="00C9026A">
        <w:t xml:space="preserve"> might also be imposed as tentative constraints in the absence of operating experience, </w:t>
      </w:r>
      <w:r w:rsidR="00C663A5">
        <w:t xml:space="preserve">but </w:t>
      </w:r>
      <w:r w:rsidR="007B4F70" w:rsidRPr="00C9026A">
        <w:t>subject to revision as experience is gained</w:t>
      </w:r>
      <w:r w:rsidR="00C663A5">
        <w:t>,</w:t>
      </w:r>
      <w:r w:rsidR="007B4F70" w:rsidRPr="00C9026A">
        <w:t xml:space="preserve"> and in such cases the constraints may be regarded as upper bounds. </w:t>
      </w:r>
      <w:r w:rsidR="00C663A5">
        <w:t>Reference [</w:t>
      </w:r>
      <w:r w:rsidR="00717572">
        <w:t>52</w:t>
      </w:r>
      <w:r w:rsidR="00C663A5">
        <w:t>]</w:t>
      </w:r>
      <w:r w:rsidR="00C663A5" w:rsidRPr="00C9026A">
        <w:t xml:space="preserve"> </w:t>
      </w:r>
      <w:r w:rsidR="007B4F70" w:rsidRPr="00C9026A">
        <w:t>emphasizes that these constraints refer to potential exposure of an individual</w:t>
      </w:r>
      <w:r w:rsidR="00751E9A">
        <w:t>, rather than a population</w:t>
      </w:r>
      <w:r w:rsidR="00C663A5">
        <w:t xml:space="preserve"> as a whole</w:t>
      </w:r>
      <w:r w:rsidR="007B4F70" w:rsidRPr="00C9026A">
        <w:t>.</w:t>
      </w:r>
    </w:p>
    <w:p w:rsidR="00450BB7" w:rsidRPr="00C9026A" w:rsidRDefault="00450BB7" w:rsidP="00A57A35">
      <w:pPr>
        <w:pStyle w:val="IAEATableHeading"/>
        <w:rPr>
          <w:lang w:val="en-GB"/>
        </w:rPr>
      </w:pPr>
      <w:proofErr w:type="gramStart"/>
      <w:r w:rsidRPr="00C9026A">
        <w:t xml:space="preserve">TABLE </w:t>
      </w:r>
      <w:fldSimple w:instr=" SEQ Table \* MERGEFORMAT ">
        <w:r w:rsidR="005E3463">
          <w:rPr>
            <w:noProof/>
          </w:rPr>
          <w:t>2</w:t>
        </w:r>
      </w:fldSimple>
      <w:r w:rsidRPr="00C9026A">
        <w:t>.</w:t>
      </w:r>
      <w:proofErr w:type="gramEnd"/>
      <w:r w:rsidRPr="00C9026A">
        <w:t xml:space="preserve"> </w:t>
      </w:r>
      <w:r w:rsidR="00542589" w:rsidRPr="00C9026A">
        <w:rPr>
          <w:lang w:val="en-GB"/>
        </w:rPr>
        <w:t xml:space="preserve">RANGE OF PROBABILITIES IN A YEAR FROM WHICH </w:t>
      </w:r>
      <w:r w:rsidR="00BD5AEC">
        <w:rPr>
          <w:lang w:val="en-GB"/>
        </w:rPr>
        <w:t xml:space="preserve">A </w:t>
      </w:r>
      <w:r w:rsidR="009A0386">
        <w:rPr>
          <w:lang w:val="en-GB"/>
        </w:rPr>
        <w:t xml:space="preserve">RISK </w:t>
      </w:r>
      <w:r w:rsidR="00542589" w:rsidRPr="00C9026A">
        <w:rPr>
          <w:lang w:val="en-GB"/>
        </w:rPr>
        <w:t>CONSTRAINT MAY BE SELECTED [</w:t>
      </w:r>
      <w:r w:rsidR="00717572">
        <w:rPr>
          <w:lang w:val="en-GB"/>
        </w:rPr>
        <w:t>52</w:t>
      </w:r>
      <w:r w:rsidR="00542589" w:rsidRPr="00C9026A">
        <w:rPr>
          <w:lang w:val="en-GB"/>
        </w:rPr>
        <w:t>]</w:t>
      </w:r>
    </w:p>
    <w:tbl>
      <w:tblPr>
        <w:tblW w:w="4942" w:type="pct"/>
        <w:tblBorders>
          <w:top w:val="single" w:sz="4" w:space="0" w:color="auto"/>
          <w:bottom w:val="single" w:sz="4" w:space="0" w:color="auto"/>
        </w:tblBorders>
        <w:tblLook w:val="01E0" w:firstRow="1" w:lastRow="1" w:firstColumn="1" w:lastColumn="1" w:noHBand="0" w:noVBand="0"/>
      </w:tblPr>
      <w:tblGrid>
        <w:gridCol w:w="7053"/>
        <w:gridCol w:w="2126"/>
      </w:tblGrid>
      <w:tr w:rsidR="00542589" w:rsidRPr="00C9026A" w:rsidTr="00615134">
        <w:tc>
          <w:tcPr>
            <w:tcW w:w="7054" w:type="dxa"/>
            <w:tcBorders>
              <w:top w:val="single" w:sz="4" w:space="0" w:color="auto"/>
              <w:bottom w:val="single" w:sz="4" w:space="0" w:color="auto"/>
            </w:tcBorders>
            <w:vAlign w:val="center"/>
          </w:tcPr>
          <w:p w:rsidR="00542589" w:rsidRPr="00C9026A" w:rsidRDefault="00542589" w:rsidP="00A57A35">
            <w:pPr>
              <w:pStyle w:val="BodyText"/>
              <w:overflowPunct w:val="0"/>
              <w:autoSpaceDE w:val="0"/>
              <w:autoSpaceDN w:val="0"/>
              <w:adjustRightInd w:val="0"/>
              <w:spacing w:before="120" w:after="120"/>
              <w:jc w:val="left"/>
              <w:textAlignment w:val="baseline"/>
              <w:rPr>
                <w:b/>
                <w:sz w:val="20"/>
                <w:lang w:val="en-GB"/>
              </w:rPr>
            </w:pPr>
            <w:r w:rsidRPr="00C9026A">
              <w:rPr>
                <w:b/>
                <w:sz w:val="20"/>
                <w:lang w:val="en-GB"/>
              </w:rPr>
              <w:t>Impact</w:t>
            </w:r>
          </w:p>
        </w:tc>
        <w:tc>
          <w:tcPr>
            <w:tcW w:w="2126" w:type="dxa"/>
            <w:tcBorders>
              <w:top w:val="single" w:sz="4" w:space="0" w:color="auto"/>
              <w:bottom w:val="single" w:sz="4" w:space="0" w:color="auto"/>
            </w:tcBorders>
            <w:vAlign w:val="center"/>
          </w:tcPr>
          <w:p w:rsidR="00542589" w:rsidRPr="00C9026A" w:rsidRDefault="00542589" w:rsidP="00A57A35">
            <w:pPr>
              <w:pStyle w:val="BodyText"/>
              <w:spacing w:before="120" w:after="120"/>
              <w:jc w:val="center"/>
              <w:rPr>
                <w:b/>
                <w:sz w:val="20"/>
                <w:lang w:val="en-GB"/>
              </w:rPr>
            </w:pPr>
            <w:r w:rsidRPr="00C9026A">
              <w:rPr>
                <w:b/>
                <w:sz w:val="20"/>
                <w:lang w:val="en-GB"/>
              </w:rPr>
              <w:t>Probability Range</w:t>
            </w:r>
          </w:p>
        </w:tc>
      </w:tr>
      <w:tr w:rsidR="00542589" w:rsidRPr="00C9026A" w:rsidTr="00615134">
        <w:tc>
          <w:tcPr>
            <w:tcW w:w="7054" w:type="dxa"/>
            <w:tcBorders>
              <w:top w:val="single" w:sz="4" w:space="0" w:color="auto"/>
            </w:tcBorders>
            <w:vAlign w:val="center"/>
          </w:tcPr>
          <w:p w:rsidR="00542589" w:rsidRPr="00C9026A" w:rsidRDefault="00542589" w:rsidP="00A4244F">
            <w:pPr>
              <w:pStyle w:val="BodyText"/>
              <w:spacing w:before="60" w:after="60"/>
              <w:jc w:val="left"/>
              <w:rPr>
                <w:sz w:val="20"/>
                <w:lang w:val="en-GB"/>
              </w:rPr>
            </w:pPr>
            <w:r w:rsidRPr="00C9026A">
              <w:rPr>
                <w:sz w:val="20"/>
                <w:lang w:val="en-GB"/>
              </w:rPr>
              <w:t>Sequences of events treated as normal exposure</w:t>
            </w:r>
          </w:p>
        </w:tc>
        <w:tc>
          <w:tcPr>
            <w:tcW w:w="2126" w:type="dxa"/>
            <w:tcBorders>
              <w:top w:val="single" w:sz="4" w:space="0" w:color="auto"/>
            </w:tcBorders>
            <w:vAlign w:val="center"/>
          </w:tcPr>
          <w:p w:rsidR="00542589" w:rsidRPr="00C9026A" w:rsidRDefault="00542589" w:rsidP="00A57A35">
            <w:pPr>
              <w:pStyle w:val="BodyText"/>
              <w:spacing w:before="60" w:after="60" w:line="276" w:lineRule="auto"/>
              <w:contextualSpacing/>
              <w:jc w:val="center"/>
              <w:rPr>
                <w:sz w:val="20"/>
                <w:vertAlign w:val="superscript"/>
                <w:lang w:val="en-GB"/>
              </w:rPr>
            </w:pPr>
            <w:r w:rsidRPr="00C9026A">
              <w:rPr>
                <w:sz w:val="20"/>
                <w:lang w:val="en-GB"/>
              </w:rPr>
              <w:t>10</w:t>
            </w:r>
            <w:r w:rsidRPr="00C9026A">
              <w:rPr>
                <w:sz w:val="20"/>
                <w:vertAlign w:val="superscript"/>
                <w:lang w:val="en-GB"/>
              </w:rPr>
              <w:noBreakHyphen/>
              <w:t>1</w:t>
            </w:r>
            <w:r w:rsidRPr="00C9026A">
              <w:rPr>
                <w:sz w:val="20"/>
                <w:lang w:val="en-GB"/>
              </w:rPr>
              <w:t xml:space="preserve"> to 10</w:t>
            </w:r>
            <w:r w:rsidRPr="00C9026A">
              <w:rPr>
                <w:sz w:val="20"/>
                <w:vertAlign w:val="superscript"/>
                <w:lang w:val="en-GB"/>
              </w:rPr>
              <w:noBreakHyphen/>
              <w:t>2</w:t>
            </w:r>
          </w:p>
        </w:tc>
      </w:tr>
      <w:tr w:rsidR="00542589" w:rsidRPr="00C9026A" w:rsidTr="00615134">
        <w:tc>
          <w:tcPr>
            <w:tcW w:w="7054" w:type="dxa"/>
            <w:vAlign w:val="center"/>
          </w:tcPr>
          <w:p w:rsidR="00542589" w:rsidRPr="00C9026A" w:rsidRDefault="00542589" w:rsidP="00A57A35">
            <w:pPr>
              <w:pStyle w:val="BodyText"/>
              <w:spacing w:before="60" w:after="60"/>
              <w:jc w:val="left"/>
              <w:rPr>
                <w:sz w:val="20"/>
                <w:lang w:val="en-GB"/>
              </w:rPr>
            </w:pPr>
            <w:r w:rsidRPr="00C9026A">
              <w:rPr>
                <w:sz w:val="20"/>
                <w:lang w:val="en-GB"/>
              </w:rPr>
              <w:t>Sequences of events leading to stochastic effects only but above dose limits</w:t>
            </w:r>
          </w:p>
        </w:tc>
        <w:tc>
          <w:tcPr>
            <w:tcW w:w="2126" w:type="dxa"/>
            <w:vAlign w:val="center"/>
          </w:tcPr>
          <w:p w:rsidR="00542589" w:rsidRPr="00C9026A" w:rsidRDefault="00542589" w:rsidP="00A57A35">
            <w:pPr>
              <w:pStyle w:val="BodyText"/>
              <w:spacing w:after="60" w:line="276" w:lineRule="auto"/>
              <w:contextualSpacing/>
              <w:jc w:val="center"/>
              <w:rPr>
                <w:sz w:val="20"/>
                <w:lang w:val="en-GB"/>
              </w:rPr>
            </w:pPr>
            <w:r w:rsidRPr="00C9026A">
              <w:rPr>
                <w:sz w:val="20"/>
                <w:lang w:val="en-GB"/>
              </w:rPr>
              <w:t>10</w:t>
            </w:r>
            <w:r w:rsidRPr="00C9026A">
              <w:rPr>
                <w:sz w:val="20"/>
                <w:vertAlign w:val="superscript"/>
                <w:lang w:val="en-GB"/>
              </w:rPr>
              <w:noBreakHyphen/>
              <w:t>2</w:t>
            </w:r>
            <w:r w:rsidRPr="00C9026A">
              <w:rPr>
                <w:sz w:val="20"/>
                <w:lang w:val="en-GB"/>
              </w:rPr>
              <w:t xml:space="preserve"> to 10</w:t>
            </w:r>
            <w:r w:rsidRPr="00C9026A">
              <w:rPr>
                <w:sz w:val="20"/>
                <w:vertAlign w:val="superscript"/>
                <w:lang w:val="en-GB"/>
              </w:rPr>
              <w:noBreakHyphen/>
              <w:t>5</w:t>
            </w:r>
          </w:p>
        </w:tc>
      </w:tr>
      <w:tr w:rsidR="00542589" w:rsidRPr="00C9026A" w:rsidTr="00615134">
        <w:tc>
          <w:tcPr>
            <w:tcW w:w="7054" w:type="dxa"/>
            <w:vAlign w:val="center"/>
          </w:tcPr>
          <w:p w:rsidR="00542589" w:rsidRPr="00C9026A" w:rsidRDefault="00542589" w:rsidP="00A57A35">
            <w:pPr>
              <w:pStyle w:val="BodyText"/>
              <w:spacing w:before="60" w:after="60"/>
              <w:jc w:val="left"/>
              <w:rPr>
                <w:sz w:val="20"/>
                <w:lang w:val="en-GB"/>
              </w:rPr>
            </w:pPr>
            <w:r w:rsidRPr="00C9026A">
              <w:rPr>
                <w:sz w:val="20"/>
                <w:lang w:val="en-GB"/>
              </w:rPr>
              <w:t>Sequences of events leading to doses where some radiation effects are deterministic</w:t>
            </w:r>
          </w:p>
        </w:tc>
        <w:tc>
          <w:tcPr>
            <w:tcW w:w="2126" w:type="dxa"/>
            <w:vAlign w:val="center"/>
          </w:tcPr>
          <w:p w:rsidR="00542589" w:rsidRPr="00C9026A" w:rsidRDefault="00542589" w:rsidP="00A57A35">
            <w:pPr>
              <w:pStyle w:val="BodyText"/>
              <w:spacing w:after="60" w:line="276" w:lineRule="auto"/>
              <w:contextualSpacing/>
              <w:jc w:val="center"/>
              <w:rPr>
                <w:sz w:val="20"/>
                <w:lang w:val="en-GB"/>
              </w:rPr>
            </w:pPr>
            <w:r w:rsidRPr="00C9026A">
              <w:rPr>
                <w:sz w:val="20"/>
                <w:lang w:val="en-GB"/>
              </w:rPr>
              <w:t>10</w:t>
            </w:r>
            <w:r w:rsidRPr="00C9026A">
              <w:rPr>
                <w:sz w:val="20"/>
                <w:vertAlign w:val="superscript"/>
                <w:lang w:val="en-GB"/>
              </w:rPr>
              <w:noBreakHyphen/>
              <w:t>5</w:t>
            </w:r>
            <w:r w:rsidRPr="00C9026A">
              <w:rPr>
                <w:sz w:val="20"/>
                <w:lang w:val="en-GB"/>
              </w:rPr>
              <w:t xml:space="preserve"> to 10</w:t>
            </w:r>
            <w:r w:rsidRPr="00C9026A">
              <w:rPr>
                <w:sz w:val="20"/>
                <w:vertAlign w:val="superscript"/>
                <w:lang w:val="en-GB"/>
              </w:rPr>
              <w:noBreakHyphen/>
              <w:t>6</w:t>
            </w:r>
          </w:p>
        </w:tc>
      </w:tr>
      <w:tr w:rsidR="00542589" w:rsidRPr="00C9026A" w:rsidTr="00615134">
        <w:tc>
          <w:tcPr>
            <w:tcW w:w="7054" w:type="dxa"/>
            <w:tcBorders>
              <w:bottom w:val="single" w:sz="4" w:space="0" w:color="auto"/>
            </w:tcBorders>
            <w:vAlign w:val="center"/>
          </w:tcPr>
          <w:p w:rsidR="00542589" w:rsidRPr="00C9026A" w:rsidRDefault="00542589" w:rsidP="00A57A35">
            <w:pPr>
              <w:pStyle w:val="BodyText"/>
              <w:spacing w:before="60" w:after="60"/>
              <w:jc w:val="left"/>
              <w:rPr>
                <w:sz w:val="20"/>
                <w:lang w:val="en-GB"/>
              </w:rPr>
            </w:pPr>
            <w:r w:rsidRPr="00C9026A">
              <w:rPr>
                <w:sz w:val="20"/>
                <w:lang w:val="en-GB"/>
              </w:rPr>
              <w:t>Sequences of events leading to doses where death is likely to result</w:t>
            </w:r>
          </w:p>
        </w:tc>
        <w:tc>
          <w:tcPr>
            <w:tcW w:w="2126" w:type="dxa"/>
            <w:tcBorders>
              <w:bottom w:val="single" w:sz="4" w:space="0" w:color="auto"/>
            </w:tcBorders>
            <w:vAlign w:val="center"/>
          </w:tcPr>
          <w:p w:rsidR="00542589" w:rsidRPr="00C9026A" w:rsidRDefault="00542589" w:rsidP="00A57A35">
            <w:pPr>
              <w:pStyle w:val="BodyText"/>
              <w:spacing w:after="60" w:line="276" w:lineRule="auto"/>
              <w:contextualSpacing/>
              <w:jc w:val="center"/>
              <w:rPr>
                <w:sz w:val="20"/>
                <w:lang w:val="en-GB"/>
              </w:rPr>
            </w:pPr>
            <w:r w:rsidRPr="00C9026A">
              <w:rPr>
                <w:sz w:val="20"/>
                <w:lang w:val="en-GB"/>
              </w:rPr>
              <w:t>&lt; 10</w:t>
            </w:r>
            <w:r w:rsidRPr="00C9026A">
              <w:rPr>
                <w:sz w:val="20"/>
                <w:vertAlign w:val="superscript"/>
                <w:lang w:val="en-GB"/>
              </w:rPr>
              <w:noBreakHyphen/>
              <w:t>6</w:t>
            </w:r>
          </w:p>
        </w:tc>
      </w:tr>
    </w:tbl>
    <w:p w:rsidR="0037506C" w:rsidRPr="00C9026A" w:rsidRDefault="0037506C" w:rsidP="00A57A35">
      <w:pPr>
        <w:pStyle w:val="BodyText"/>
        <w:rPr>
          <w:lang w:val="en-GB"/>
        </w:rPr>
      </w:pPr>
    </w:p>
    <w:p w:rsidR="00797636" w:rsidRPr="00C9026A" w:rsidRDefault="00797636" w:rsidP="00A57A35">
      <w:pPr>
        <w:pStyle w:val="ReferenceHeading"/>
        <w:spacing w:after="480"/>
        <w:rPr>
          <w:lang w:val="en-GB"/>
        </w:rPr>
        <w:sectPr w:rsidR="00797636" w:rsidRPr="00C9026A" w:rsidSect="000D2AC8">
          <w:type w:val="oddPage"/>
          <w:pgSz w:w="11907" w:h="16840" w:code="9"/>
          <w:pgMar w:top="1134" w:right="1418" w:bottom="1531" w:left="1418" w:header="709" w:footer="709" w:gutter="0"/>
          <w:cols w:space="720"/>
          <w:docGrid w:linePitch="360"/>
        </w:sectPr>
      </w:pPr>
    </w:p>
    <w:p w:rsidR="00797636" w:rsidRPr="00BD0D6A" w:rsidRDefault="00797636" w:rsidP="00A57A35">
      <w:pPr>
        <w:pStyle w:val="ReferenceHeading"/>
        <w:spacing w:after="480"/>
        <w:rPr>
          <w:sz w:val="28"/>
          <w:szCs w:val="28"/>
          <w:lang w:val="en-GB"/>
        </w:rPr>
      </w:pPr>
      <w:bookmarkStart w:id="95" w:name="_Toc447613502"/>
      <w:bookmarkStart w:id="96" w:name="_Toc450204025"/>
      <w:r w:rsidRPr="00BD0D6A">
        <w:rPr>
          <w:sz w:val="28"/>
          <w:szCs w:val="28"/>
          <w:lang w:val="en-GB"/>
        </w:rPr>
        <w:lastRenderedPageBreak/>
        <w:t>REFERENCES</w:t>
      </w:r>
      <w:bookmarkEnd w:id="95"/>
      <w:bookmarkEnd w:id="96"/>
    </w:p>
    <w:tbl>
      <w:tblPr>
        <w:tblW w:w="0" w:type="auto"/>
        <w:tblLayout w:type="fixed"/>
        <w:tblLook w:val="0000" w:firstRow="0" w:lastRow="0" w:firstColumn="0" w:lastColumn="0" w:noHBand="0" w:noVBand="0"/>
      </w:tblPr>
      <w:tblGrid>
        <w:gridCol w:w="988"/>
        <w:gridCol w:w="8192"/>
      </w:tblGrid>
      <w:tr w:rsidR="009F69CD" w:rsidRPr="00C9026A" w:rsidTr="007912DC">
        <w:trPr>
          <w:cantSplit/>
        </w:trPr>
        <w:tc>
          <w:tcPr>
            <w:tcW w:w="988" w:type="dxa"/>
          </w:tcPr>
          <w:p w:rsidR="009F69CD" w:rsidRPr="00C9026A" w:rsidRDefault="009F69CD" w:rsidP="00A57A35">
            <w:pPr>
              <w:pStyle w:val="IAEAReferenceText"/>
              <w:overflowPunct w:val="0"/>
              <w:autoSpaceDE w:val="0"/>
              <w:autoSpaceDN w:val="0"/>
              <w:adjustRightInd w:val="0"/>
              <w:textAlignment w:val="baseline"/>
              <w:rPr>
                <w:lang w:val="en-GB"/>
              </w:rPr>
            </w:pPr>
            <w:r w:rsidRPr="00C9026A">
              <w:rPr>
                <w:lang w:val="en-GB"/>
              </w:rPr>
              <w:t>[1]</w:t>
            </w:r>
          </w:p>
        </w:tc>
        <w:tc>
          <w:tcPr>
            <w:tcW w:w="8192" w:type="dxa"/>
          </w:tcPr>
          <w:p w:rsidR="009F69CD" w:rsidRPr="00C9026A" w:rsidRDefault="00A25BCF" w:rsidP="00A57A35">
            <w:pPr>
              <w:pStyle w:val="IAEAReferenceText"/>
              <w:ind w:right="-108"/>
              <w:rPr>
                <w:lang w:val="en-GB"/>
              </w:rPr>
            </w:pPr>
            <w:r w:rsidRPr="00C9026A">
              <w:rPr>
                <w:lang w:val="en-GB"/>
              </w:rPr>
              <w:t>EUROPEAN COMMISSION, FOOD AND AGRICULTURE ORGANIZATION OF THE UNITED NATIONS, INTERNATIONAL ATOMIC ENERGY AGENCY, INTERNATIONAL LABOUR ORGANIZATION, OECD NUCLEAR ENERGY AGENCY, PAN AMERICAN HEALTH ORGANIZATION, UNITED NATIONS ENVIRONMENT PROGRAMME, WORLD HEALTH ORGANIZATION, Radiation Protection and Safety of Radiation Sources: International Basic Safety Standards, IAEA Safety Standards Series No. GSR Part</w:t>
            </w:r>
            <w:r w:rsidR="00995D84" w:rsidRPr="00C9026A">
              <w:rPr>
                <w:lang w:val="en-GB"/>
              </w:rPr>
              <w:t> </w:t>
            </w:r>
            <w:r w:rsidRPr="00C9026A">
              <w:rPr>
                <w:lang w:val="en-GB"/>
              </w:rPr>
              <w:t>3, IAEA, Vienna (2014)</w:t>
            </w:r>
            <w:r w:rsidR="009F69CD" w:rsidRPr="00C9026A">
              <w:rPr>
                <w:lang w:val="en-GB"/>
              </w:rPr>
              <w:t>.</w:t>
            </w:r>
          </w:p>
        </w:tc>
      </w:tr>
      <w:tr w:rsidR="009F69CD" w:rsidRPr="00C9026A" w:rsidTr="007912DC">
        <w:trPr>
          <w:cantSplit/>
        </w:trPr>
        <w:tc>
          <w:tcPr>
            <w:tcW w:w="988" w:type="dxa"/>
          </w:tcPr>
          <w:p w:rsidR="009F69CD" w:rsidRPr="00C9026A" w:rsidRDefault="009F69CD" w:rsidP="00A57A35">
            <w:pPr>
              <w:pStyle w:val="IAEAReferenceText"/>
              <w:rPr>
                <w:lang w:val="en-GB"/>
              </w:rPr>
            </w:pPr>
            <w:r w:rsidRPr="00C9026A">
              <w:rPr>
                <w:lang w:val="en-GB"/>
              </w:rPr>
              <w:t>[2]</w:t>
            </w:r>
          </w:p>
        </w:tc>
        <w:tc>
          <w:tcPr>
            <w:tcW w:w="8192" w:type="dxa"/>
          </w:tcPr>
          <w:p w:rsidR="009F69CD" w:rsidRPr="00C9026A" w:rsidRDefault="009F69CD" w:rsidP="00A57A35">
            <w:pPr>
              <w:pStyle w:val="IAEAReferenceText"/>
              <w:spacing w:line="276" w:lineRule="auto"/>
              <w:ind w:right="-108"/>
              <w:contextualSpacing/>
              <w:rPr>
                <w:lang w:val="en-GB"/>
              </w:rPr>
            </w:pPr>
            <w:r w:rsidRPr="00C9026A">
              <w:rPr>
                <w:lang w:val="en-GB"/>
              </w:rPr>
              <w:t>EUROPEAN ATOMIC ENERGY COMMUNITY, FOOD AND AGRICULTURE ORGANIZATION OF THE UNITED NATIONS, INTERNATIONAL ATOMIC ENERGY AGENCY, INTERNATIONAL LABOUR ORGANIZATION, INTERNATIONAL MARITIME ORGANIZATION, OECD NUCLEAR ENERGY AGENCY, PAN AMERICAN HEALTH ORGANIZATION, UNITED NATIONS ENVIRONMENT PROGRAMME, WORLD HEALTH ORGANIZATION, Fundamental Safety Principles, IAEA Safety Standards Series No. SF</w:t>
            </w:r>
            <w:r w:rsidR="003A7501">
              <w:rPr>
                <w:lang w:val="en-GB"/>
              </w:rPr>
              <w:t>-</w:t>
            </w:r>
            <w:r w:rsidRPr="00C9026A">
              <w:rPr>
                <w:lang w:val="en-GB"/>
              </w:rPr>
              <w:t>1, IAEA, Vienna (2006).</w:t>
            </w:r>
          </w:p>
        </w:tc>
      </w:tr>
      <w:tr w:rsidR="009F69CD" w:rsidRPr="00C9026A" w:rsidTr="007912DC">
        <w:trPr>
          <w:cantSplit/>
        </w:trPr>
        <w:tc>
          <w:tcPr>
            <w:tcW w:w="988" w:type="dxa"/>
          </w:tcPr>
          <w:p w:rsidR="009F69CD" w:rsidRPr="00C9026A" w:rsidRDefault="009F69CD" w:rsidP="00A57A35">
            <w:pPr>
              <w:pStyle w:val="IAEAReferenceText"/>
              <w:rPr>
                <w:lang w:val="en-GB"/>
              </w:rPr>
            </w:pPr>
            <w:r w:rsidRPr="00C9026A">
              <w:rPr>
                <w:lang w:val="en-GB"/>
              </w:rPr>
              <w:t>[3]</w:t>
            </w:r>
          </w:p>
        </w:tc>
        <w:tc>
          <w:tcPr>
            <w:tcW w:w="8192" w:type="dxa"/>
          </w:tcPr>
          <w:p w:rsidR="009F69CD" w:rsidRPr="00C9026A" w:rsidRDefault="009F69CD" w:rsidP="00A57A35">
            <w:pPr>
              <w:pStyle w:val="IAEAReferenceText"/>
              <w:ind w:right="-108"/>
              <w:rPr>
                <w:lang w:val="en-GB"/>
              </w:rPr>
            </w:pPr>
            <w:r w:rsidRPr="00C9026A">
              <w:rPr>
                <w:lang w:val="en-GB"/>
              </w:rPr>
              <w:t>INTERNATIONAL COMMISSION ON RADIOLOGICAL PROTECTION, The 2007 Recommendations of the International Commission on Radiological Protection’, ICRP Publication 103, Elsevier (2007).</w:t>
            </w:r>
          </w:p>
        </w:tc>
      </w:tr>
      <w:tr w:rsidR="00FB4013" w:rsidRPr="00C9026A" w:rsidTr="007912DC">
        <w:trPr>
          <w:cantSplit/>
        </w:trPr>
        <w:tc>
          <w:tcPr>
            <w:tcW w:w="988" w:type="dxa"/>
          </w:tcPr>
          <w:p w:rsidR="00FB4013" w:rsidRPr="00C9026A" w:rsidRDefault="00FB4013" w:rsidP="00A57A35">
            <w:pPr>
              <w:pStyle w:val="IAEAReferenceText"/>
              <w:rPr>
                <w:lang w:val="en-GB"/>
              </w:rPr>
            </w:pPr>
            <w:r w:rsidRPr="00C9026A">
              <w:rPr>
                <w:lang w:val="en-GB"/>
              </w:rPr>
              <w:t>[4]</w:t>
            </w:r>
          </w:p>
        </w:tc>
        <w:tc>
          <w:tcPr>
            <w:tcW w:w="8192" w:type="dxa"/>
          </w:tcPr>
          <w:p w:rsidR="00FB4013" w:rsidRPr="00C9026A" w:rsidRDefault="00FB4013" w:rsidP="00A57A35">
            <w:pPr>
              <w:pStyle w:val="IAEAReferenceText"/>
              <w:ind w:right="-108"/>
              <w:rPr>
                <w:lang w:val="en-GB"/>
              </w:rPr>
            </w:pPr>
            <w:r w:rsidRPr="00C9026A">
              <w:rPr>
                <w:lang w:val="en-GB"/>
              </w:rPr>
              <w:t xml:space="preserve">INTERNATIONAL ATOMIC ENERGY AGENCY, </w:t>
            </w:r>
            <w:r w:rsidR="00BA768E">
              <w:rPr>
                <w:lang w:val="en-GB"/>
              </w:rPr>
              <w:t xml:space="preserve">IAEA Safety Glossary: </w:t>
            </w:r>
            <w:r w:rsidRPr="00C9026A">
              <w:rPr>
                <w:lang w:val="en-GB"/>
              </w:rPr>
              <w:t>Terminology Used in Nuclear Safety and Radiation Protection</w:t>
            </w:r>
            <w:r w:rsidR="00BA768E">
              <w:rPr>
                <w:lang w:val="en-GB"/>
              </w:rPr>
              <w:t>,</w:t>
            </w:r>
            <w:r w:rsidRPr="00C9026A">
              <w:rPr>
                <w:lang w:val="en-GB"/>
              </w:rPr>
              <w:t xml:space="preserve"> 2007 Edition, IAEA, Vienna (2007).</w:t>
            </w:r>
          </w:p>
        </w:tc>
      </w:tr>
      <w:tr w:rsidR="00AB4613" w:rsidRPr="00C9026A" w:rsidTr="00935F0E">
        <w:trPr>
          <w:cantSplit/>
        </w:trPr>
        <w:tc>
          <w:tcPr>
            <w:tcW w:w="988" w:type="dxa"/>
          </w:tcPr>
          <w:p w:rsidR="00AB4613" w:rsidRPr="00C9026A" w:rsidRDefault="00AB4613" w:rsidP="00A57A35">
            <w:pPr>
              <w:pStyle w:val="IAEAReferenceText"/>
              <w:rPr>
                <w:lang w:val="en-GB"/>
              </w:rPr>
            </w:pPr>
            <w:r w:rsidRPr="00C9026A">
              <w:rPr>
                <w:lang w:val="en-GB"/>
              </w:rPr>
              <w:t>[5]</w:t>
            </w:r>
          </w:p>
        </w:tc>
        <w:tc>
          <w:tcPr>
            <w:tcW w:w="8192" w:type="dxa"/>
          </w:tcPr>
          <w:p w:rsidR="00AB4613" w:rsidRPr="00C9026A" w:rsidRDefault="00AB4613" w:rsidP="00A57A35">
            <w:pPr>
              <w:pStyle w:val="IAEAReferenceText"/>
              <w:ind w:right="-108"/>
              <w:rPr>
                <w:lang w:val="en-GB"/>
              </w:rPr>
            </w:pPr>
            <w:r w:rsidRPr="00C9026A">
              <w:rPr>
                <w:lang w:val="en-GB"/>
              </w:rPr>
              <w:t xml:space="preserve">INTERNATIONAL ATOMIC ENERGY AGENCY, Safety Assessment for Facilities and Activities, </w:t>
            </w:r>
            <w:r w:rsidR="002930F3">
              <w:rPr>
                <w:lang w:val="en-GB"/>
              </w:rPr>
              <w:t>IAEA Safety Standards Series</w:t>
            </w:r>
            <w:r w:rsidR="00A4244F">
              <w:rPr>
                <w:lang w:val="en-GB"/>
              </w:rPr>
              <w:t xml:space="preserve"> </w:t>
            </w:r>
            <w:r w:rsidRPr="00C9026A">
              <w:rPr>
                <w:lang w:val="en-GB"/>
              </w:rPr>
              <w:t>No. GSR Part 4</w:t>
            </w:r>
            <w:r w:rsidR="00A473E5">
              <w:rPr>
                <w:lang w:val="en-GB"/>
              </w:rPr>
              <w:t xml:space="preserve"> </w:t>
            </w:r>
            <w:r w:rsidR="002930F3">
              <w:rPr>
                <w:lang w:val="en-GB"/>
              </w:rPr>
              <w:t>(</w:t>
            </w:r>
            <w:r w:rsidR="00A473E5">
              <w:rPr>
                <w:lang w:val="en-GB"/>
              </w:rPr>
              <w:t>Rev</w:t>
            </w:r>
            <w:r w:rsidR="002930F3">
              <w:rPr>
                <w:lang w:val="en-GB"/>
              </w:rPr>
              <w:t>.</w:t>
            </w:r>
            <w:r w:rsidR="00A473E5">
              <w:rPr>
                <w:lang w:val="en-GB"/>
              </w:rPr>
              <w:t xml:space="preserve"> 1</w:t>
            </w:r>
            <w:r w:rsidR="002930F3">
              <w:rPr>
                <w:lang w:val="en-GB"/>
              </w:rPr>
              <w:t>),</w:t>
            </w:r>
            <w:r w:rsidRPr="00C9026A">
              <w:rPr>
                <w:lang w:val="en-GB"/>
              </w:rPr>
              <w:t xml:space="preserve"> IAEA, Vienna (</w:t>
            </w:r>
            <w:r w:rsidR="00A473E5" w:rsidRPr="00C9026A">
              <w:rPr>
                <w:lang w:val="en-GB"/>
              </w:rPr>
              <w:t>20</w:t>
            </w:r>
            <w:r w:rsidR="00A473E5">
              <w:rPr>
                <w:lang w:val="en-GB"/>
              </w:rPr>
              <w:t>1</w:t>
            </w:r>
            <w:r w:rsidR="002930F3">
              <w:rPr>
                <w:lang w:val="en-GB"/>
              </w:rPr>
              <w:t>6</w:t>
            </w:r>
            <w:r w:rsidRPr="00C9026A">
              <w:rPr>
                <w:lang w:val="en-GB"/>
              </w:rPr>
              <w:t>).</w:t>
            </w:r>
          </w:p>
        </w:tc>
      </w:tr>
      <w:tr w:rsidR="00B86454" w:rsidRPr="00C9026A" w:rsidTr="00935F0E">
        <w:trPr>
          <w:cantSplit/>
        </w:trPr>
        <w:tc>
          <w:tcPr>
            <w:tcW w:w="988" w:type="dxa"/>
          </w:tcPr>
          <w:p w:rsidR="00B86454" w:rsidRPr="00C9026A" w:rsidRDefault="00B86454" w:rsidP="00A57A35">
            <w:pPr>
              <w:pStyle w:val="IAEAReferenceText"/>
              <w:rPr>
                <w:lang w:val="en-GB"/>
              </w:rPr>
            </w:pPr>
            <w:r w:rsidRPr="00C9026A">
              <w:rPr>
                <w:lang w:val="en-GB"/>
              </w:rPr>
              <w:t>[</w:t>
            </w:r>
            <w:r>
              <w:rPr>
                <w:lang w:val="en-GB"/>
              </w:rPr>
              <w:t>6</w:t>
            </w:r>
            <w:r w:rsidRPr="00C9026A">
              <w:rPr>
                <w:lang w:val="en-GB"/>
              </w:rPr>
              <w:t>]</w:t>
            </w:r>
          </w:p>
        </w:tc>
        <w:tc>
          <w:tcPr>
            <w:tcW w:w="8192" w:type="dxa"/>
          </w:tcPr>
          <w:p w:rsidR="00B86454" w:rsidRPr="00C9026A" w:rsidRDefault="00B86454" w:rsidP="00A57A35">
            <w:pPr>
              <w:pStyle w:val="IAEAReferenceText"/>
              <w:ind w:right="-108"/>
              <w:rPr>
                <w:lang w:val="en-GB"/>
              </w:rPr>
            </w:pPr>
            <w:r w:rsidRPr="007E60CF">
              <w:rPr>
                <w:szCs w:val="24"/>
              </w:rPr>
              <w:t xml:space="preserve">COMPREHENSIVE NUCLEAR-TEST-BAN TREATY ORGANIZATION, FOOD AND AGRICULTURE ORGANIZATION OF THE UNITED NATIONS, </w:t>
            </w:r>
            <w:r w:rsidRPr="005E005F">
              <w:rPr>
                <w:szCs w:val="24"/>
                <w:lang w:val="en-GB"/>
              </w:rPr>
              <w:t xml:space="preserve">INTERNATIONAL ATOMIC ENERGY AGENCY, </w:t>
            </w:r>
            <w:r w:rsidRPr="007E60CF">
              <w:rPr>
                <w:szCs w:val="24"/>
              </w:rPr>
              <w:t>INTERNATIONAL CIVIL AVIATION ORGANIZATION, INTERNATIONAL LABOUR ORGANIZATION, INTERNATIONAL MARITIME ORGANIZATION, INTERPOL, OECD NUCLEAR ENERGY AGENCY, PAN AMERICAN HEALTH ORGANIZATION, UNITED NATIONS ENVIRONMENT PROGRAMME, UNITED NATIONS OFFICE FOR THE CO-ORDINATION OF HUMANITARIAN AFFAIRS, WORLD HEALTH ORGANIZATION, WORLD METEOROLOGICAL ORGANIZATION,</w:t>
            </w:r>
            <w:r w:rsidRPr="00453B85">
              <w:rPr>
                <w:sz w:val="22"/>
              </w:rPr>
              <w:t xml:space="preserve"> </w:t>
            </w:r>
            <w:r w:rsidRPr="00C9026A">
              <w:rPr>
                <w:lang w:val="en-GB"/>
              </w:rPr>
              <w:t xml:space="preserve">Preparedness and Response for a Nuclear or Radiological Emergency, </w:t>
            </w:r>
            <w:r>
              <w:rPr>
                <w:lang w:val="en-GB"/>
              </w:rPr>
              <w:t>IAEA Safety Standards Series No.</w:t>
            </w:r>
            <w:r w:rsidRPr="00C9026A">
              <w:rPr>
                <w:lang w:val="en-GB"/>
              </w:rPr>
              <w:t xml:space="preserve"> Part 7, IAEA, Vienna (</w:t>
            </w:r>
            <w:r>
              <w:rPr>
                <w:lang w:val="en-GB"/>
              </w:rPr>
              <w:t>2015</w:t>
            </w:r>
            <w:r w:rsidRPr="00C9026A">
              <w:rPr>
                <w:lang w:val="en-GB"/>
              </w:rPr>
              <w:t>).</w:t>
            </w:r>
          </w:p>
        </w:tc>
      </w:tr>
      <w:tr w:rsidR="00B86454" w:rsidRPr="00C9026A" w:rsidTr="007912DC">
        <w:trPr>
          <w:cantSplit/>
        </w:trPr>
        <w:tc>
          <w:tcPr>
            <w:tcW w:w="988" w:type="dxa"/>
          </w:tcPr>
          <w:p w:rsidR="00B86454" w:rsidRPr="00C9026A" w:rsidRDefault="00B86454" w:rsidP="00A57A35">
            <w:pPr>
              <w:pStyle w:val="IAEAReferenceText"/>
              <w:rPr>
                <w:lang w:val="en-GB"/>
              </w:rPr>
            </w:pPr>
            <w:r w:rsidRPr="00C9026A">
              <w:rPr>
                <w:lang w:val="en-GB"/>
              </w:rPr>
              <w:t>[</w:t>
            </w:r>
            <w:r>
              <w:rPr>
                <w:lang w:val="en-GB"/>
              </w:rPr>
              <w:t>7</w:t>
            </w:r>
            <w:r w:rsidRPr="00C9026A">
              <w:rPr>
                <w:lang w:val="en-GB"/>
              </w:rPr>
              <w:t>]</w:t>
            </w:r>
          </w:p>
        </w:tc>
        <w:tc>
          <w:tcPr>
            <w:tcW w:w="8192" w:type="dxa"/>
          </w:tcPr>
          <w:p w:rsidR="00B86454" w:rsidRPr="00C9026A" w:rsidRDefault="00B86454" w:rsidP="00A57A35">
            <w:pPr>
              <w:pStyle w:val="IAEAReferenceText"/>
              <w:ind w:right="-108"/>
              <w:rPr>
                <w:lang w:val="en-GB"/>
              </w:rPr>
            </w:pPr>
            <w:r w:rsidRPr="00C9026A">
              <w:rPr>
                <w:lang w:val="en-GB"/>
              </w:rPr>
              <w:t xml:space="preserve">INTERNATIONAL ATOMIC ENERGY AGENCY, Radiation Protection of the Public and </w:t>
            </w:r>
            <w:r>
              <w:rPr>
                <w:lang w:val="en-GB"/>
              </w:rPr>
              <w:t>Protection</w:t>
            </w:r>
            <w:r w:rsidRPr="00C9026A">
              <w:rPr>
                <w:lang w:val="en-GB"/>
              </w:rPr>
              <w:t xml:space="preserve"> </w:t>
            </w:r>
            <w:r>
              <w:rPr>
                <w:lang w:val="en-GB"/>
              </w:rPr>
              <w:t xml:space="preserve">of the </w:t>
            </w:r>
            <w:r w:rsidRPr="00C9026A">
              <w:rPr>
                <w:lang w:val="en-GB"/>
              </w:rPr>
              <w:t>Environment,</w:t>
            </w:r>
            <w:r>
              <w:rPr>
                <w:lang w:val="en-GB"/>
              </w:rPr>
              <w:t xml:space="preserve"> IAEA Safety Standards Series,</w:t>
            </w:r>
            <w:r w:rsidRPr="00C9026A">
              <w:rPr>
                <w:lang w:val="en-GB"/>
              </w:rPr>
              <w:t xml:space="preserve"> IAEA, Vienna (</w:t>
            </w:r>
            <w:r>
              <w:rPr>
                <w:lang w:val="en-GB"/>
              </w:rPr>
              <w:t>in preparation</w:t>
            </w:r>
            <w:r w:rsidRPr="00C9026A">
              <w:rPr>
                <w:lang w:val="en-GB"/>
              </w:rPr>
              <w:t>).</w:t>
            </w:r>
            <w:r>
              <w:rPr>
                <w:lang w:val="en-GB"/>
              </w:rPr>
              <w:t>[DS432]</w:t>
            </w:r>
          </w:p>
        </w:tc>
      </w:tr>
      <w:tr w:rsidR="00B86454" w:rsidRPr="00C9026A" w:rsidTr="007912DC">
        <w:trPr>
          <w:cantSplit/>
        </w:trPr>
        <w:tc>
          <w:tcPr>
            <w:tcW w:w="988" w:type="dxa"/>
          </w:tcPr>
          <w:p w:rsidR="00B86454" w:rsidRPr="00C9026A" w:rsidRDefault="00B86454" w:rsidP="00A57A35">
            <w:pPr>
              <w:pStyle w:val="IAEAReferenceText"/>
            </w:pPr>
            <w:r w:rsidRPr="00C9026A">
              <w:t>[</w:t>
            </w:r>
            <w:r>
              <w:t>8</w:t>
            </w:r>
            <w:r w:rsidRPr="00C9026A">
              <w:t>]</w:t>
            </w:r>
          </w:p>
        </w:tc>
        <w:tc>
          <w:tcPr>
            <w:tcW w:w="8192" w:type="dxa"/>
          </w:tcPr>
          <w:p w:rsidR="00B86454" w:rsidRPr="00C9026A" w:rsidRDefault="00B86454" w:rsidP="00A57A35">
            <w:pPr>
              <w:pStyle w:val="IAEAReferenceText"/>
              <w:ind w:right="-108"/>
            </w:pPr>
            <w:r w:rsidRPr="00C9026A">
              <w:rPr>
                <w:lang w:val="en-GB"/>
              </w:rPr>
              <w:t>FOOD AND AGRICULTURE ORGANIZATION OF THE UNITED NATIONS, INTERNATIONAL ATOMIC ENERGY AGENCY, INTERNATIONAL LABOUR ORGANIZATION, PAN AMERICAN HEALTH ORGANIZATION, WORLD HEALTH ORGANIZATION, Criteria for Use in Preparedness and Response for a Nuclear or Radiological Emergency, IAEA Safety Standards Series No. GSG-2, IAEA, Vienna (2011).</w:t>
            </w:r>
          </w:p>
        </w:tc>
      </w:tr>
      <w:tr w:rsidR="00B86454" w:rsidRPr="00C9026A" w:rsidTr="007912DC">
        <w:trPr>
          <w:cantSplit/>
        </w:trPr>
        <w:tc>
          <w:tcPr>
            <w:tcW w:w="988" w:type="dxa"/>
          </w:tcPr>
          <w:p w:rsidR="00B86454" w:rsidRPr="00C9026A" w:rsidRDefault="00B86454" w:rsidP="00A57A35">
            <w:pPr>
              <w:pStyle w:val="IAEAReferenceText"/>
              <w:rPr>
                <w:lang w:val="en-GB"/>
              </w:rPr>
            </w:pPr>
            <w:r w:rsidRPr="00C9026A">
              <w:rPr>
                <w:lang w:val="en-GB"/>
              </w:rPr>
              <w:lastRenderedPageBreak/>
              <w:t>[</w:t>
            </w:r>
            <w:r>
              <w:rPr>
                <w:lang w:val="en-GB"/>
              </w:rPr>
              <w:t>9</w:t>
            </w:r>
            <w:r w:rsidRPr="00C9026A">
              <w:rPr>
                <w:lang w:val="en-GB"/>
              </w:rPr>
              <w:t>]</w:t>
            </w:r>
          </w:p>
        </w:tc>
        <w:tc>
          <w:tcPr>
            <w:tcW w:w="8192" w:type="dxa"/>
          </w:tcPr>
          <w:p w:rsidR="00B86454" w:rsidRPr="00C9026A" w:rsidRDefault="00B86454" w:rsidP="00A57A35">
            <w:pPr>
              <w:pStyle w:val="IAEAReferenceText"/>
              <w:ind w:right="-108"/>
              <w:rPr>
                <w:lang w:val="en-GB"/>
              </w:rPr>
            </w:pPr>
            <w:r w:rsidRPr="00C9026A">
              <w:rPr>
                <w:lang w:val="en-GB"/>
              </w:rPr>
              <w:t>INTERNATIONAL ATOMIC ENERGY AGENCY, Regulatory Control of Radioactive Discharges to the Environment,</w:t>
            </w:r>
            <w:r>
              <w:rPr>
                <w:lang w:val="en-GB"/>
              </w:rPr>
              <w:t xml:space="preserve"> IAEA Safety Standards Series,</w:t>
            </w:r>
            <w:r w:rsidRPr="00C9026A">
              <w:rPr>
                <w:lang w:val="en-GB"/>
              </w:rPr>
              <w:t xml:space="preserve"> IAEA, Vienna (</w:t>
            </w:r>
            <w:r>
              <w:rPr>
                <w:lang w:val="en-GB"/>
              </w:rPr>
              <w:t>in preparation</w:t>
            </w:r>
            <w:r w:rsidRPr="00C9026A">
              <w:rPr>
                <w:lang w:val="en-GB"/>
              </w:rPr>
              <w:t>).</w:t>
            </w:r>
            <w:r>
              <w:rPr>
                <w:lang w:val="en-GB"/>
              </w:rPr>
              <w:t>[DS442]</w:t>
            </w:r>
          </w:p>
        </w:tc>
      </w:tr>
      <w:tr w:rsidR="0022273C" w:rsidRPr="00C9026A" w:rsidTr="007912DC">
        <w:trPr>
          <w:cantSplit/>
        </w:trPr>
        <w:tc>
          <w:tcPr>
            <w:tcW w:w="988" w:type="dxa"/>
          </w:tcPr>
          <w:p w:rsidR="0022273C" w:rsidRPr="00C9026A" w:rsidRDefault="0022273C" w:rsidP="00782873">
            <w:pPr>
              <w:pStyle w:val="IAEAReferenceText"/>
              <w:rPr>
                <w:lang w:val="en-GB"/>
              </w:rPr>
            </w:pPr>
            <w:r w:rsidRPr="00C9026A">
              <w:rPr>
                <w:lang w:val="en-GB"/>
              </w:rPr>
              <w:t>[1</w:t>
            </w:r>
            <w:r w:rsidR="00782873">
              <w:rPr>
                <w:lang w:val="en-GB"/>
              </w:rPr>
              <w:t>0</w:t>
            </w:r>
            <w:r w:rsidRPr="00C9026A">
              <w:rPr>
                <w:lang w:val="en-GB"/>
              </w:rPr>
              <w:t>]</w:t>
            </w:r>
          </w:p>
        </w:tc>
        <w:tc>
          <w:tcPr>
            <w:tcW w:w="8192" w:type="dxa"/>
          </w:tcPr>
          <w:p w:rsidR="0022273C" w:rsidRPr="00C9026A" w:rsidRDefault="0022273C" w:rsidP="00D77D8D">
            <w:pPr>
              <w:pStyle w:val="IAEAReferenceText"/>
              <w:ind w:right="-108"/>
              <w:rPr>
                <w:lang w:val="en-GB"/>
              </w:rPr>
            </w:pPr>
            <w:r w:rsidRPr="00C9026A">
              <w:rPr>
                <w:lang w:val="en-GB"/>
              </w:rPr>
              <w:t>INTERNATIONAL ATOMIC ENERGY AGENCY, Generic Models for Use in Assessing the Impact of Discharges of Radioactive Substances to the Environment, Safety Report</w:t>
            </w:r>
            <w:r w:rsidR="008C0F99">
              <w:rPr>
                <w:lang w:val="en-GB"/>
              </w:rPr>
              <w:t>s</w:t>
            </w:r>
            <w:r w:rsidRPr="00C9026A">
              <w:rPr>
                <w:lang w:val="en-GB"/>
              </w:rPr>
              <w:t xml:space="preserve"> Series No. 19, IAEA, Vienna (2001).</w:t>
            </w:r>
            <w:r w:rsidR="008C0F99">
              <w:rPr>
                <w:lang w:val="en-GB"/>
              </w:rPr>
              <w:t>(A revision of this publication is in preparation)</w:t>
            </w:r>
            <w:r w:rsidR="00D77D8D">
              <w:rPr>
                <w:lang w:val="en-GB"/>
              </w:rPr>
              <w:t>.</w:t>
            </w:r>
          </w:p>
        </w:tc>
      </w:tr>
      <w:tr w:rsidR="0022273C" w:rsidRPr="00C9026A" w:rsidTr="007912DC">
        <w:trPr>
          <w:cantSplit/>
        </w:trPr>
        <w:tc>
          <w:tcPr>
            <w:tcW w:w="988" w:type="dxa"/>
          </w:tcPr>
          <w:p w:rsidR="0022273C" w:rsidRPr="00C9026A" w:rsidRDefault="0022273C" w:rsidP="00782873">
            <w:pPr>
              <w:pStyle w:val="IAEAReferenceText"/>
              <w:rPr>
                <w:lang w:val="en-GB"/>
              </w:rPr>
            </w:pPr>
            <w:r w:rsidRPr="00C9026A">
              <w:rPr>
                <w:lang w:val="en-GB"/>
              </w:rPr>
              <w:t>[1</w:t>
            </w:r>
            <w:r w:rsidR="00782873">
              <w:rPr>
                <w:lang w:val="en-GB"/>
              </w:rPr>
              <w:t>1</w:t>
            </w:r>
            <w:r w:rsidRPr="00C9026A">
              <w:rPr>
                <w:lang w:val="en-GB"/>
              </w:rPr>
              <w:t>]</w:t>
            </w:r>
          </w:p>
        </w:tc>
        <w:tc>
          <w:tcPr>
            <w:tcW w:w="8192" w:type="dxa"/>
          </w:tcPr>
          <w:p w:rsidR="0022273C" w:rsidRPr="00C9026A" w:rsidRDefault="0022273C" w:rsidP="00A57A35">
            <w:pPr>
              <w:pStyle w:val="IAEAReferenceText"/>
              <w:ind w:right="-108"/>
              <w:rPr>
                <w:lang w:val="en-GB"/>
              </w:rPr>
            </w:pPr>
            <w:r w:rsidRPr="00C9026A">
              <w:rPr>
                <w:lang w:val="en-GB"/>
              </w:rPr>
              <w:t>INTERNATIONAL ATOMIC ENERGY AGENCY, Handbook of parameter values for the prediction of radionuclide transfer in terrestrial and freshwater environments, Technical Reports Series No. 472, IAEA, Vienna (2010).</w:t>
            </w:r>
          </w:p>
        </w:tc>
      </w:tr>
      <w:tr w:rsidR="0022273C" w:rsidRPr="00C9026A" w:rsidTr="00935F0E">
        <w:trPr>
          <w:cantSplit/>
        </w:trPr>
        <w:tc>
          <w:tcPr>
            <w:tcW w:w="988" w:type="dxa"/>
          </w:tcPr>
          <w:p w:rsidR="0022273C" w:rsidRPr="00C9026A" w:rsidRDefault="0022273C" w:rsidP="00782873">
            <w:pPr>
              <w:pStyle w:val="IAEAReferenceText"/>
              <w:rPr>
                <w:lang w:val="en-GB"/>
              </w:rPr>
            </w:pPr>
            <w:r w:rsidRPr="00C9026A">
              <w:rPr>
                <w:lang w:val="en-GB"/>
              </w:rPr>
              <w:t>[1</w:t>
            </w:r>
            <w:r w:rsidR="00782873">
              <w:rPr>
                <w:lang w:val="en-GB"/>
              </w:rPr>
              <w:t>2</w:t>
            </w:r>
            <w:r w:rsidRPr="00C9026A">
              <w:rPr>
                <w:lang w:val="en-GB"/>
              </w:rPr>
              <w:t>]</w:t>
            </w:r>
          </w:p>
        </w:tc>
        <w:tc>
          <w:tcPr>
            <w:tcW w:w="8192" w:type="dxa"/>
          </w:tcPr>
          <w:p w:rsidR="0022273C" w:rsidRPr="00C9026A" w:rsidRDefault="0022273C" w:rsidP="00A57A35">
            <w:pPr>
              <w:pStyle w:val="IAEAReferenceText"/>
              <w:ind w:right="-108"/>
              <w:rPr>
                <w:lang w:val="en-GB"/>
              </w:rPr>
            </w:pPr>
            <w:r w:rsidRPr="00C9026A">
              <w:rPr>
                <w:lang w:val="en-GB"/>
              </w:rPr>
              <w:t>INTERNATIONAL ATOMIC ENERGY AGENCY, Sediment Distribution Coefficients and Concentration Factors for Biota in the Marine Environment, Technical Reports Series No. 422, IAEA, Vienna (2004).</w:t>
            </w:r>
          </w:p>
        </w:tc>
      </w:tr>
      <w:tr w:rsidR="00782873" w:rsidRPr="00C9026A" w:rsidTr="00935F0E">
        <w:trPr>
          <w:cantSplit/>
        </w:trPr>
        <w:tc>
          <w:tcPr>
            <w:tcW w:w="988" w:type="dxa"/>
          </w:tcPr>
          <w:p w:rsidR="00782873" w:rsidRPr="00C9026A" w:rsidRDefault="00782873" w:rsidP="00782873">
            <w:pPr>
              <w:pStyle w:val="IAEAReferenceText"/>
              <w:rPr>
                <w:lang w:val="en-GB"/>
              </w:rPr>
            </w:pPr>
            <w:r w:rsidRPr="00C9026A">
              <w:rPr>
                <w:lang w:val="en-GB"/>
              </w:rPr>
              <w:t>[</w:t>
            </w:r>
            <w:r>
              <w:rPr>
                <w:lang w:val="en-GB"/>
              </w:rPr>
              <w:t>13</w:t>
            </w:r>
            <w:r w:rsidRPr="00C9026A">
              <w:rPr>
                <w:lang w:val="en-GB"/>
              </w:rPr>
              <w:t>]</w:t>
            </w:r>
          </w:p>
        </w:tc>
        <w:tc>
          <w:tcPr>
            <w:tcW w:w="8192" w:type="dxa"/>
          </w:tcPr>
          <w:p w:rsidR="00782873" w:rsidRPr="00C9026A" w:rsidRDefault="00782873" w:rsidP="00A57A35">
            <w:pPr>
              <w:pStyle w:val="IAEAReferenceText"/>
              <w:ind w:right="-108"/>
              <w:rPr>
                <w:lang w:val="en-GB"/>
              </w:rPr>
            </w:pPr>
            <w:r w:rsidRPr="00C9026A">
              <w:t xml:space="preserve">INTERNATIONAL ATOMIC ENERGY AGENCY, The Safety Case and Safety Assessment for the Predisposal Management of Radioactive Waste, </w:t>
            </w:r>
            <w:r>
              <w:rPr>
                <w:lang w:val="en-GB"/>
              </w:rPr>
              <w:t>IAEA Safety Standards Series</w:t>
            </w:r>
            <w:r w:rsidRPr="00C9026A">
              <w:t xml:space="preserve"> No. GSG-3, IAEA. Vienna (2013).</w:t>
            </w:r>
          </w:p>
        </w:tc>
      </w:tr>
      <w:tr w:rsidR="00782873" w:rsidRPr="00C9026A" w:rsidTr="00935F0E">
        <w:trPr>
          <w:cantSplit/>
        </w:trPr>
        <w:tc>
          <w:tcPr>
            <w:tcW w:w="988" w:type="dxa"/>
          </w:tcPr>
          <w:p w:rsidR="00782873" w:rsidRPr="00C9026A" w:rsidRDefault="00782873" w:rsidP="00A57A35">
            <w:pPr>
              <w:pStyle w:val="IAEAReferenceText"/>
              <w:rPr>
                <w:lang w:val="en-GB"/>
              </w:rPr>
            </w:pPr>
            <w:r w:rsidRPr="00C9026A">
              <w:rPr>
                <w:lang w:val="en-GB"/>
              </w:rPr>
              <w:t>[1</w:t>
            </w:r>
            <w:r>
              <w:rPr>
                <w:lang w:val="en-GB"/>
              </w:rPr>
              <w:t>4</w:t>
            </w:r>
            <w:r w:rsidRPr="00C9026A">
              <w:rPr>
                <w:lang w:val="en-GB"/>
              </w:rPr>
              <w:t>]</w:t>
            </w:r>
          </w:p>
        </w:tc>
        <w:tc>
          <w:tcPr>
            <w:tcW w:w="8192" w:type="dxa"/>
          </w:tcPr>
          <w:p w:rsidR="00782873" w:rsidRPr="00C9026A" w:rsidRDefault="00782873" w:rsidP="00A57A35">
            <w:pPr>
              <w:pStyle w:val="IAEAReferenceText"/>
              <w:ind w:right="-108"/>
              <w:rPr>
                <w:lang w:val="en-GB"/>
              </w:rPr>
            </w:pPr>
            <w:r w:rsidRPr="00C9026A">
              <w:rPr>
                <w:lang w:val="en-GB"/>
              </w:rPr>
              <w:t>INTERNATIONAL ATOMIC ENERGY AGENCY, Safety Assessment for the Decommissioning of Facilities Using Radioactive Material</w:t>
            </w:r>
            <w:r>
              <w:rPr>
                <w:lang w:val="en-GB"/>
              </w:rPr>
              <w:t xml:space="preserve">, IAEA </w:t>
            </w:r>
            <w:r w:rsidRPr="00C9026A">
              <w:rPr>
                <w:lang w:val="en-GB"/>
              </w:rPr>
              <w:t xml:space="preserve">Safety </w:t>
            </w:r>
            <w:r>
              <w:rPr>
                <w:lang w:val="en-GB"/>
              </w:rPr>
              <w:t>Standards Series</w:t>
            </w:r>
            <w:r w:rsidRPr="00C9026A">
              <w:rPr>
                <w:lang w:val="en-GB"/>
              </w:rPr>
              <w:t xml:space="preserve"> No. WS</w:t>
            </w:r>
            <w:r>
              <w:rPr>
                <w:lang w:val="en-GB"/>
              </w:rPr>
              <w:t>-</w:t>
            </w:r>
            <w:r w:rsidRPr="00C9026A">
              <w:rPr>
                <w:lang w:val="en-GB"/>
              </w:rPr>
              <w:t>G-5.2, IAEA, Vienna (2008).</w:t>
            </w:r>
          </w:p>
        </w:tc>
      </w:tr>
      <w:tr w:rsidR="00717572" w:rsidRPr="00C9026A" w:rsidTr="00935F0E">
        <w:trPr>
          <w:cantSplit/>
        </w:trPr>
        <w:tc>
          <w:tcPr>
            <w:tcW w:w="988" w:type="dxa"/>
          </w:tcPr>
          <w:p w:rsidR="00717572" w:rsidRPr="00C9026A" w:rsidRDefault="00717572" w:rsidP="00A57A35">
            <w:pPr>
              <w:pStyle w:val="IAEAReferenceText"/>
              <w:rPr>
                <w:lang w:val="en-GB"/>
              </w:rPr>
            </w:pPr>
            <w:r>
              <w:rPr>
                <w:lang w:val="en-GB"/>
              </w:rPr>
              <w:t>[15]</w:t>
            </w:r>
          </w:p>
        </w:tc>
        <w:tc>
          <w:tcPr>
            <w:tcW w:w="8192" w:type="dxa"/>
          </w:tcPr>
          <w:p w:rsidR="00717572" w:rsidRPr="00C9026A" w:rsidRDefault="00717572" w:rsidP="00A57A35">
            <w:pPr>
              <w:pStyle w:val="IAEAReferenceText"/>
              <w:ind w:right="-108"/>
              <w:rPr>
                <w:lang w:val="en-GB"/>
              </w:rPr>
            </w:pPr>
            <w:r>
              <w:rPr>
                <w:lang w:val="en-GB"/>
              </w:rPr>
              <w:t>INTERNATIONAL ATOMIC ENERGY AGENCY, Disposal of Radioactive Waste, IAEA Safety Standards Series No. SSR-5, IAEA, Vienna (2011).</w:t>
            </w:r>
          </w:p>
        </w:tc>
      </w:tr>
      <w:tr w:rsidR="00782873" w:rsidRPr="00C9026A" w:rsidTr="007912DC">
        <w:trPr>
          <w:cantSplit/>
        </w:trPr>
        <w:tc>
          <w:tcPr>
            <w:tcW w:w="988" w:type="dxa"/>
          </w:tcPr>
          <w:p w:rsidR="00782873" w:rsidRPr="00C9026A" w:rsidRDefault="00782873" w:rsidP="00717572">
            <w:pPr>
              <w:pStyle w:val="IAEAReferenceText"/>
              <w:rPr>
                <w:lang w:val="en-GB"/>
              </w:rPr>
            </w:pPr>
            <w:r w:rsidRPr="00C9026A">
              <w:rPr>
                <w:lang w:val="en-GB"/>
              </w:rPr>
              <w:t>[1</w:t>
            </w:r>
            <w:r w:rsidR="00717572">
              <w:rPr>
                <w:lang w:val="en-GB"/>
              </w:rPr>
              <w:t>6</w:t>
            </w:r>
            <w:r w:rsidRPr="00C9026A">
              <w:rPr>
                <w:lang w:val="en-GB"/>
              </w:rPr>
              <w:t>]</w:t>
            </w:r>
          </w:p>
        </w:tc>
        <w:tc>
          <w:tcPr>
            <w:tcW w:w="8192" w:type="dxa"/>
          </w:tcPr>
          <w:p w:rsidR="00782873" w:rsidRPr="00C9026A" w:rsidRDefault="00782873" w:rsidP="00A57A35">
            <w:pPr>
              <w:pStyle w:val="IAEAReferenceText"/>
              <w:ind w:right="-108"/>
              <w:rPr>
                <w:lang w:val="en-GB"/>
              </w:rPr>
            </w:pPr>
            <w:r w:rsidRPr="00C9026A">
              <w:rPr>
                <w:lang w:val="en-GB"/>
              </w:rPr>
              <w:t>INTERNATIONAL ATOMIC ENERGY AGENCY, The Safety Case and Safety Assessment for the Disposal of Radioactive Waste, IAEA Safety Standards Series No. SSG-23, IAEA, Vienna (2012).</w:t>
            </w:r>
          </w:p>
        </w:tc>
      </w:tr>
      <w:tr w:rsidR="00782873" w:rsidRPr="00C9026A" w:rsidTr="007912DC">
        <w:trPr>
          <w:cantSplit/>
        </w:trPr>
        <w:tc>
          <w:tcPr>
            <w:tcW w:w="988" w:type="dxa"/>
          </w:tcPr>
          <w:p w:rsidR="00782873" w:rsidRPr="00C9026A" w:rsidRDefault="00782873" w:rsidP="00A57A35">
            <w:pPr>
              <w:pStyle w:val="IAEAReferenceText"/>
              <w:rPr>
                <w:lang w:val="en-GB"/>
              </w:rPr>
            </w:pPr>
            <w:r w:rsidRPr="00C9026A">
              <w:rPr>
                <w:lang w:val="en-GB"/>
              </w:rPr>
              <w:t>[1</w:t>
            </w:r>
            <w:r w:rsidR="00717572">
              <w:rPr>
                <w:lang w:val="en-GB"/>
              </w:rPr>
              <w:t>7</w:t>
            </w:r>
            <w:r w:rsidRPr="00C9026A">
              <w:rPr>
                <w:lang w:val="en-GB"/>
              </w:rPr>
              <w:t>]</w:t>
            </w:r>
          </w:p>
        </w:tc>
        <w:tc>
          <w:tcPr>
            <w:tcW w:w="8192" w:type="dxa"/>
          </w:tcPr>
          <w:p w:rsidR="00782873" w:rsidRPr="00C9026A" w:rsidRDefault="00782873" w:rsidP="00A57A35">
            <w:pPr>
              <w:pStyle w:val="IAEAReferenceText"/>
              <w:ind w:right="-108"/>
              <w:rPr>
                <w:lang w:val="en-GB"/>
              </w:rPr>
            </w:pPr>
            <w:r w:rsidRPr="00C9026A">
              <w:rPr>
                <w:lang w:val="en-GB"/>
              </w:rPr>
              <w:t>INTERNATIONAL ATOMIC ENERGY AGENCY, Radiation Protection Programmes for the Transport of Radioactive Material. IAEA Safety Standards Series No. TS</w:t>
            </w:r>
            <w:r w:rsidR="0014379A">
              <w:rPr>
                <w:lang w:val="en-GB"/>
              </w:rPr>
              <w:t>-</w:t>
            </w:r>
            <w:r w:rsidRPr="00C9026A">
              <w:rPr>
                <w:lang w:val="en-GB"/>
              </w:rPr>
              <w:t>G</w:t>
            </w:r>
            <w:r w:rsidR="0014379A">
              <w:rPr>
                <w:lang w:val="en-GB"/>
              </w:rPr>
              <w:t>-</w:t>
            </w:r>
            <w:r w:rsidRPr="00C9026A">
              <w:rPr>
                <w:lang w:val="en-GB"/>
              </w:rPr>
              <w:t>1.3, IAEA, Vienna (2007).</w:t>
            </w:r>
          </w:p>
        </w:tc>
      </w:tr>
      <w:tr w:rsidR="00782873" w:rsidRPr="00C9026A" w:rsidTr="007912DC">
        <w:trPr>
          <w:cantSplit/>
        </w:trPr>
        <w:tc>
          <w:tcPr>
            <w:tcW w:w="988" w:type="dxa"/>
          </w:tcPr>
          <w:p w:rsidR="00782873" w:rsidRPr="00C9026A" w:rsidRDefault="00782873" w:rsidP="004557F6">
            <w:pPr>
              <w:pStyle w:val="IAEAReferenceText"/>
              <w:rPr>
                <w:lang w:val="en-GB"/>
              </w:rPr>
            </w:pPr>
            <w:r w:rsidRPr="00C9026A">
              <w:rPr>
                <w:lang w:val="en-GB"/>
              </w:rPr>
              <w:t>[1</w:t>
            </w:r>
            <w:r w:rsidR="00717572">
              <w:rPr>
                <w:lang w:val="en-GB"/>
              </w:rPr>
              <w:t>8</w:t>
            </w:r>
            <w:r w:rsidRPr="00C9026A">
              <w:rPr>
                <w:lang w:val="en-GB"/>
              </w:rPr>
              <w:t>]</w:t>
            </w:r>
          </w:p>
        </w:tc>
        <w:tc>
          <w:tcPr>
            <w:tcW w:w="8192" w:type="dxa"/>
          </w:tcPr>
          <w:p w:rsidR="00782873" w:rsidRPr="00C9026A" w:rsidRDefault="00782873" w:rsidP="00A57A35">
            <w:pPr>
              <w:pStyle w:val="IAEAReferenceText"/>
              <w:ind w:right="-108"/>
              <w:rPr>
                <w:lang w:val="en-GB"/>
              </w:rPr>
            </w:pPr>
            <w:r w:rsidRPr="00C9026A">
              <w:rPr>
                <w:lang w:val="en-GB"/>
              </w:rPr>
              <w:t>INTERNATIONAL ATOMIC ENERGY AGENCY, Environmental and Source Monitoring for Purposes of Radiation Protection, IAEA Safety Standards Series No. RS</w:t>
            </w:r>
            <w:r w:rsidRPr="00C9026A">
              <w:rPr>
                <w:lang w:val="en-GB"/>
              </w:rPr>
              <w:noBreakHyphen/>
              <w:t>G</w:t>
            </w:r>
            <w:r w:rsidRPr="00C9026A">
              <w:rPr>
                <w:lang w:val="en-GB"/>
              </w:rPr>
              <w:noBreakHyphen/>
              <w:t>1.8, IAEA, Vienna (2005).</w:t>
            </w:r>
          </w:p>
        </w:tc>
      </w:tr>
      <w:tr w:rsidR="00782873" w:rsidRPr="00C9026A" w:rsidTr="007912DC">
        <w:trPr>
          <w:cantSplit/>
        </w:trPr>
        <w:tc>
          <w:tcPr>
            <w:tcW w:w="988" w:type="dxa"/>
          </w:tcPr>
          <w:p w:rsidR="00782873" w:rsidRPr="00C9026A" w:rsidRDefault="00782873" w:rsidP="00A57A35">
            <w:pPr>
              <w:pStyle w:val="IAEAReferenceText"/>
              <w:rPr>
                <w:lang w:val="en-GB"/>
              </w:rPr>
            </w:pPr>
            <w:r w:rsidRPr="00C9026A">
              <w:rPr>
                <w:lang w:val="en-GB"/>
              </w:rPr>
              <w:t>[</w:t>
            </w:r>
            <w:r w:rsidR="004557F6">
              <w:rPr>
                <w:lang w:val="en-GB"/>
              </w:rPr>
              <w:t>1</w:t>
            </w:r>
            <w:r w:rsidR="00717572">
              <w:rPr>
                <w:lang w:val="en-GB"/>
              </w:rPr>
              <w:t>9</w:t>
            </w:r>
            <w:r w:rsidRPr="00C9026A">
              <w:rPr>
                <w:lang w:val="en-GB"/>
              </w:rPr>
              <w:t>]</w:t>
            </w:r>
          </w:p>
        </w:tc>
        <w:tc>
          <w:tcPr>
            <w:tcW w:w="8192" w:type="dxa"/>
          </w:tcPr>
          <w:p w:rsidR="00782873" w:rsidRPr="00C9026A" w:rsidRDefault="00782873" w:rsidP="00B8432A">
            <w:pPr>
              <w:pStyle w:val="IAEAReferenceText"/>
              <w:ind w:right="-108"/>
              <w:rPr>
                <w:lang w:val="en-GB"/>
              </w:rPr>
            </w:pPr>
            <w:r w:rsidRPr="00C9026A">
              <w:rPr>
                <w:lang w:val="en-GB"/>
              </w:rPr>
              <w:t>INTERNATIONAL ATOMIC ENERGY AGENCY, Programmes and Systems for Source and Environmental Radiation Monitoring, Safety Report</w:t>
            </w:r>
            <w:r>
              <w:rPr>
                <w:lang w:val="en-GB"/>
              </w:rPr>
              <w:t>s</w:t>
            </w:r>
            <w:r w:rsidRPr="00C9026A">
              <w:rPr>
                <w:lang w:val="en-GB"/>
              </w:rPr>
              <w:t xml:space="preserve"> Series No. 64, IAEA, Vienna (2010).</w:t>
            </w:r>
          </w:p>
        </w:tc>
      </w:tr>
      <w:tr w:rsidR="00782873" w:rsidRPr="00C9026A" w:rsidTr="007912DC">
        <w:trPr>
          <w:cantSplit/>
        </w:trPr>
        <w:tc>
          <w:tcPr>
            <w:tcW w:w="988" w:type="dxa"/>
          </w:tcPr>
          <w:p w:rsidR="00782873" w:rsidRPr="00C9026A" w:rsidRDefault="00782873" w:rsidP="00A57A35">
            <w:pPr>
              <w:pStyle w:val="IAEAReferenceText"/>
              <w:rPr>
                <w:lang w:val="en-GB"/>
              </w:rPr>
            </w:pPr>
            <w:r w:rsidRPr="00C9026A">
              <w:rPr>
                <w:lang w:val="en-GB"/>
              </w:rPr>
              <w:t>[</w:t>
            </w:r>
            <w:r w:rsidR="00717572">
              <w:rPr>
                <w:lang w:val="en-GB"/>
              </w:rPr>
              <w:t>20</w:t>
            </w:r>
            <w:r w:rsidRPr="00C9026A">
              <w:rPr>
                <w:lang w:val="en-GB"/>
              </w:rPr>
              <w:t>]</w:t>
            </w:r>
          </w:p>
        </w:tc>
        <w:tc>
          <w:tcPr>
            <w:tcW w:w="8192" w:type="dxa"/>
          </w:tcPr>
          <w:p w:rsidR="00782873" w:rsidRPr="00C9026A" w:rsidRDefault="00782873" w:rsidP="00B8432A">
            <w:pPr>
              <w:pStyle w:val="IAEAReferenceText"/>
              <w:ind w:right="-108"/>
              <w:rPr>
                <w:lang w:val="en-GB"/>
              </w:rPr>
            </w:pPr>
            <w:r w:rsidRPr="00C9026A">
              <w:rPr>
                <w:lang w:val="en-GB"/>
              </w:rPr>
              <w:t>INTERNATIONAL ATOMIC ENERGY AGENCY, Occupational Radiation Protection, IAEA Safety Standards Series, IAEA, Vienna (in preparation).</w:t>
            </w:r>
            <w:r>
              <w:rPr>
                <w:lang w:val="en-GB"/>
              </w:rPr>
              <w:t>[DS453]</w:t>
            </w:r>
          </w:p>
        </w:tc>
      </w:tr>
      <w:tr w:rsidR="00782873" w:rsidRPr="00C9026A" w:rsidTr="00935F0E">
        <w:trPr>
          <w:cantSplit/>
        </w:trPr>
        <w:tc>
          <w:tcPr>
            <w:tcW w:w="988" w:type="dxa"/>
          </w:tcPr>
          <w:p w:rsidR="00782873" w:rsidRPr="00C9026A" w:rsidRDefault="00782873" w:rsidP="00A57A35">
            <w:pPr>
              <w:pStyle w:val="IAEAReferenceText"/>
              <w:rPr>
                <w:lang w:val="en-GB"/>
              </w:rPr>
            </w:pPr>
            <w:r w:rsidRPr="00C9026A">
              <w:rPr>
                <w:lang w:val="en-GB"/>
              </w:rPr>
              <w:t>[</w:t>
            </w:r>
            <w:r w:rsidR="004557F6">
              <w:rPr>
                <w:lang w:val="en-GB"/>
              </w:rPr>
              <w:t>2</w:t>
            </w:r>
            <w:r w:rsidR="00717572">
              <w:rPr>
                <w:lang w:val="en-GB"/>
              </w:rPr>
              <w:t>1</w:t>
            </w:r>
            <w:r w:rsidRPr="00C9026A">
              <w:rPr>
                <w:lang w:val="en-GB"/>
              </w:rPr>
              <w:t>]</w:t>
            </w:r>
          </w:p>
        </w:tc>
        <w:tc>
          <w:tcPr>
            <w:tcW w:w="8192" w:type="dxa"/>
          </w:tcPr>
          <w:p w:rsidR="00782873" w:rsidRPr="00C9026A" w:rsidRDefault="00782873" w:rsidP="00B8432A">
            <w:pPr>
              <w:pStyle w:val="BodyText"/>
              <w:spacing w:after="0"/>
              <w:ind w:right="-108"/>
            </w:pPr>
            <w:r w:rsidRPr="00C9026A">
              <w:t>INTERNATIONAL ATOMIC ENERGY AGENCY, Radiation Protection and Safety in Medical Uses of Ionizing Radiation, IAEA, Vienna (in preparation).</w:t>
            </w:r>
            <w:r>
              <w:t>[DS399]</w:t>
            </w:r>
          </w:p>
        </w:tc>
      </w:tr>
      <w:tr w:rsidR="00782873" w:rsidRPr="00C9026A" w:rsidTr="007912DC">
        <w:trPr>
          <w:cantSplit/>
        </w:trPr>
        <w:tc>
          <w:tcPr>
            <w:tcW w:w="988" w:type="dxa"/>
          </w:tcPr>
          <w:p w:rsidR="00782873" w:rsidRPr="00C9026A" w:rsidRDefault="00782873" w:rsidP="00A57A35">
            <w:pPr>
              <w:pStyle w:val="IAEAReferenceText"/>
              <w:rPr>
                <w:lang w:val="en-GB"/>
              </w:rPr>
            </w:pPr>
            <w:r w:rsidRPr="00C9026A">
              <w:rPr>
                <w:lang w:val="en-GB"/>
              </w:rPr>
              <w:t>[</w:t>
            </w:r>
            <w:r w:rsidR="00C470A7">
              <w:rPr>
                <w:lang w:val="en-GB"/>
              </w:rPr>
              <w:t>2</w:t>
            </w:r>
            <w:r w:rsidR="00717572">
              <w:rPr>
                <w:lang w:val="en-GB"/>
              </w:rPr>
              <w:t>2</w:t>
            </w:r>
            <w:r w:rsidRPr="00C9026A">
              <w:rPr>
                <w:lang w:val="en-GB"/>
              </w:rPr>
              <w:t>]</w:t>
            </w:r>
          </w:p>
        </w:tc>
        <w:tc>
          <w:tcPr>
            <w:tcW w:w="8192" w:type="dxa"/>
          </w:tcPr>
          <w:p w:rsidR="00782873" w:rsidRPr="00C9026A" w:rsidRDefault="00782873" w:rsidP="00A57A35">
            <w:pPr>
              <w:pStyle w:val="IAEAReferenceText"/>
              <w:ind w:right="-108"/>
              <w:rPr>
                <w:lang w:val="en-GB"/>
              </w:rPr>
            </w:pPr>
            <w:r w:rsidRPr="00C9026A">
              <w:rPr>
                <w:lang w:val="en-GB"/>
              </w:rPr>
              <w:t>INTERNATIONAL ATOMIC ENERGY AGENCY, Establishing the Safety Infrastructure for a Nuclear Power Programme</w:t>
            </w:r>
            <w:proofErr w:type="gramStart"/>
            <w:r>
              <w:rPr>
                <w:lang w:val="en-GB"/>
              </w:rPr>
              <w:t>,</w:t>
            </w:r>
            <w:r w:rsidRPr="00C9026A">
              <w:rPr>
                <w:lang w:val="en-GB"/>
              </w:rPr>
              <w:t xml:space="preserve"> ,</w:t>
            </w:r>
            <w:proofErr w:type="gramEnd"/>
            <w:r w:rsidRPr="00C9026A">
              <w:rPr>
                <w:lang w:val="en-GB"/>
              </w:rPr>
              <w:t xml:space="preserve"> IAEA Safety Standards Series </w:t>
            </w:r>
            <w:r>
              <w:rPr>
                <w:lang w:val="en-GB"/>
              </w:rPr>
              <w:t>No. SSG-</w:t>
            </w:r>
            <w:proofErr w:type="gramStart"/>
            <w:r>
              <w:rPr>
                <w:lang w:val="en-GB"/>
              </w:rPr>
              <w:t xml:space="preserve">16 </w:t>
            </w:r>
            <w:r w:rsidRPr="00C9026A">
              <w:rPr>
                <w:lang w:val="en-GB"/>
              </w:rPr>
              <w:t>,</w:t>
            </w:r>
            <w:proofErr w:type="gramEnd"/>
            <w:r w:rsidRPr="00C9026A">
              <w:rPr>
                <w:lang w:val="en-GB"/>
              </w:rPr>
              <w:t xml:space="preserve"> IAEA, Vienna (</w:t>
            </w:r>
            <w:r>
              <w:rPr>
                <w:lang w:val="en-GB"/>
              </w:rPr>
              <w:t>2012</w:t>
            </w:r>
            <w:r w:rsidRPr="005F3010">
              <w:rPr>
                <w:lang w:val="en-GB"/>
              </w:rPr>
              <w:t>).(A revision of this publication is in preparation.)</w:t>
            </w:r>
          </w:p>
        </w:tc>
      </w:tr>
      <w:tr w:rsidR="00782873" w:rsidRPr="00C9026A" w:rsidTr="007912DC">
        <w:trPr>
          <w:cantSplit/>
        </w:trPr>
        <w:tc>
          <w:tcPr>
            <w:tcW w:w="988" w:type="dxa"/>
          </w:tcPr>
          <w:p w:rsidR="00782873" w:rsidRPr="00C9026A" w:rsidRDefault="00782873" w:rsidP="00A57A35">
            <w:pPr>
              <w:pStyle w:val="IAEAReferenceText"/>
              <w:rPr>
                <w:lang w:val="en-GB"/>
              </w:rPr>
            </w:pPr>
            <w:r w:rsidRPr="00C9026A">
              <w:rPr>
                <w:lang w:val="en-GB"/>
              </w:rPr>
              <w:t>[</w:t>
            </w:r>
            <w:r w:rsidR="00C470A7">
              <w:rPr>
                <w:lang w:val="en-GB"/>
              </w:rPr>
              <w:t>2</w:t>
            </w:r>
            <w:r w:rsidR="00717572">
              <w:rPr>
                <w:lang w:val="en-GB"/>
              </w:rPr>
              <w:t>3</w:t>
            </w:r>
            <w:r w:rsidRPr="00C9026A">
              <w:rPr>
                <w:lang w:val="en-GB"/>
              </w:rPr>
              <w:t>]</w:t>
            </w:r>
          </w:p>
        </w:tc>
        <w:tc>
          <w:tcPr>
            <w:tcW w:w="8192" w:type="dxa"/>
          </w:tcPr>
          <w:p w:rsidR="00782873" w:rsidRPr="00C9026A" w:rsidRDefault="00782873" w:rsidP="00A57A35">
            <w:pPr>
              <w:pStyle w:val="IAEAReferenceText"/>
              <w:ind w:right="-108"/>
              <w:rPr>
                <w:lang w:val="en-GB"/>
              </w:rPr>
            </w:pPr>
            <w:r w:rsidRPr="00C9026A">
              <w:rPr>
                <w:lang w:val="en-GB"/>
              </w:rPr>
              <w:t xml:space="preserve">UNITED NATIONS ECONOMIC COMMISSION FOR EUROPE, Convention on Environmental Impact Assessment in a Transboundary Context, the </w:t>
            </w:r>
            <w:r>
              <w:rPr>
                <w:lang w:val="en-GB"/>
              </w:rPr>
              <w:t>‘</w:t>
            </w:r>
            <w:r w:rsidRPr="00C9026A">
              <w:rPr>
                <w:lang w:val="en-GB"/>
              </w:rPr>
              <w:t>Espoo (EIA) Convention</w:t>
            </w:r>
            <w:r>
              <w:rPr>
                <w:lang w:val="en-GB"/>
              </w:rPr>
              <w:t>’</w:t>
            </w:r>
            <w:r w:rsidRPr="00C9026A">
              <w:rPr>
                <w:lang w:val="en-GB"/>
              </w:rPr>
              <w:t>, UNECE, Espoo, Finland (1991).</w:t>
            </w:r>
          </w:p>
        </w:tc>
      </w:tr>
      <w:tr w:rsidR="00782873" w:rsidRPr="00C9026A" w:rsidTr="007912DC">
        <w:trPr>
          <w:cantSplit/>
        </w:trPr>
        <w:tc>
          <w:tcPr>
            <w:tcW w:w="988" w:type="dxa"/>
          </w:tcPr>
          <w:p w:rsidR="00782873" w:rsidRPr="00C9026A" w:rsidRDefault="00782873" w:rsidP="00A57A35">
            <w:pPr>
              <w:pStyle w:val="IAEAReferenceText"/>
              <w:rPr>
                <w:lang w:val="en-GB"/>
              </w:rPr>
            </w:pPr>
            <w:r w:rsidRPr="00C9026A">
              <w:rPr>
                <w:lang w:val="en-GB"/>
              </w:rPr>
              <w:t>[</w:t>
            </w:r>
            <w:r w:rsidR="00C470A7">
              <w:rPr>
                <w:lang w:val="en-GB"/>
              </w:rPr>
              <w:t>2</w:t>
            </w:r>
            <w:r w:rsidR="00717572">
              <w:rPr>
                <w:lang w:val="en-GB"/>
              </w:rPr>
              <w:t>4</w:t>
            </w:r>
            <w:r w:rsidRPr="00C9026A">
              <w:rPr>
                <w:lang w:val="en-GB"/>
              </w:rPr>
              <w:t>]</w:t>
            </w:r>
          </w:p>
        </w:tc>
        <w:tc>
          <w:tcPr>
            <w:tcW w:w="8192" w:type="dxa"/>
          </w:tcPr>
          <w:p w:rsidR="00782873" w:rsidRPr="00C9026A" w:rsidRDefault="00782873" w:rsidP="00A57A35">
            <w:pPr>
              <w:pStyle w:val="IAEAReferenceText"/>
              <w:ind w:right="-108"/>
              <w:rPr>
                <w:lang w:val="en-GB"/>
              </w:rPr>
            </w:pPr>
            <w:r w:rsidRPr="00C9026A">
              <w:rPr>
                <w:lang w:val="en-GB"/>
              </w:rPr>
              <w:t>UNITED NATIONS, U</w:t>
            </w:r>
            <w:r>
              <w:rPr>
                <w:lang w:val="en-GB"/>
              </w:rPr>
              <w:t xml:space="preserve">nited </w:t>
            </w:r>
            <w:r w:rsidRPr="00C9026A">
              <w:rPr>
                <w:lang w:val="en-GB"/>
              </w:rPr>
              <w:t>N</w:t>
            </w:r>
            <w:r>
              <w:rPr>
                <w:lang w:val="en-GB"/>
              </w:rPr>
              <w:t>ations</w:t>
            </w:r>
            <w:r w:rsidRPr="00C9026A">
              <w:rPr>
                <w:lang w:val="en-GB"/>
              </w:rPr>
              <w:t xml:space="preserve"> Convention on the Law of the Sea, 10 December 1982, UNCLOS (1982).</w:t>
            </w:r>
          </w:p>
        </w:tc>
      </w:tr>
      <w:tr w:rsidR="00782873" w:rsidRPr="00C9026A" w:rsidTr="007912DC">
        <w:trPr>
          <w:cantSplit/>
        </w:trPr>
        <w:tc>
          <w:tcPr>
            <w:tcW w:w="988" w:type="dxa"/>
          </w:tcPr>
          <w:p w:rsidR="00782873" w:rsidRPr="00C9026A" w:rsidRDefault="00782873" w:rsidP="00A57A35">
            <w:pPr>
              <w:pStyle w:val="IAEAReferenceText"/>
              <w:rPr>
                <w:lang w:val="en-GB"/>
              </w:rPr>
            </w:pPr>
            <w:r w:rsidRPr="00C9026A">
              <w:rPr>
                <w:lang w:val="en-GB"/>
              </w:rPr>
              <w:t>[2</w:t>
            </w:r>
            <w:r w:rsidR="00717572">
              <w:rPr>
                <w:lang w:val="en-GB"/>
              </w:rPr>
              <w:t>5</w:t>
            </w:r>
            <w:r w:rsidRPr="00C9026A">
              <w:rPr>
                <w:lang w:val="en-GB"/>
              </w:rPr>
              <w:t>]</w:t>
            </w:r>
          </w:p>
        </w:tc>
        <w:tc>
          <w:tcPr>
            <w:tcW w:w="8192" w:type="dxa"/>
          </w:tcPr>
          <w:p w:rsidR="00782873" w:rsidRPr="00C9026A" w:rsidRDefault="00782873" w:rsidP="00A57A35">
            <w:pPr>
              <w:pStyle w:val="IAEAReferenceText"/>
              <w:ind w:right="-108"/>
              <w:rPr>
                <w:lang w:val="en-GB"/>
              </w:rPr>
            </w:pPr>
            <w:r w:rsidRPr="00C9026A">
              <w:rPr>
                <w:lang w:val="en-GB"/>
              </w:rPr>
              <w:t>UNITED NATIONS ECONOMIC COMMISSION FOR EUROPE, Convention on Access to Information, Public Participation in Decision-Making and Access to Justice in Environmental Matters, 25 June 1998, UNECE, Aarhus, Denmark (1998).</w:t>
            </w:r>
          </w:p>
        </w:tc>
      </w:tr>
      <w:tr w:rsidR="00782873" w:rsidRPr="00C9026A" w:rsidTr="007912DC">
        <w:trPr>
          <w:cantSplit/>
        </w:trPr>
        <w:tc>
          <w:tcPr>
            <w:tcW w:w="988" w:type="dxa"/>
          </w:tcPr>
          <w:p w:rsidR="00782873" w:rsidRPr="00C9026A" w:rsidRDefault="00782873" w:rsidP="00717572">
            <w:pPr>
              <w:pStyle w:val="IAEAReferenceText"/>
              <w:rPr>
                <w:lang w:val="en-GB"/>
              </w:rPr>
            </w:pPr>
            <w:r w:rsidRPr="00C9026A">
              <w:rPr>
                <w:lang w:val="en-GB"/>
              </w:rPr>
              <w:lastRenderedPageBreak/>
              <w:t>[2</w:t>
            </w:r>
            <w:r w:rsidR="00717572">
              <w:rPr>
                <w:lang w:val="en-GB"/>
              </w:rPr>
              <w:t>6</w:t>
            </w:r>
            <w:r w:rsidRPr="00C9026A">
              <w:rPr>
                <w:lang w:val="en-GB"/>
              </w:rPr>
              <w:t>]</w:t>
            </w:r>
          </w:p>
        </w:tc>
        <w:tc>
          <w:tcPr>
            <w:tcW w:w="8192" w:type="dxa"/>
          </w:tcPr>
          <w:p w:rsidR="00782873" w:rsidRPr="00C9026A" w:rsidRDefault="00782873" w:rsidP="00A57A35">
            <w:pPr>
              <w:pStyle w:val="IAEAReferenceText"/>
              <w:ind w:right="-108"/>
              <w:rPr>
                <w:lang w:val="en-GB"/>
              </w:rPr>
            </w:pPr>
            <w:r w:rsidRPr="00C9026A">
              <w:rPr>
                <w:lang w:val="en-GB"/>
              </w:rPr>
              <w:t xml:space="preserve">EUROPEAN COMMISSION, European Council Directive on the </w:t>
            </w:r>
            <w:r>
              <w:rPr>
                <w:lang w:val="en-GB"/>
              </w:rPr>
              <w:t>A</w:t>
            </w:r>
            <w:r w:rsidRPr="00C9026A">
              <w:rPr>
                <w:lang w:val="en-GB"/>
              </w:rPr>
              <w:t xml:space="preserve">ssessment of the </w:t>
            </w:r>
            <w:r>
              <w:rPr>
                <w:lang w:val="en-GB"/>
              </w:rPr>
              <w:t>E</w:t>
            </w:r>
            <w:r w:rsidRPr="00C9026A">
              <w:rPr>
                <w:lang w:val="en-GB"/>
              </w:rPr>
              <w:t xml:space="preserve">ffects of </w:t>
            </w:r>
            <w:r>
              <w:rPr>
                <w:lang w:val="en-GB"/>
              </w:rPr>
              <w:t>C</w:t>
            </w:r>
            <w:r w:rsidRPr="00C9026A">
              <w:rPr>
                <w:lang w:val="en-GB"/>
              </w:rPr>
              <w:t xml:space="preserve">ertain </w:t>
            </w:r>
            <w:r>
              <w:rPr>
                <w:lang w:val="en-GB"/>
              </w:rPr>
              <w:t>P</w:t>
            </w:r>
            <w:r w:rsidRPr="00C9026A">
              <w:rPr>
                <w:lang w:val="en-GB"/>
              </w:rPr>
              <w:t xml:space="preserve">ublic and </w:t>
            </w:r>
            <w:r>
              <w:rPr>
                <w:lang w:val="en-GB"/>
              </w:rPr>
              <w:t>P</w:t>
            </w:r>
            <w:r w:rsidRPr="00C9026A">
              <w:rPr>
                <w:lang w:val="en-GB"/>
              </w:rPr>
              <w:t xml:space="preserve">rivate </w:t>
            </w:r>
            <w:r>
              <w:rPr>
                <w:lang w:val="en-GB"/>
              </w:rPr>
              <w:t>P</w:t>
            </w:r>
            <w:r w:rsidRPr="00C9026A">
              <w:rPr>
                <w:lang w:val="en-GB"/>
              </w:rPr>
              <w:t xml:space="preserve">rojects on the </w:t>
            </w:r>
            <w:r>
              <w:rPr>
                <w:lang w:val="en-GB"/>
              </w:rPr>
              <w:t>E</w:t>
            </w:r>
            <w:r w:rsidRPr="00C9026A">
              <w:rPr>
                <w:lang w:val="en-GB"/>
              </w:rPr>
              <w:t>nvironment</w:t>
            </w:r>
            <w:r>
              <w:rPr>
                <w:lang w:val="en-GB"/>
              </w:rPr>
              <w:t>,</w:t>
            </w:r>
            <w:r w:rsidRPr="00C9026A">
              <w:rPr>
                <w:lang w:val="en-GB"/>
              </w:rPr>
              <w:t xml:space="preserve"> Directive 2011/92/EU of the European Parliament and the Council (2011).</w:t>
            </w:r>
          </w:p>
        </w:tc>
      </w:tr>
      <w:tr w:rsidR="00782873" w:rsidRPr="00C9026A" w:rsidTr="007912DC">
        <w:trPr>
          <w:cantSplit/>
        </w:trPr>
        <w:tc>
          <w:tcPr>
            <w:tcW w:w="988" w:type="dxa"/>
          </w:tcPr>
          <w:p w:rsidR="00782873" w:rsidRPr="00C9026A" w:rsidRDefault="00782873" w:rsidP="00A57A35">
            <w:pPr>
              <w:pStyle w:val="IAEAReferenceText"/>
              <w:rPr>
                <w:lang w:val="en-GB"/>
              </w:rPr>
            </w:pPr>
            <w:r w:rsidRPr="00C9026A">
              <w:rPr>
                <w:lang w:val="en-GB"/>
              </w:rPr>
              <w:t>[2</w:t>
            </w:r>
            <w:r w:rsidR="00717572">
              <w:rPr>
                <w:lang w:val="en-GB"/>
              </w:rPr>
              <w:t>7</w:t>
            </w:r>
            <w:r w:rsidRPr="00C9026A">
              <w:rPr>
                <w:lang w:val="en-GB"/>
              </w:rPr>
              <w:t>]</w:t>
            </w:r>
          </w:p>
        </w:tc>
        <w:tc>
          <w:tcPr>
            <w:tcW w:w="8192" w:type="dxa"/>
          </w:tcPr>
          <w:p w:rsidR="00782873" w:rsidRPr="00C9026A" w:rsidRDefault="00782873" w:rsidP="00A57A35">
            <w:pPr>
              <w:pStyle w:val="IAEAReferenceText"/>
              <w:ind w:right="-108"/>
              <w:rPr>
                <w:lang w:val="en-GB"/>
              </w:rPr>
            </w:pPr>
            <w:r w:rsidRPr="00C9026A">
              <w:rPr>
                <w:lang w:val="en-GB"/>
              </w:rPr>
              <w:t xml:space="preserve">UNITED STATES GOVERNMENT, The National Environmental Policy Act, NEPA (1969). </w:t>
            </w:r>
          </w:p>
        </w:tc>
      </w:tr>
      <w:tr w:rsidR="00782873" w:rsidRPr="00C9026A" w:rsidTr="007912DC">
        <w:trPr>
          <w:cantSplit/>
        </w:trPr>
        <w:tc>
          <w:tcPr>
            <w:tcW w:w="988" w:type="dxa"/>
          </w:tcPr>
          <w:p w:rsidR="00782873" w:rsidRPr="00C9026A" w:rsidRDefault="00782873" w:rsidP="00A57A35">
            <w:pPr>
              <w:pStyle w:val="IAEAReferenceText"/>
              <w:rPr>
                <w:lang w:val="en-GB"/>
              </w:rPr>
            </w:pPr>
            <w:r w:rsidRPr="00C9026A">
              <w:rPr>
                <w:lang w:val="en-GB"/>
              </w:rPr>
              <w:t>[2</w:t>
            </w:r>
            <w:r w:rsidR="00717572">
              <w:rPr>
                <w:lang w:val="en-GB"/>
              </w:rPr>
              <w:t>8</w:t>
            </w:r>
            <w:r w:rsidRPr="00C9026A">
              <w:rPr>
                <w:lang w:val="en-GB"/>
              </w:rPr>
              <w:t>]</w:t>
            </w:r>
          </w:p>
        </w:tc>
        <w:tc>
          <w:tcPr>
            <w:tcW w:w="8192" w:type="dxa"/>
          </w:tcPr>
          <w:p w:rsidR="00782873" w:rsidRPr="00C9026A" w:rsidRDefault="00782873" w:rsidP="00A57A35">
            <w:pPr>
              <w:pStyle w:val="IAEAReferenceText"/>
              <w:ind w:right="-108"/>
              <w:rPr>
                <w:lang w:val="en-GB"/>
              </w:rPr>
            </w:pPr>
            <w:r w:rsidRPr="00C9026A">
              <w:rPr>
                <w:lang w:val="en-GB"/>
              </w:rPr>
              <w:t>Law of the People's Republic of China on the Environmental Impact Assessment (2003).</w:t>
            </w:r>
          </w:p>
        </w:tc>
      </w:tr>
      <w:tr w:rsidR="00782873" w:rsidRPr="00C9026A" w:rsidTr="007912DC">
        <w:trPr>
          <w:cantSplit/>
        </w:trPr>
        <w:tc>
          <w:tcPr>
            <w:tcW w:w="988" w:type="dxa"/>
          </w:tcPr>
          <w:p w:rsidR="00782873" w:rsidRPr="00C9026A" w:rsidRDefault="00782873" w:rsidP="00A57A35">
            <w:pPr>
              <w:pStyle w:val="IAEAReferenceText"/>
              <w:rPr>
                <w:lang w:val="en-GB"/>
              </w:rPr>
            </w:pPr>
            <w:r w:rsidRPr="00C9026A">
              <w:rPr>
                <w:lang w:val="en-GB"/>
              </w:rPr>
              <w:t>[</w:t>
            </w:r>
            <w:r w:rsidR="00C470A7">
              <w:rPr>
                <w:lang w:val="en-GB"/>
              </w:rPr>
              <w:t>2</w:t>
            </w:r>
            <w:r w:rsidR="00717572">
              <w:rPr>
                <w:lang w:val="en-GB"/>
              </w:rPr>
              <w:t>9</w:t>
            </w:r>
            <w:r w:rsidRPr="00C9026A">
              <w:rPr>
                <w:lang w:val="en-GB"/>
              </w:rPr>
              <w:t>]</w:t>
            </w:r>
          </w:p>
        </w:tc>
        <w:tc>
          <w:tcPr>
            <w:tcW w:w="8192" w:type="dxa"/>
          </w:tcPr>
          <w:p w:rsidR="00782873" w:rsidRPr="00C9026A" w:rsidRDefault="00782873" w:rsidP="00A57A35">
            <w:pPr>
              <w:pStyle w:val="IAEAReferenceText"/>
              <w:ind w:right="-108"/>
              <w:rPr>
                <w:lang w:val="en-GB"/>
              </w:rPr>
            </w:pPr>
            <w:r w:rsidRPr="00C9026A">
              <w:rPr>
                <w:lang w:val="en-GB"/>
              </w:rPr>
              <w:t>ARGENTINA Law 26.765 “General Law of the Environment” link:</w:t>
            </w:r>
          </w:p>
          <w:p w:rsidR="00782873" w:rsidRPr="00C9026A" w:rsidRDefault="00527DD7" w:rsidP="00A57A35">
            <w:pPr>
              <w:pStyle w:val="IAEAReferenceText"/>
              <w:overflowPunct w:val="0"/>
              <w:autoSpaceDE w:val="0"/>
              <w:autoSpaceDN w:val="0"/>
              <w:adjustRightInd w:val="0"/>
              <w:ind w:right="-108"/>
              <w:textAlignment w:val="baseline"/>
              <w:rPr>
                <w:lang w:val="en-GB"/>
              </w:rPr>
            </w:pPr>
            <w:hyperlink r:id="rId20" w:history="1">
              <w:r w:rsidR="00782873" w:rsidRPr="00C9026A">
                <w:t>http://www.corebe.org.ar/NORMATIVA/ley_general_del_ambiente.htm</w:t>
              </w:r>
            </w:hyperlink>
          </w:p>
          <w:p w:rsidR="00782873" w:rsidRPr="00C9026A" w:rsidRDefault="00782873" w:rsidP="00A57A35">
            <w:pPr>
              <w:pStyle w:val="BodyText"/>
              <w:overflowPunct w:val="0"/>
              <w:autoSpaceDE w:val="0"/>
              <w:autoSpaceDN w:val="0"/>
              <w:adjustRightInd w:val="0"/>
              <w:spacing w:after="0"/>
              <w:ind w:right="-108"/>
              <w:textAlignment w:val="baseline"/>
              <w:rPr>
                <w:lang w:val="en-GB"/>
              </w:rPr>
            </w:pPr>
            <w:r w:rsidRPr="00C9026A">
              <w:rPr>
                <w:lang w:val="en-GB"/>
              </w:rPr>
              <w:t>(</w:t>
            </w:r>
            <w:proofErr w:type="gramStart"/>
            <w:r w:rsidRPr="00C9026A">
              <w:rPr>
                <w:lang w:val="en-GB"/>
              </w:rPr>
              <w:t>in</w:t>
            </w:r>
            <w:proofErr w:type="gramEnd"/>
            <w:r w:rsidRPr="00C9026A">
              <w:rPr>
                <w:lang w:val="en-GB"/>
              </w:rPr>
              <w:t xml:space="preserve"> Spanish).</w:t>
            </w:r>
          </w:p>
        </w:tc>
      </w:tr>
      <w:tr w:rsidR="00782873" w:rsidRPr="00C9026A" w:rsidTr="007912DC">
        <w:trPr>
          <w:cantSplit/>
        </w:trPr>
        <w:tc>
          <w:tcPr>
            <w:tcW w:w="988" w:type="dxa"/>
          </w:tcPr>
          <w:p w:rsidR="00782873" w:rsidRPr="00C9026A" w:rsidRDefault="00782873" w:rsidP="00A57A35">
            <w:pPr>
              <w:pStyle w:val="IAEAReferenceText"/>
            </w:pPr>
            <w:r w:rsidRPr="00C9026A">
              <w:t>[</w:t>
            </w:r>
            <w:r w:rsidR="00717572">
              <w:t>30</w:t>
            </w:r>
            <w:r w:rsidRPr="00C9026A">
              <w:t>]</w:t>
            </w:r>
          </w:p>
        </w:tc>
        <w:tc>
          <w:tcPr>
            <w:tcW w:w="8192" w:type="dxa"/>
          </w:tcPr>
          <w:p w:rsidR="00782873" w:rsidRPr="00C9026A" w:rsidRDefault="00782873" w:rsidP="00A57A35">
            <w:pPr>
              <w:pStyle w:val="IAEAReferenceText"/>
              <w:ind w:right="-108"/>
            </w:pPr>
            <w:r w:rsidRPr="00C9026A">
              <w:t>AUSTRALIAN AND NEW ZEALAND ENVIRONMENT AND CONSERVATION COUNCIL, Guidelines and Criteria for Determining the Need for and Level of Environmental Impact Assessment, prepared by The ANZECC Working Group on National Environmental Impact Assessment, ANZECC, Canberra (1996).</w:t>
            </w:r>
          </w:p>
        </w:tc>
      </w:tr>
      <w:tr w:rsidR="00782873" w:rsidRPr="00C9026A" w:rsidTr="00935F0E">
        <w:trPr>
          <w:cantSplit/>
        </w:trPr>
        <w:tc>
          <w:tcPr>
            <w:tcW w:w="988" w:type="dxa"/>
          </w:tcPr>
          <w:p w:rsidR="00782873" w:rsidRPr="00C9026A" w:rsidRDefault="00782873" w:rsidP="00A57A35">
            <w:pPr>
              <w:pStyle w:val="IAEAReferenceText"/>
              <w:rPr>
                <w:lang w:val="en-GB"/>
              </w:rPr>
            </w:pPr>
            <w:r w:rsidRPr="00C9026A">
              <w:rPr>
                <w:lang w:val="en-GB"/>
              </w:rPr>
              <w:t>[</w:t>
            </w:r>
            <w:r w:rsidR="00717572">
              <w:rPr>
                <w:lang w:val="en-GB"/>
              </w:rPr>
              <w:t>31</w:t>
            </w:r>
            <w:r w:rsidRPr="00C9026A">
              <w:rPr>
                <w:lang w:val="en-GB"/>
              </w:rPr>
              <w:t>]</w:t>
            </w:r>
          </w:p>
        </w:tc>
        <w:tc>
          <w:tcPr>
            <w:tcW w:w="8192" w:type="dxa"/>
          </w:tcPr>
          <w:p w:rsidR="00782873" w:rsidRPr="00C9026A" w:rsidRDefault="00782873" w:rsidP="00A57A35">
            <w:pPr>
              <w:pStyle w:val="BodyText"/>
              <w:spacing w:after="0"/>
              <w:ind w:right="-108"/>
            </w:pPr>
            <w:r w:rsidRPr="00C9026A">
              <w:t xml:space="preserve">INTERNATIONAL ATOMIC ENERGY AGENCY, Managing Environmental Impact Assessment for Construction and Operation in New Nuclear Power </w:t>
            </w:r>
            <w:proofErr w:type="spellStart"/>
            <w:r w:rsidRPr="00C9026A">
              <w:t>Programmes</w:t>
            </w:r>
            <w:proofErr w:type="spellEnd"/>
            <w:r w:rsidRPr="00C9026A">
              <w:t>, IAEA Nuclear Energy Series, NG-T-3.11, IAEA, Vienna (2014).</w:t>
            </w:r>
          </w:p>
        </w:tc>
      </w:tr>
      <w:tr w:rsidR="00A0149B" w:rsidRPr="00C9026A" w:rsidTr="00935F0E">
        <w:trPr>
          <w:cantSplit/>
        </w:trPr>
        <w:tc>
          <w:tcPr>
            <w:tcW w:w="988" w:type="dxa"/>
          </w:tcPr>
          <w:p w:rsidR="00A0149B" w:rsidRPr="00C9026A" w:rsidRDefault="00A0149B" w:rsidP="00A57A35">
            <w:pPr>
              <w:pStyle w:val="IAEAReferenceText"/>
              <w:rPr>
                <w:lang w:val="en-GB"/>
              </w:rPr>
            </w:pPr>
            <w:r>
              <w:rPr>
                <w:lang w:val="en-GB"/>
              </w:rPr>
              <w:t>[</w:t>
            </w:r>
            <w:r w:rsidR="00717572">
              <w:rPr>
                <w:lang w:val="en-GB"/>
              </w:rPr>
              <w:t>32</w:t>
            </w:r>
            <w:r w:rsidRPr="00C9026A">
              <w:rPr>
                <w:lang w:val="en-GB"/>
              </w:rPr>
              <w:t>]</w:t>
            </w:r>
          </w:p>
        </w:tc>
        <w:tc>
          <w:tcPr>
            <w:tcW w:w="8192" w:type="dxa"/>
          </w:tcPr>
          <w:p w:rsidR="00A0149B" w:rsidRPr="00C9026A" w:rsidRDefault="00A0149B" w:rsidP="00A57A35">
            <w:pPr>
              <w:pStyle w:val="BodyText"/>
              <w:spacing w:after="0"/>
              <w:ind w:right="-108"/>
            </w:pPr>
            <w:r w:rsidRPr="00C9026A">
              <w:rPr>
                <w:lang w:val="en-GB"/>
              </w:rPr>
              <w:t>EUROPEAN ATOMIC ENERGY COMMUNITY, Treaty establishing the European Atomic Energy Community, EURATOM (1957).</w:t>
            </w:r>
          </w:p>
        </w:tc>
      </w:tr>
      <w:tr w:rsidR="00A0149B" w:rsidRPr="00C9026A" w:rsidTr="00935F0E">
        <w:trPr>
          <w:cantSplit/>
        </w:trPr>
        <w:tc>
          <w:tcPr>
            <w:tcW w:w="988" w:type="dxa"/>
          </w:tcPr>
          <w:p w:rsidR="00A0149B" w:rsidRPr="00C9026A" w:rsidRDefault="0014379A" w:rsidP="00A57A35">
            <w:pPr>
              <w:pStyle w:val="IAEAReferenceText"/>
              <w:rPr>
                <w:lang w:val="en-GB"/>
              </w:rPr>
            </w:pPr>
            <w:r>
              <w:rPr>
                <w:lang w:val="en-GB"/>
              </w:rPr>
              <w:t>[3</w:t>
            </w:r>
            <w:r w:rsidR="00717572">
              <w:rPr>
                <w:lang w:val="en-GB"/>
              </w:rPr>
              <w:t>3</w:t>
            </w:r>
            <w:r w:rsidR="00A0149B" w:rsidRPr="00C9026A">
              <w:rPr>
                <w:lang w:val="en-GB"/>
              </w:rPr>
              <w:t>]</w:t>
            </w:r>
          </w:p>
        </w:tc>
        <w:tc>
          <w:tcPr>
            <w:tcW w:w="8192" w:type="dxa"/>
          </w:tcPr>
          <w:p w:rsidR="00A0149B" w:rsidRPr="00C9026A" w:rsidRDefault="00A0149B" w:rsidP="00A57A35">
            <w:pPr>
              <w:pStyle w:val="BodyText"/>
              <w:spacing w:after="0"/>
              <w:ind w:right="-108"/>
            </w:pPr>
            <w:r w:rsidRPr="00C9026A">
              <w:rPr>
                <w:lang w:val="en-GB"/>
              </w:rPr>
              <w:t xml:space="preserve">INTERNATIONAL ATOMIC ENERGY AGENCY, Licensing Process for Nuclear Installations, IAEA Safety Standards Series </w:t>
            </w:r>
            <w:r>
              <w:rPr>
                <w:lang w:val="en-GB"/>
              </w:rPr>
              <w:t xml:space="preserve">No. </w:t>
            </w:r>
            <w:r w:rsidRPr="00C9026A">
              <w:rPr>
                <w:lang w:val="en-GB"/>
              </w:rPr>
              <w:t>SSG-12, IAEA, Vienna (2010).</w:t>
            </w:r>
          </w:p>
        </w:tc>
      </w:tr>
      <w:tr w:rsidR="00A0149B" w:rsidRPr="00C9026A" w:rsidTr="00935F0E">
        <w:trPr>
          <w:cantSplit/>
        </w:trPr>
        <w:tc>
          <w:tcPr>
            <w:tcW w:w="988" w:type="dxa"/>
          </w:tcPr>
          <w:p w:rsidR="00A0149B" w:rsidRDefault="0014379A" w:rsidP="00A57A35">
            <w:pPr>
              <w:pStyle w:val="IAEAReferenceText"/>
              <w:rPr>
                <w:lang w:val="en-GB"/>
              </w:rPr>
            </w:pPr>
            <w:r>
              <w:rPr>
                <w:lang w:val="en-GB"/>
              </w:rPr>
              <w:t>[3</w:t>
            </w:r>
            <w:r w:rsidR="00717572">
              <w:rPr>
                <w:lang w:val="en-GB"/>
              </w:rPr>
              <w:t>4</w:t>
            </w:r>
            <w:r w:rsidR="00A0149B">
              <w:rPr>
                <w:lang w:val="en-GB"/>
              </w:rPr>
              <w:t>]</w:t>
            </w:r>
          </w:p>
        </w:tc>
        <w:tc>
          <w:tcPr>
            <w:tcW w:w="8192" w:type="dxa"/>
          </w:tcPr>
          <w:p w:rsidR="00A0149B" w:rsidRPr="00C9026A" w:rsidRDefault="00A0149B" w:rsidP="006436E6">
            <w:pPr>
              <w:pStyle w:val="BodyText"/>
              <w:spacing w:after="0"/>
              <w:rPr>
                <w:lang w:val="en-GB"/>
              </w:rPr>
            </w:pPr>
            <w:r w:rsidRPr="00D865CC">
              <w:t>INTERNATIONAL ATOMIC ENERGY AGENCY</w:t>
            </w:r>
            <w:r>
              <w:t xml:space="preserve">, </w:t>
            </w:r>
            <w:r w:rsidRPr="00D865CC">
              <w:rPr>
                <w:lang w:val="en-GB"/>
              </w:rPr>
              <w:t>Decommissioning of Nuclear Power Plants Research Reactors and other Nuclear Fuel Cycle Facilities</w:t>
            </w:r>
            <w:r>
              <w:rPr>
                <w:lang w:val="en-GB"/>
              </w:rPr>
              <w:t xml:space="preserve">, </w:t>
            </w:r>
            <w:r w:rsidRPr="00D865CC">
              <w:rPr>
                <w:lang w:val="en-GB"/>
              </w:rPr>
              <w:t>IAEA Safety Standards Series</w:t>
            </w:r>
            <w:r>
              <w:rPr>
                <w:lang w:val="en-GB"/>
              </w:rPr>
              <w:t>, IAEA, Vienna (in preparation).[DS452]</w:t>
            </w:r>
          </w:p>
        </w:tc>
      </w:tr>
      <w:tr w:rsidR="00717572" w:rsidRPr="00C9026A" w:rsidTr="00935F0E">
        <w:trPr>
          <w:cantSplit/>
        </w:trPr>
        <w:tc>
          <w:tcPr>
            <w:tcW w:w="988" w:type="dxa"/>
          </w:tcPr>
          <w:p w:rsidR="00717572" w:rsidRDefault="00717572" w:rsidP="00A57A35">
            <w:pPr>
              <w:pStyle w:val="IAEAReferenceText"/>
              <w:rPr>
                <w:lang w:val="en-GB"/>
              </w:rPr>
            </w:pPr>
            <w:r>
              <w:rPr>
                <w:lang w:val="en-GB"/>
              </w:rPr>
              <w:t>[35]</w:t>
            </w:r>
          </w:p>
        </w:tc>
        <w:tc>
          <w:tcPr>
            <w:tcW w:w="8192" w:type="dxa"/>
          </w:tcPr>
          <w:p w:rsidR="00717572" w:rsidRPr="00D865CC" w:rsidRDefault="00717572" w:rsidP="006436E6">
            <w:pPr>
              <w:pStyle w:val="BodyText"/>
              <w:spacing w:after="0"/>
            </w:pPr>
            <w:r>
              <w:t>INTERNTIONAL ATOMIC ENERGY AGENCY, Release of Sites from Regulatory Control on Termination of Practices, IAEA Safety Standards Series No. WS-G-5.1, IAEA, Vienna (2006).</w:t>
            </w:r>
          </w:p>
        </w:tc>
      </w:tr>
      <w:tr w:rsidR="00A0149B" w:rsidRPr="00C9026A" w:rsidTr="007912DC">
        <w:trPr>
          <w:cantSplit/>
        </w:trPr>
        <w:tc>
          <w:tcPr>
            <w:tcW w:w="988" w:type="dxa"/>
          </w:tcPr>
          <w:p w:rsidR="00A0149B" w:rsidRPr="00C9026A" w:rsidRDefault="00A0149B" w:rsidP="00A57A35">
            <w:pPr>
              <w:pStyle w:val="IAEAReferenceText"/>
              <w:rPr>
                <w:lang w:val="en-GB"/>
              </w:rPr>
            </w:pPr>
            <w:r w:rsidRPr="00C9026A">
              <w:rPr>
                <w:lang w:val="en-GB"/>
              </w:rPr>
              <w:t>[3</w:t>
            </w:r>
            <w:r w:rsidR="00717572">
              <w:rPr>
                <w:lang w:val="en-GB"/>
              </w:rPr>
              <w:t>6</w:t>
            </w:r>
            <w:r w:rsidRPr="00C9026A">
              <w:rPr>
                <w:lang w:val="en-GB"/>
              </w:rPr>
              <w:t>]</w:t>
            </w:r>
          </w:p>
        </w:tc>
        <w:tc>
          <w:tcPr>
            <w:tcW w:w="8192" w:type="dxa"/>
          </w:tcPr>
          <w:p w:rsidR="00A0149B" w:rsidRPr="00C9026A" w:rsidRDefault="00A0149B" w:rsidP="00A57A35">
            <w:pPr>
              <w:pStyle w:val="IAEAReferenceText"/>
              <w:ind w:right="-108"/>
              <w:rPr>
                <w:lang w:val="en-GB"/>
              </w:rPr>
            </w:pPr>
            <w:r w:rsidRPr="00C9026A">
              <w:rPr>
                <w:lang w:val="en-GB"/>
              </w:rPr>
              <w:t xml:space="preserve">INTERNATIONAL ATOMIC ENERGY AGENCY, Governmental, Legal and Regulatory Framework for Safety, </w:t>
            </w:r>
            <w:r>
              <w:rPr>
                <w:lang w:val="en-GB"/>
              </w:rPr>
              <w:t>IAEA Safety Standards Series</w:t>
            </w:r>
            <w:r w:rsidRPr="00C9026A">
              <w:rPr>
                <w:lang w:val="en-GB"/>
              </w:rPr>
              <w:t xml:space="preserve"> No. GSR Part 1</w:t>
            </w:r>
            <w:r>
              <w:rPr>
                <w:lang w:val="en-GB"/>
              </w:rPr>
              <w:t xml:space="preserve"> (Rev. 1),</w:t>
            </w:r>
            <w:r w:rsidRPr="00C9026A">
              <w:rPr>
                <w:lang w:val="en-GB"/>
              </w:rPr>
              <w:t xml:space="preserve"> IAEA, Vienna (201</w:t>
            </w:r>
            <w:r>
              <w:rPr>
                <w:lang w:val="en-GB"/>
              </w:rPr>
              <w:t>6</w:t>
            </w:r>
            <w:r w:rsidRPr="00C9026A">
              <w:rPr>
                <w:lang w:val="en-GB"/>
              </w:rPr>
              <w:t>).</w:t>
            </w:r>
          </w:p>
        </w:tc>
      </w:tr>
      <w:tr w:rsidR="00A0149B" w:rsidRPr="00C9026A" w:rsidTr="007912DC">
        <w:trPr>
          <w:cantSplit/>
        </w:trPr>
        <w:tc>
          <w:tcPr>
            <w:tcW w:w="988" w:type="dxa"/>
          </w:tcPr>
          <w:p w:rsidR="00A0149B" w:rsidRPr="00C9026A" w:rsidRDefault="0014379A" w:rsidP="00A57A35">
            <w:pPr>
              <w:pStyle w:val="IAEAReferenceText"/>
              <w:rPr>
                <w:lang w:val="en-GB"/>
              </w:rPr>
            </w:pPr>
            <w:r>
              <w:rPr>
                <w:lang w:val="en-GB"/>
              </w:rPr>
              <w:t>[3</w:t>
            </w:r>
            <w:r w:rsidR="00717572">
              <w:rPr>
                <w:lang w:val="en-GB"/>
              </w:rPr>
              <w:t>7</w:t>
            </w:r>
            <w:r w:rsidR="00A0149B" w:rsidRPr="00C9026A">
              <w:t>]</w:t>
            </w:r>
          </w:p>
        </w:tc>
        <w:tc>
          <w:tcPr>
            <w:tcW w:w="8192" w:type="dxa"/>
          </w:tcPr>
          <w:p w:rsidR="00A0149B" w:rsidRPr="00C9026A" w:rsidRDefault="00A0149B" w:rsidP="00A57A35">
            <w:pPr>
              <w:pStyle w:val="IAEAReferenceText"/>
              <w:ind w:right="-108"/>
              <w:rPr>
                <w:lang w:val="en-GB"/>
              </w:rPr>
            </w:pPr>
            <w:r w:rsidRPr="00C9026A">
              <w:t xml:space="preserve">INTERNATIONAL ATOMIC ENERGY AGENCY, Communication and Consultation with Interested Parties by the Regulatory Body, </w:t>
            </w:r>
            <w:r>
              <w:t>IAEA Safety Standards Series</w:t>
            </w:r>
            <w:r w:rsidRPr="00C9026A">
              <w:t>, IAEA, Vienna (in preparation).</w:t>
            </w:r>
            <w:r>
              <w:t>[DS460]</w:t>
            </w:r>
          </w:p>
        </w:tc>
      </w:tr>
      <w:tr w:rsidR="00A0149B" w:rsidRPr="00C9026A" w:rsidTr="007912DC">
        <w:trPr>
          <w:cantSplit/>
        </w:trPr>
        <w:tc>
          <w:tcPr>
            <w:tcW w:w="988" w:type="dxa"/>
          </w:tcPr>
          <w:p w:rsidR="00A0149B" w:rsidRDefault="006B61AC" w:rsidP="00A57A35">
            <w:pPr>
              <w:pStyle w:val="IAEAReferenceText"/>
              <w:rPr>
                <w:lang w:val="en-GB"/>
              </w:rPr>
            </w:pPr>
            <w:r>
              <w:rPr>
                <w:lang w:val="en-GB"/>
              </w:rPr>
              <w:t>[3</w:t>
            </w:r>
            <w:r w:rsidR="00717572">
              <w:rPr>
                <w:lang w:val="en-GB"/>
              </w:rPr>
              <w:t>8</w:t>
            </w:r>
            <w:r w:rsidR="00A0149B">
              <w:rPr>
                <w:lang w:val="en-GB"/>
              </w:rPr>
              <w:t>]</w:t>
            </w:r>
          </w:p>
        </w:tc>
        <w:tc>
          <w:tcPr>
            <w:tcW w:w="8192" w:type="dxa"/>
          </w:tcPr>
          <w:p w:rsidR="00A0149B" w:rsidRPr="00C9026A" w:rsidRDefault="00A0149B" w:rsidP="00A57A35">
            <w:pPr>
              <w:pStyle w:val="IAEAReferenceText"/>
              <w:ind w:right="-108"/>
            </w:pPr>
            <w:r w:rsidRPr="00571132">
              <w:rPr>
                <w:lang w:val="en-GB"/>
              </w:rPr>
              <w:t>INTERNATIONAL ATOMIC ENERGY AGENCY</w:t>
            </w:r>
            <w:r>
              <w:rPr>
                <w:lang w:val="en-GB"/>
              </w:rPr>
              <w:t xml:space="preserve">, </w:t>
            </w:r>
            <w:r w:rsidRPr="00571132">
              <w:rPr>
                <w:lang w:val="en-GB"/>
              </w:rPr>
              <w:t>Environmental Modelling for</w:t>
            </w:r>
            <w:r>
              <w:rPr>
                <w:lang w:val="en-GB"/>
              </w:rPr>
              <w:t xml:space="preserve"> </w:t>
            </w:r>
            <w:r w:rsidRPr="00571132">
              <w:rPr>
                <w:lang w:val="en-GB"/>
              </w:rPr>
              <w:t>Radiation Safety (EMRAS) —</w:t>
            </w:r>
            <w:r>
              <w:rPr>
                <w:lang w:val="en-GB"/>
              </w:rPr>
              <w:t xml:space="preserve"> </w:t>
            </w:r>
            <w:r w:rsidRPr="00571132">
              <w:rPr>
                <w:lang w:val="en-GB"/>
              </w:rPr>
              <w:t>A Summary Report of the Results</w:t>
            </w:r>
            <w:r>
              <w:rPr>
                <w:lang w:val="en-GB"/>
              </w:rPr>
              <w:t xml:space="preserve"> </w:t>
            </w:r>
            <w:r w:rsidRPr="00571132">
              <w:rPr>
                <w:lang w:val="en-GB"/>
              </w:rPr>
              <w:t>of the EMRAS Programme</w:t>
            </w:r>
            <w:r>
              <w:rPr>
                <w:lang w:val="en-GB"/>
              </w:rPr>
              <w:t xml:space="preserve"> </w:t>
            </w:r>
            <w:r w:rsidRPr="00571132">
              <w:rPr>
                <w:lang w:val="en-GB"/>
              </w:rPr>
              <w:t>(2003–2007)</w:t>
            </w:r>
            <w:r>
              <w:rPr>
                <w:lang w:val="en-GB"/>
              </w:rPr>
              <w:t>, IAEA-TECDOC-1678, IAEA, Vienna (2012)</w:t>
            </w:r>
          </w:p>
        </w:tc>
      </w:tr>
      <w:tr w:rsidR="005F3010" w:rsidRPr="00C9026A" w:rsidTr="007912DC">
        <w:trPr>
          <w:cantSplit/>
        </w:trPr>
        <w:tc>
          <w:tcPr>
            <w:tcW w:w="988" w:type="dxa"/>
          </w:tcPr>
          <w:p w:rsidR="005F3010" w:rsidRPr="00C9026A" w:rsidRDefault="005F3010" w:rsidP="00A57A35">
            <w:pPr>
              <w:pStyle w:val="IAEAReferenceText"/>
              <w:rPr>
                <w:lang w:val="en-GB"/>
              </w:rPr>
            </w:pPr>
            <w:r w:rsidRPr="00C9026A">
              <w:rPr>
                <w:lang w:val="en-GB"/>
              </w:rPr>
              <w:t>[3</w:t>
            </w:r>
            <w:r w:rsidR="00717572">
              <w:rPr>
                <w:lang w:val="en-GB"/>
              </w:rPr>
              <w:t>9</w:t>
            </w:r>
            <w:r w:rsidRPr="00C9026A">
              <w:rPr>
                <w:lang w:val="en-GB"/>
              </w:rPr>
              <w:t>]</w:t>
            </w:r>
          </w:p>
        </w:tc>
        <w:tc>
          <w:tcPr>
            <w:tcW w:w="8192" w:type="dxa"/>
          </w:tcPr>
          <w:p w:rsidR="005F3010" w:rsidRPr="00C9026A" w:rsidRDefault="005F3010" w:rsidP="00A57A35">
            <w:pPr>
              <w:pStyle w:val="IAEAReferenceText"/>
              <w:ind w:right="-108"/>
              <w:rPr>
                <w:lang w:val="en-GB"/>
              </w:rPr>
            </w:pPr>
            <w:r w:rsidRPr="00C9026A">
              <w:rPr>
                <w:lang w:val="en-GB"/>
              </w:rPr>
              <w:t xml:space="preserve">UNITED NATIONS SCIENTIFIC COMMITTEE ON THE EFFECTS OF ATOMIC RADIATION, Sources and Effects of </w:t>
            </w:r>
            <w:r>
              <w:rPr>
                <w:lang w:val="en-GB"/>
              </w:rPr>
              <w:t>I</w:t>
            </w:r>
            <w:r w:rsidRPr="00C9026A">
              <w:rPr>
                <w:lang w:val="en-GB"/>
              </w:rPr>
              <w:t xml:space="preserve">onizing Radiation, Report to the General Assembly, with Scientific </w:t>
            </w:r>
            <w:r w:rsidRPr="00752C4A">
              <w:rPr>
                <w:lang w:val="en-GB"/>
              </w:rPr>
              <w:t>Annexes, Sources. UN</w:t>
            </w:r>
            <w:r w:rsidRPr="00C9026A">
              <w:rPr>
                <w:lang w:val="en-GB"/>
              </w:rPr>
              <w:t>, New York (1993).</w:t>
            </w:r>
          </w:p>
        </w:tc>
      </w:tr>
      <w:tr w:rsidR="005F3010" w:rsidRPr="00C9026A" w:rsidTr="007912DC">
        <w:trPr>
          <w:cantSplit/>
        </w:trPr>
        <w:tc>
          <w:tcPr>
            <w:tcW w:w="988" w:type="dxa"/>
          </w:tcPr>
          <w:p w:rsidR="005F3010" w:rsidRPr="00C9026A" w:rsidRDefault="005F3010" w:rsidP="00A57A35">
            <w:pPr>
              <w:pStyle w:val="IAEAReferenceText"/>
              <w:rPr>
                <w:lang w:val="en-GB"/>
              </w:rPr>
            </w:pPr>
            <w:r w:rsidRPr="00C9026A">
              <w:rPr>
                <w:lang w:val="en-GB"/>
              </w:rPr>
              <w:t>[</w:t>
            </w:r>
            <w:r w:rsidR="00717572">
              <w:rPr>
                <w:lang w:val="en-GB"/>
              </w:rPr>
              <w:t>40</w:t>
            </w:r>
            <w:r w:rsidRPr="00C9026A">
              <w:rPr>
                <w:lang w:val="en-GB"/>
              </w:rPr>
              <w:t>]</w:t>
            </w:r>
          </w:p>
        </w:tc>
        <w:tc>
          <w:tcPr>
            <w:tcW w:w="8192" w:type="dxa"/>
          </w:tcPr>
          <w:p w:rsidR="005F3010" w:rsidRPr="00C9026A" w:rsidRDefault="005F3010" w:rsidP="00A57A35">
            <w:pPr>
              <w:pStyle w:val="IAEAReferenceText"/>
              <w:ind w:right="-108"/>
              <w:rPr>
                <w:lang w:val="en-GB"/>
              </w:rPr>
            </w:pPr>
            <w:r w:rsidRPr="00C9026A">
              <w:rPr>
                <w:lang w:val="en-GB"/>
              </w:rPr>
              <w:t xml:space="preserve">UNITED NATIONS SCIENTIFIC COMMITTEE ON THE EFFECTS OF ATOMIC RADIATION, Sources and Effects of </w:t>
            </w:r>
            <w:r>
              <w:rPr>
                <w:lang w:val="en-GB"/>
              </w:rPr>
              <w:t>I</w:t>
            </w:r>
            <w:r w:rsidRPr="00C9026A">
              <w:rPr>
                <w:lang w:val="en-GB"/>
              </w:rPr>
              <w:t>onizing Radiation. Report to the General Assembly, with Scientific Annexes, Vol. 1: Sources, UN, New York (2000).</w:t>
            </w:r>
          </w:p>
        </w:tc>
      </w:tr>
      <w:tr w:rsidR="005F3010" w:rsidRPr="00C9026A" w:rsidTr="007912DC">
        <w:trPr>
          <w:cantSplit/>
        </w:trPr>
        <w:tc>
          <w:tcPr>
            <w:tcW w:w="988" w:type="dxa"/>
          </w:tcPr>
          <w:p w:rsidR="005F3010" w:rsidRDefault="005F3010" w:rsidP="00A57A35">
            <w:pPr>
              <w:pStyle w:val="IAEAReferenceText"/>
              <w:rPr>
                <w:lang w:val="en-GB"/>
              </w:rPr>
            </w:pPr>
            <w:r>
              <w:rPr>
                <w:lang w:val="en-GB"/>
              </w:rPr>
              <w:t>[</w:t>
            </w:r>
            <w:r w:rsidR="00717572">
              <w:rPr>
                <w:lang w:val="en-GB"/>
              </w:rPr>
              <w:t>41</w:t>
            </w:r>
            <w:r w:rsidRPr="00C9026A">
              <w:rPr>
                <w:lang w:val="en-GB"/>
              </w:rPr>
              <w:t>]</w:t>
            </w:r>
          </w:p>
        </w:tc>
        <w:tc>
          <w:tcPr>
            <w:tcW w:w="8192" w:type="dxa"/>
          </w:tcPr>
          <w:p w:rsidR="005F3010" w:rsidRPr="00C9026A" w:rsidRDefault="005F3010" w:rsidP="00A57A35">
            <w:pPr>
              <w:pStyle w:val="IAEAReferenceText"/>
              <w:ind w:right="-108"/>
              <w:rPr>
                <w:lang w:val="en-GB"/>
              </w:rPr>
            </w:pPr>
            <w:r w:rsidRPr="00C9026A">
              <w:rPr>
                <w:lang w:val="en-GB"/>
              </w:rPr>
              <w:t xml:space="preserve">INTERNATIONAL ATOMIC ENERGY AGENCY, Site Evaluation for Nuclear Installations, IAEA Safety Standards Series No. NS-R-3 </w:t>
            </w:r>
            <w:r>
              <w:rPr>
                <w:lang w:val="en-GB"/>
              </w:rPr>
              <w:t xml:space="preserve">(Rev. 1), </w:t>
            </w:r>
            <w:r w:rsidRPr="00C9026A">
              <w:rPr>
                <w:lang w:val="en-GB"/>
              </w:rPr>
              <w:t>IAEA, Vienna (20</w:t>
            </w:r>
            <w:r>
              <w:rPr>
                <w:lang w:val="en-GB"/>
              </w:rPr>
              <w:t>16</w:t>
            </w:r>
            <w:r w:rsidRPr="00C9026A">
              <w:rPr>
                <w:lang w:val="en-GB"/>
              </w:rPr>
              <w:t>).</w:t>
            </w:r>
          </w:p>
        </w:tc>
      </w:tr>
      <w:tr w:rsidR="005F3010" w:rsidRPr="00C9026A" w:rsidTr="007912DC">
        <w:trPr>
          <w:cantSplit/>
        </w:trPr>
        <w:tc>
          <w:tcPr>
            <w:tcW w:w="988" w:type="dxa"/>
          </w:tcPr>
          <w:p w:rsidR="005F3010" w:rsidRPr="00C9026A" w:rsidRDefault="005F3010" w:rsidP="00A57A35">
            <w:pPr>
              <w:pStyle w:val="IAEAReferenceText"/>
              <w:rPr>
                <w:lang w:val="en-GB"/>
              </w:rPr>
            </w:pPr>
            <w:r w:rsidRPr="00C9026A">
              <w:rPr>
                <w:lang w:val="en-GB"/>
              </w:rPr>
              <w:t>[</w:t>
            </w:r>
            <w:r>
              <w:rPr>
                <w:lang w:val="en-GB"/>
              </w:rPr>
              <w:t>4</w:t>
            </w:r>
            <w:r w:rsidR="00717572">
              <w:rPr>
                <w:lang w:val="en-GB"/>
              </w:rPr>
              <w:t>2</w:t>
            </w:r>
            <w:r w:rsidRPr="00C9026A">
              <w:rPr>
                <w:lang w:val="en-GB"/>
              </w:rPr>
              <w:t>]</w:t>
            </w:r>
          </w:p>
        </w:tc>
        <w:tc>
          <w:tcPr>
            <w:tcW w:w="8192" w:type="dxa"/>
          </w:tcPr>
          <w:p w:rsidR="005F3010" w:rsidRPr="00C9026A" w:rsidRDefault="005F3010" w:rsidP="00A57A35">
            <w:pPr>
              <w:pStyle w:val="IAEAReferenceText"/>
              <w:ind w:right="-108"/>
              <w:rPr>
                <w:lang w:val="en-GB"/>
              </w:rPr>
            </w:pPr>
            <w:r w:rsidRPr="00C9026A">
              <w:rPr>
                <w:lang w:val="en-GB"/>
              </w:rPr>
              <w:t>INTERNATIONAL ATOMIC ENERGY AGENCY, WORLD METEOROLOGICAL ORGANIZATION, Meteorological and Hydrological Hazards in Site Evaluation for Nuclear Installations, IAEA Safety Standards Series No. SSG-18, IAEA, Vienna (2011).</w:t>
            </w:r>
          </w:p>
        </w:tc>
      </w:tr>
      <w:tr w:rsidR="005F3010" w:rsidRPr="00C9026A" w:rsidTr="007912DC">
        <w:trPr>
          <w:cantSplit/>
        </w:trPr>
        <w:tc>
          <w:tcPr>
            <w:tcW w:w="988" w:type="dxa"/>
          </w:tcPr>
          <w:p w:rsidR="005F3010" w:rsidRPr="00C9026A" w:rsidRDefault="005F3010" w:rsidP="00A57A35">
            <w:pPr>
              <w:pStyle w:val="IAEAReferenceText"/>
              <w:rPr>
                <w:lang w:val="en-GB"/>
              </w:rPr>
            </w:pPr>
            <w:r w:rsidRPr="00C9026A">
              <w:rPr>
                <w:lang w:val="en-GB"/>
              </w:rPr>
              <w:lastRenderedPageBreak/>
              <w:t>[4</w:t>
            </w:r>
            <w:r w:rsidR="00717572">
              <w:rPr>
                <w:lang w:val="en-GB"/>
              </w:rPr>
              <w:t>3</w:t>
            </w:r>
            <w:r w:rsidRPr="00C9026A">
              <w:rPr>
                <w:lang w:val="en-GB"/>
              </w:rPr>
              <w:t>]</w:t>
            </w:r>
          </w:p>
        </w:tc>
        <w:tc>
          <w:tcPr>
            <w:tcW w:w="8192" w:type="dxa"/>
          </w:tcPr>
          <w:p w:rsidR="005F3010" w:rsidRPr="00C9026A" w:rsidRDefault="005F3010" w:rsidP="00A57A35">
            <w:pPr>
              <w:pStyle w:val="IAEAReferenceText"/>
              <w:ind w:right="-108"/>
              <w:rPr>
                <w:lang w:val="en-GB"/>
              </w:rPr>
            </w:pPr>
            <w:r w:rsidRPr="00C9026A">
              <w:rPr>
                <w:lang w:val="en-GB"/>
              </w:rPr>
              <w:t>INTERNATIONAL ATOMIC ENERGY AGENCY, Dispersion of Radioactive Material in Air and Water and Consideration of Population Distribution in Site Evaluation for Nuclear Power Plants, IAEA Safety Standards Series No. NS</w:t>
            </w:r>
            <w:r>
              <w:rPr>
                <w:lang w:val="en-GB"/>
              </w:rPr>
              <w:t>-</w:t>
            </w:r>
            <w:r w:rsidRPr="00C9026A">
              <w:rPr>
                <w:lang w:val="en-GB"/>
              </w:rPr>
              <w:t>G</w:t>
            </w:r>
            <w:r>
              <w:rPr>
                <w:lang w:val="en-GB"/>
              </w:rPr>
              <w:t>-</w:t>
            </w:r>
            <w:r w:rsidRPr="00C9026A">
              <w:rPr>
                <w:lang w:val="en-GB"/>
              </w:rPr>
              <w:t>3.2, IAEA, Vienna (2002).</w:t>
            </w:r>
          </w:p>
        </w:tc>
      </w:tr>
      <w:tr w:rsidR="005F3010" w:rsidRPr="00C9026A" w:rsidTr="007912DC">
        <w:trPr>
          <w:cantSplit/>
        </w:trPr>
        <w:tc>
          <w:tcPr>
            <w:tcW w:w="988" w:type="dxa"/>
          </w:tcPr>
          <w:p w:rsidR="005F3010" w:rsidRPr="00C9026A" w:rsidRDefault="005F3010" w:rsidP="00A57A35">
            <w:pPr>
              <w:pStyle w:val="IAEAReferenceText"/>
              <w:rPr>
                <w:lang w:val="en-GB"/>
              </w:rPr>
            </w:pPr>
            <w:r w:rsidRPr="00C9026A">
              <w:rPr>
                <w:lang w:val="en-GB"/>
              </w:rPr>
              <w:t>[4</w:t>
            </w:r>
            <w:r w:rsidR="00717572">
              <w:rPr>
                <w:lang w:val="en-GB"/>
              </w:rPr>
              <w:t>4</w:t>
            </w:r>
            <w:r w:rsidRPr="00C9026A">
              <w:rPr>
                <w:lang w:val="en-GB"/>
              </w:rPr>
              <w:t>]</w:t>
            </w:r>
          </w:p>
        </w:tc>
        <w:tc>
          <w:tcPr>
            <w:tcW w:w="8192" w:type="dxa"/>
          </w:tcPr>
          <w:p w:rsidR="005F3010" w:rsidRPr="00C9026A" w:rsidRDefault="005F3010" w:rsidP="00A57A35">
            <w:pPr>
              <w:pStyle w:val="IAEAReferenceText"/>
              <w:ind w:right="-108"/>
              <w:rPr>
                <w:lang w:val="en-GB"/>
              </w:rPr>
            </w:pPr>
            <w:r w:rsidRPr="00C9026A">
              <w:rPr>
                <w:lang w:val="en-GB"/>
              </w:rPr>
              <w:t>INTERNATIONAL COMMISSION ON RADIOLOGICAL PROTECTION, Assessing Dose of the Representative Person for the Purpose of Radiation Protection of the Public and The Optimisation of Radiological Protection: Broadening the Process, ICRP Publication 101a/b (2006).</w:t>
            </w:r>
          </w:p>
        </w:tc>
      </w:tr>
      <w:tr w:rsidR="005F3010" w:rsidRPr="00C9026A" w:rsidTr="007912DC">
        <w:trPr>
          <w:cantSplit/>
        </w:trPr>
        <w:tc>
          <w:tcPr>
            <w:tcW w:w="988" w:type="dxa"/>
          </w:tcPr>
          <w:p w:rsidR="005F3010" w:rsidRPr="00C9026A" w:rsidRDefault="005F3010" w:rsidP="00A57A35">
            <w:pPr>
              <w:pStyle w:val="IAEAReferenceText"/>
              <w:rPr>
                <w:lang w:val="en-GB"/>
              </w:rPr>
            </w:pPr>
            <w:r w:rsidRPr="00C9026A">
              <w:rPr>
                <w:lang w:val="en-GB"/>
              </w:rPr>
              <w:t>[4</w:t>
            </w:r>
            <w:r w:rsidR="00717572">
              <w:rPr>
                <w:lang w:val="en-GB"/>
              </w:rPr>
              <w:t>5</w:t>
            </w:r>
            <w:r w:rsidRPr="00C9026A">
              <w:rPr>
                <w:lang w:val="en-GB"/>
              </w:rPr>
              <w:t>]</w:t>
            </w:r>
          </w:p>
        </w:tc>
        <w:tc>
          <w:tcPr>
            <w:tcW w:w="8192" w:type="dxa"/>
          </w:tcPr>
          <w:p w:rsidR="005F3010" w:rsidRPr="00C9026A" w:rsidRDefault="005F3010" w:rsidP="00A57A35">
            <w:pPr>
              <w:pStyle w:val="IAEAReferenceText"/>
              <w:ind w:right="-108"/>
              <w:rPr>
                <w:lang w:val="en-GB"/>
              </w:rPr>
            </w:pPr>
            <w:r w:rsidRPr="00C9026A">
              <w:rPr>
                <w:lang w:val="en-GB"/>
              </w:rPr>
              <w:t>INTERNATIONAL COMMISSION ON RADIOLOGICAL PROTECTION, Compendium of Dose Coefficients based on ICRP Publication 60, ICRP Publication 119, Elsevier (2012).</w:t>
            </w:r>
          </w:p>
        </w:tc>
      </w:tr>
      <w:tr w:rsidR="005F3010" w:rsidRPr="00C9026A" w:rsidTr="007912DC">
        <w:trPr>
          <w:cantSplit/>
        </w:trPr>
        <w:tc>
          <w:tcPr>
            <w:tcW w:w="988" w:type="dxa"/>
          </w:tcPr>
          <w:p w:rsidR="005F3010" w:rsidRPr="00C9026A" w:rsidRDefault="005F3010" w:rsidP="00A57A35">
            <w:pPr>
              <w:pStyle w:val="IAEAReferenceText"/>
              <w:rPr>
                <w:lang w:val="en-GB"/>
              </w:rPr>
            </w:pPr>
            <w:r w:rsidRPr="00C9026A">
              <w:rPr>
                <w:lang w:val="en-GB"/>
              </w:rPr>
              <w:t>[4</w:t>
            </w:r>
            <w:r w:rsidR="00717572">
              <w:rPr>
                <w:lang w:val="en-GB"/>
              </w:rPr>
              <w:t>6</w:t>
            </w:r>
            <w:r w:rsidRPr="00C9026A">
              <w:rPr>
                <w:lang w:val="en-GB"/>
              </w:rPr>
              <w:t>]</w:t>
            </w:r>
          </w:p>
        </w:tc>
        <w:tc>
          <w:tcPr>
            <w:tcW w:w="8192" w:type="dxa"/>
          </w:tcPr>
          <w:p w:rsidR="005F3010" w:rsidRPr="00C9026A" w:rsidRDefault="005F3010" w:rsidP="00A57A35">
            <w:pPr>
              <w:pStyle w:val="IAEAReferenceText"/>
              <w:ind w:right="-108"/>
              <w:rPr>
                <w:lang w:val="en-GB"/>
              </w:rPr>
            </w:pPr>
            <w:r w:rsidRPr="00C9026A">
              <w:rPr>
                <w:lang w:val="en-GB"/>
              </w:rPr>
              <w:t>INTERNATIONAL COMMISSION ON RADIOLOGICAL PROTECTION, Conversion Coefficients for Radiological Protection Quantities for External Radiation Exposures, ICRP Publication 116, Elsevier (2010).</w:t>
            </w:r>
          </w:p>
        </w:tc>
      </w:tr>
      <w:tr w:rsidR="005F3010" w:rsidRPr="00C9026A" w:rsidTr="007912DC">
        <w:trPr>
          <w:cantSplit/>
        </w:trPr>
        <w:tc>
          <w:tcPr>
            <w:tcW w:w="988" w:type="dxa"/>
          </w:tcPr>
          <w:p w:rsidR="005F3010" w:rsidRPr="00C9026A" w:rsidRDefault="005F3010" w:rsidP="00A57A35">
            <w:pPr>
              <w:pStyle w:val="IAEAReferenceText"/>
              <w:rPr>
                <w:lang w:val="en-GB"/>
              </w:rPr>
            </w:pPr>
            <w:r w:rsidRPr="00C9026A">
              <w:rPr>
                <w:lang w:val="en-GB"/>
              </w:rPr>
              <w:t>[4</w:t>
            </w:r>
            <w:r w:rsidR="00717572">
              <w:rPr>
                <w:lang w:val="en-GB"/>
              </w:rPr>
              <w:t>7</w:t>
            </w:r>
            <w:r w:rsidRPr="00C9026A">
              <w:rPr>
                <w:lang w:val="en-GB"/>
              </w:rPr>
              <w:t>]</w:t>
            </w:r>
          </w:p>
        </w:tc>
        <w:tc>
          <w:tcPr>
            <w:tcW w:w="8192" w:type="dxa"/>
          </w:tcPr>
          <w:p w:rsidR="005F3010" w:rsidRPr="00C9026A" w:rsidRDefault="005F3010" w:rsidP="00346113">
            <w:pPr>
              <w:pStyle w:val="IAEAReferenceText"/>
              <w:ind w:right="-108"/>
              <w:rPr>
                <w:lang w:val="en-GB"/>
              </w:rPr>
            </w:pPr>
            <w:r w:rsidRPr="00C9026A">
              <w:rPr>
                <w:lang w:val="en-GB"/>
              </w:rPr>
              <w:t xml:space="preserve">INTERNATIONAL ATOMIC ENERGY AGENCY, </w:t>
            </w:r>
            <w:r w:rsidRPr="00C9026A">
              <w:t>Safety of Nuclear Power Plants</w:t>
            </w:r>
            <w:r>
              <w:t>:</w:t>
            </w:r>
            <w:r w:rsidRPr="00C9026A">
              <w:t xml:space="preserve"> Design, </w:t>
            </w:r>
            <w:r>
              <w:t>IAEA Safety Standards</w:t>
            </w:r>
            <w:r w:rsidRPr="00C9026A">
              <w:rPr>
                <w:lang w:val="en-GB"/>
              </w:rPr>
              <w:t xml:space="preserve"> Series No. SSR-2/1 </w:t>
            </w:r>
            <w:r>
              <w:rPr>
                <w:lang w:val="en-GB"/>
              </w:rPr>
              <w:t xml:space="preserve">(Rev. 1), </w:t>
            </w:r>
            <w:r w:rsidRPr="00C9026A">
              <w:rPr>
                <w:lang w:val="en-GB"/>
              </w:rPr>
              <w:t>IAEA, Vienna (201</w:t>
            </w:r>
            <w:r>
              <w:rPr>
                <w:lang w:val="en-GB"/>
              </w:rPr>
              <w:t>6</w:t>
            </w:r>
            <w:r w:rsidRPr="00C9026A">
              <w:rPr>
                <w:lang w:val="en-GB"/>
              </w:rPr>
              <w:t>).</w:t>
            </w:r>
          </w:p>
        </w:tc>
      </w:tr>
      <w:tr w:rsidR="005F3010" w:rsidRPr="00C9026A" w:rsidTr="007912DC">
        <w:trPr>
          <w:cantSplit/>
        </w:trPr>
        <w:tc>
          <w:tcPr>
            <w:tcW w:w="988" w:type="dxa"/>
          </w:tcPr>
          <w:p w:rsidR="005F3010" w:rsidRPr="00C9026A" w:rsidRDefault="005F3010" w:rsidP="00A57A35">
            <w:pPr>
              <w:pStyle w:val="IAEAReferenceText"/>
              <w:rPr>
                <w:lang w:val="en-GB"/>
              </w:rPr>
            </w:pPr>
            <w:r w:rsidRPr="00C9026A">
              <w:rPr>
                <w:lang w:val="en-GB"/>
              </w:rPr>
              <w:t>[4</w:t>
            </w:r>
            <w:r w:rsidR="00717572">
              <w:rPr>
                <w:lang w:val="en-GB"/>
              </w:rPr>
              <w:t>8</w:t>
            </w:r>
            <w:r w:rsidRPr="00C9026A">
              <w:rPr>
                <w:lang w:val="en-GB"/>
              </w:rPr>
              <w:t>]</w:t>
            </w:r>
          </w:p>
        </w:tc>
        <w:tc>
          <w:tcPr>
            <w:tcW w:w="8192" w:type="dxa"/>
          </w:tcPr>
          <w:p w:rsidR="005F3010" w:rsidRPr="00C9026A" w:rsidRDefault="005F3010" w:rsidP="00A57A35">
            <w:pPr>
              <w:pStyle w:val="IAEAReferenceText"/>
              <w:ind w:right="-108"/>
              <w:rPr>
                <w:lang w:val="en-GB"/>
              </w:rPr>
            </w:pPr>
            <w:r w:rsidRPr="00C9026A">
              <w:rPr>
                <w:lang w:val="en-GB"/>
              </w:rPr>
              <w:t xml:space="preserve">INTERNATIONAL ATOMIC ENERGY AGENCY, Safety of Nuclear Power Plants: Commissioning and Operation, </w:t>
            </w:r>
            <w:r>
              <w:rPr>
                <w:lang w:val="en-GB"/>
              </w:rPr>
              <w:t>IAEA Safety Standards</w:t>
            </w:r>
            <w:r w:rsidRPr="00C9026A">
              <w:rPr>
                <w:lang w:val="en-GB"/>
              </w:rPr>
              <w:t xml:space="preserve"> Series No. SSR-2/2 </w:t>
            </w:r>
            <w:r>
              <w:rPr>
                <w:lang w:val="en-GB"/>
              </w:rPr>
              <w:t xml:space="preserve">(Rev. 1), </w:t>
            </w:r>
            <w:r w:rsidRPr="00C9026A">
              <w:rPr>
                <w:lang w:val="en-GB"/>
              </w:rPr>
              <w:t>IAEA, Vienna (201</w:t>
            </w:r>
            <w:r>
              <w:rPr>
                <w:lang w:val="en-GB"/>
              </w:rPr>
              <w:t>6</w:t>
            </w:r>
            <w:r w:rsidRPr="00C9026A">
              <w:rPr>
                <w:lang w:val="en-GB"/>
              </w:rPr>
              <w:t>).</w:t>
            </w:r>
          </w:p>
        </w:tc>
      </w:tr>
      <w:tr w:rsidR="005F3010" w:rsidRPr="00C9026A" w:rsidTr="007912DC">
        <w:trPr>
          <w:cantSplit/>
        </w:trPr>
        <w:tc>
          <w:tcPr>
            <w:tcW w:w="988" w:type="dxa"/>
          </w:tcPr>
          <w:p w:rsidR="005F3010" w:rsidRPr="00C9026A" w:rsidRDefault="005F3010" w:rsidP="00A57A35">
            <w:pPr>
              <w:pStyle w:val="IAEAReferenceText"/>
              <w:rPr>
                <w:lang w:val="en-GB"/>
              </w:rPr>
            </w:pPr>
            <w:r w:rsidRPr="00C9026A">
              <w:rPr>
                <w:lang w:val="en-GB"/>
              </w:rPr>
              <w:t>[4</w:t>
            </w:r>
            <w:r w:rsidR="00717572">
              <w:rPr>
                <w:lang w:val="en-GB"/>
              </w:rPr>
              <w:t>9</w:t>
            </w:r>
            <w:r w:rsidRPr="00C9026A">
              <w:rPr>
                <w:lang w:val="en-GB"/>
              </w:rPr>
              <w:t>]</w:t>
            </w:r>
          </w:p>
        </w:tc>
        <w:tc>
          <w:tcPr>
            <w:tcW w:w="8192" w:type="dxa"/>
          </w:tcPr>
          <w:p w:rsidR="005F3010" w:rsidRPr="00C9026A" w:rsidRDefault="005F3010" w:rsidP="00A57A35">
            <w:pPr>
              <w:pStyle w:val="IAEAReferenceText"/>
              <w:ind w:right="-108"/>
              <w:rPr>
                <w:lang w:val="en-GB"/>
              </w:rPr>
            </w:pPr>
            <w:r w:rsidRPr="00C9026A">
              <w:rPr>
                <w:lang w:val="en-GB"/>
              </w:rPr>
              <w:t>INTERNATIONAL ATOMIC ENERGY AGENCY, Derivation of the Source Term and Analysis of the Radiological Consequences of Research Reactor Accidents, Safety Reports Series No. 53, IAEA, Vienna (2008).</w:t>
            </w:r>
          </w:p>
        </w:tc>
      </w:tr>
      <w:tr w:rsidR="005F3010" w:rsidRPr="00C9026A" w:rsidTr="007912DC">
        <w:trPr>
          <w:cantSplit/>
        </w:trPr>
        <w:tc>
          <w:tcPr>
            <w:tcW w:w="988" w:type="dxa"/>
          </w:tcPr>
          <w:p w:rsidR="005F3010" w:rsidRPr="00C9026A" w:rsidRDefault="005F3010" w:rsidP="00A57A35">
            <w:pPr>
              <w:pStyle w:val="IAEAReferenceText"/>
              <w:rPr>
                <w:lang w:val="en-GB"/>
              </w:rPr>
            </w:pPr>
            <w:r w:rsidRPr="00C9026A">
              <w:rPr>
                <w:lang w:val="en-GB"/>
              </w:rPr>
              <w:t>[</w:t>
            </w:r>
            <w:r w:rsidR="00717572">
              <w:rPr>
                <w:lang w:val="en-GB"/>
              </w:rPr>
              <w:t>50</w:t>
            </w:r>
            <w:r w:rsidRPr="00C9026A">
              <w:rPr>
                <w:lang w:val="en-GB"/>
              </w:rPr>
              <w:t>]</w:t>
            </w:r>
          </w:p>
        </w:tc>
        <w:tc>
          <w:tcPr>
            <w:tcW w:w="8192" w:type="dxa"/>
          </w:tcPr>
          <w:p w:rsidR="005F3010" w:rsidRPr="00C9026A" w:rsidRDefault="005F3010" w:rsidP="00A57A35">
            <w:pPr>
              <w:pStyle w:val="IAEAReferenceText"/>
              <w:ind w:right="-108"/>
              <w:rPr>
                <w:lang w:val="en-GB"/>
              </w:rPr>
            </w:pPr>
            <w:r w:rsidRPr="00C9026A">
              <w:rPr>
                <w:lang w:val="en-GB"/>
              </w:rPr>
              <w:t>UNITED STATES NUCLEAR REGULATORY COMMISSION, Accident Source terms for Light-Water Nuclear Power Plants, NUREG-1465, US NRC</w:t>
            </w:r>
            <w:r>
              <w:rPr>
                <w:lang w:val="en-GB"/>
              </w:rPr>
              <w:t>, Washington DC</w:t>
            </w:r>
            <w:r w:rsidRPr="00C9026A">
              <w:rPr>
                <w:lang w:val="en-GB"/>
              </w:rPr>
              <w:t xml:space="preserve"> (1995).</w:t>
            </w:r>
          </w:p>
        </w:tc>
      </w:tr>
      <w:tr w:rsidR="005F3010" w:rsidRPr="00C9026A" w:rsidTr="007912DC">
        <w:trPr>
          <w:cantSplit/>
        </w:trPr>
        <w:tc>
          <w:tcPr>
            <w:tcW w:w="988" w:type="dxa"/>
            <w:shd w:val="clear" w:color="auto" w:fill="auto"/>
          </w:tcPr>
          <w:p w:rsidR="005F3010" w:rsidRPr="00C9026A" w:rsidRDefault="005F3010" w:rsidP="00143F53">
            <w:pPr>
              <w:pStyle w:val="BodyText"/>
              <w:rPr>
                <w:lang w:val="en-GB"/>
              </w:rPr>
            </w:pPr>
            <w:r>
              <w:rPr>
                <w:lang w:val="en-GB"/>
              </w:rPr>
              <w:t>[5</w:t>
            </w:r>
            <w:r w:rsidR="00717572">
              <w:rPr>
                <w:lang w:val="en-GB"/>
              </w:rPr>
              <w:t>1</w:t>
            </w:r>
            <w:r>
              <w:rPr>
                <w:lang w:val="en-GB"/>
              </w:rPr>
              <w:t>]</w:t>
            </w:r>
          </w:p>
        </w:tc>
        <w:tc>
          <w:tcPr>
            <w:tcW w:w="8192" w:type="dxa"/>
            <w:shd w:val="clear" w:color="auto" w:fill="auto"/>
          </w:tcPr>
          <w:p w:rsidR="005F3010" w:rsidRPr="00C9026A" w:rsidRDefault="005F3010" w:rsidP="00A57A35">
            <w:pPr>
              <w:pStyle w:val="IAEAReferenceText"/>
              <w:ind w:right="-108"/>
              <w:rPr>
                <w:lang w:val="en-GB"/>
              </w:rPr>
            </w:pPr>
            <w:r w:rsidRPr="00D865CC">
              <w:t>INTERNATIONAL ATOMIC ENERGY AGENCY</w:t>
            </w:r>
            <w:r>
              <w:t>,</w:t>
            </w:r>
            <w:r w:rsidDel="006A21D6">
              <w:t xml:space="preserve"> </w:t>
            </w:r>
            <w:r>
              <w:t>Environmental Consequences of the Chernobyl Accident and Their Remediation: Twenty Years of Experience, Report of the Chernobyl Forum Expert Group ‘Environment’, Radiological Assessment Report Series, IAEA, Vienna (2006).</w:t>
            </w:r>
          </w:p>
        </w:tc>
      </w:tr>
      <w:tr w:rsidR="00717572" w:rsidRPr="00C9026A" w:rsidTr="007912DC">
        <w:trPr>
          <w:cantSplit/>
        </w:trPr>
        <w:tc>
          <w:tcPr>
            <w:tcW w:w="988" w:type="dxa"/>
            <w:shd w:val="clear" w:color="auto" w:fill="auto"/>
          </w:tcPr>
          <w:p w:rsidR="00717572" w:rsidRDefault="00717572" w:rsidP="00933447">
            <w:pPr>
              <w:pStyle w:val="BodyText"/>
              <w:rPr>
                <w:lang w:val="en-GB"/>
              </w:rPr>
            </w:pPr>
            <w:r w:rsidRPr="00C9026A">
              <w:rPr>
                <w:lang w:val="en-GB"/>
              </w:rPr>
              <w:t>[</w:t>
            </w:r>
            <w:r>
              <w:rPr>
                <w:lang w:val="en-GB"/>
              </w:rPr>
              <w:t>52</w:t>
            </w:r>
            <w:r w:rsidRPr="00C9026A">
              <w:rPr>
                <w:lang w:val="en-GB"/>
              </w:rPr>
              <w:t>]</w:t>
            </w:r>
          </w:p>
        </w:tc>
        <w:tc>
          <w:tcPr>
            <w:tcW w:w="8192" w:type="dxa"/>
            <w:shd w:val="clear" w:color="auto" w:fill="auto"/>
          </w:tcPr>
          <w:p w:rsidR="00717572" w:rsidRPr="00D865CC" w:rsidRDefault="00717572" w:rsidP="00A57A35">
            <w:pPr>
              <w:pStyle w:val="IAEAReferenceText"/>
              <w:ind w:right="-108"/>
            </w:pPr>
            <w:r w:rsidRPr="00C9026A">
              <w:rPr>
                <w:lang w:val="en-GB"/>
              </w:rPr>
              <w:t xml:space="preserve">INTERNATIONAL COMMISSION ON RADIOLOGICAL PROTECTION, Protection from Potential Exposure – A Conceptual Framework, ICRP Publication 64, </w:t>
            </w:r>
            <w:proofErr w:type="spellStart"/>
            <w:r w:rsidRPr="00C9026A">
              <w:rPr>
                <w:lang w:val="en-GB"/>
              </w:rPr>
              <w:t>Pergamon</w:t>
            </w:r>
            <w:proofErr w:type="spellEnd"/>
            <w:r w:rsidRPr="00C9026A">
              <w:rPr>
                <w:lang w:val="en-GB"/>
              </w:rPr>
              <w:t xml:space="preserve"> (199</w:t>
            </w:r>
            <w:r>
              <w:rPr>
                <w:lang w:val="en-GB"/>
              </w:rPr>
              <w:t>3</w:t>
            </w:r>
            <w:r w:rsidRPr="00C9026A">
              <w:rPr>
                <w:lang w:val="en-GB"/>
              </w:rPr>
              <w:t>).</w:t>
            </w:r>
          </w:p>
        </w:tc>
      </w:tr>
      <w:tr w:rsidR="00717572" w:rsidRPr="00C9026A" w:rsidTr="00935F0E">
        <w:trPr>
          <w:cantSplit/>
        </w:trPr>
        <w:tc>
          <w:tcPr>
            <w:tcW w:w="988" w:type="dxa"/>
          </w:tcPr>
          <w:p w:rsidR="00717572" w:rsidRPr="00C9026A" w:rsidRDefault="00717572" w:rsidP="00A57A35">
            <w:pPr>
              <w:pStyle w:val="IAEAReferenceText"/>
              <w:rPr>
                <w:lang w:val="en-GB"/>
              </w:rPr>
            </w:pPr>
            <w:r w:rsidRPr="00C9026A">
              <w:rPr>
                <w:lang w:val="en-GB"/>
              </w:rPr>
              <w:t>[5</w:t>
            </w:r>
            <w:r>
              <w:rPr>
                <w:lang w:val="en-GB"/>
              </w:rPr>
              <w:t>3</w:t>
            </w:r>
            <w:r w:rsidRPr="00C9026A">
              <w:rPr>
                <w:lang w:val="en-GB"/>
              </w:rPr>
              <w:t>]</w:t>
            </w:r>
          </w:p>
        </w:tc>
        <w:tc>
          <w:tcPr>
            <w:tcW w:w="8192" w:type="dxa"/>
          </w:tcPr>
          <w:p w:rsidR="00717572" w:rsidRPr="00C9026A" w:rsidRDefault="00717572" w:rsidP="00CD1309">
            <w:pPr>
              <w:pStyle w:val="IAEAReferenceText"/>
              <w:ind w:right="-108"/>
              <w:rPr>
                <w:lang w:val="en-GB"/>
              </w:rPr>
            </w:pPr>
            <w:r w:rsidRPr="00C9026A">
              <w:rPr>
                <w:lang w:val="en-GB"/>
              </w:rPr>
              <w:t xml:space="preserve">INTERNATIONAL </w:t>
            </w:r>
            <w:r>
              <w:rPr>
                <w:lang w:val="en-GB"/>
              </w:rPr>
              <w:t>NUCLEAR SAFETY ADVISORY GROUP</w:t>
            </w:r>
            <w:r w:rsidRPr="00C9026A">
              <w:rPr>
                <w:lang w:val="en-GB"/>
              </w:rPr>
              <w:t>, Potential Exposure in Nuclear Safety, A Report by the International Nuclear Safety Advisory Group, INSAG-9, IAEA, Vienna (1995).</w:t>
            </w:r>
          </w:p>
        </w:tc>
      </w:tr>
      <w:tr w:rsidR="00717572" w:rsidRPr="00C9026A" w:rsidTr="00935F0E">
        <w:trPr>
          <w:cantSplit/>
        </w:trPr>
        <w:tc>
          <w:tcPr>
            <w:tcW w:w="988" w:type="dxa"/>
          </w:tcPr>
          <w:p w:rsidR="00717572" w:rsidRPr="00C9026A" w:rsidRDefault="00717572" w:rsidP="00A57A35">
            <w:pPr>
              <w:pStyle w:val="IAEAReferenceText"/>
              <w:rPr>
                <w:lang w:val="en-GB"/>
              </w:rPr>
            </w:pPr>
            <w:r w:rsidRPr="00C9026A">
              <w:rPr>
                <w:lang w:val="en-GB"/>
              </w:rPr>
              <w:t>[5</w:t>
            </w:r>
            <w:r>
              <w:rPr>
                <w:lang w:val="en-GB"/>
              </w:rPr>
              <w:t>4</w:t>
            </w:r>
            <w:r w:rsidRPr="00C9026A">
              <w:rPr>
                <w:lang w:val="en-GB"/>
              </w:rPr>
              <w:t>]</w:t>
            </w:r>
          </w:p>
        </w:tc>
        <w:tc>
          <w:tcPr>
            <w:tcW w:w="8192" w:type="dxa"/>
          </w:tcPr>
          <w:p w:rsidR="00717572" w:rsidRPr="00C9026A" w:rsidRDefault="00717572" w:rsidP="009809D9">
            <w:pPr>
              <w:pStyle w:val="BodyText"/>
              <w:spacing w:after="0"/>
            </w:pPr>
            <w:r w:rsidRPr="00C9026A">
              <w:t xml:space="preserve">INTERNATIONAL COMMISSION ON RADIOLOGICAL PROTECTION, Environmental Protection: the Concept and Use of Reference Animals and Plants, ICRP Publication 108, Elsevier (2008). </w:t>
            </w:r>
          </w:p>
        </w:tc>
      </w:tr>
      <w:tr w:rsidR="00717572" w:rsidRPr="00C9026A" w:rsidTr="00AB4613">
        <w:trPr>
          <w:cantSplit/>
        </w:trPr>
        <w:tc>
          <w:tcPr>
            <w:tcW w:w="988" w:type="dxa"/>
          </w:tcPr>
          <w:p w:rsidR="00717572" w:rsidRPr="00C9026A" w:rsidRDefault="00717572" w:rsidP="00CD1309">
            <w:pPr>
              <w:pStyle w:val="IAEAReferenceText"/>
              <w:rPr>
                <w:lang w:val="en-GB"/>
              </w:rPr>
            </w:pPr>
            <w:r w:rsidRPr="00C9026A">
              <w:rPr>
                <w:lang w:val="en-GB"/>
              </w:rPr>
              <w:t>[5</w:t>
            </w:r>
            <w:r>
              <w:rPr>
                <w:lang w:val="en-GB"/>
              </w:rPr>
              <w:t>5</w:t>
            </w:r>
            <w:r w:rsidRPr="00C9026A">
              <w:rPr>
                <w:lang w:val="en-GB"/>
              </w:rPr>
              <w:t>]</w:t>
            </w:r>
          </w:p>
        </w:tc>
        <w:tc>
          <w:tcPr>
            <w:tcW w:w="8192" w:type="dxa"/>
          </w:tcPr>
          <w:p w:rsidR="00717572" w:rsidRPr="00C9026A" w:rsidRDefault="00717572" w:rsidP="009809D9">
            <w:pPr>
              <w:pStyle w:val="BodyText"/>
              <w:spacing w:after="0"/>
            </w:pPr>
            <w:r w:rsidRPr="00C9026A">
              <w:t>INTERNATIONAL COMMISSION ON RADIOLOGICAL PROTECTION, Protection of the Environment under Different Exposure Situations, ICRP Publication 124, Ann. ICRP 43(1) SAGE, UK (2014).</w:t>
            </w:r>
          </w:p>
        </w:tc>
      </w:tr>
      <w:tr w:rsidR="00717572" w:rsidRPr="00C9026A" w:rsidTr="00AB4613">
        <w:trPr>
          <w:cantSplit/>
        </w:trPr>
        <w:tc>
          <w:tcPr>
            <w:tcW w:w="988" w:type="dxa"/>
          </w:tcPr>
          <w:p w:rsidR="00717572" w:rsidRPr="00C9026A" w:rsidRDefault="00717572" w:rsidP="00A57A35">
            <w:pPr>
              <w:pStyle w:val="IAEAReferenceText"/>
              <w:rPr>
                <w:lang w:val="en-GB"/>
              </w:rPr>
            </w:pPr>
            <w:r>
              <w:rPr>
                <w:lang w:val="en-GB"/>
              </w:rPr>
              <w:t>[56]</w:t>
            </w:r>
          </w:p>
        </w:tc>
        <w:tc>
          <w:tcPr>
            <w:tcW w:w="8192" w:type="dxa"/>
          </w:tcPr>
          <w:p w:rsidR="00717572" w:rsidRPr="00C9026A" w:rsidRDefault="00717572" w:rsidP="00BD5AEC">
            <w:pPr>
              <w:pStyle w:val="BodyText"/>
              <w:spacing w:after="0"/>
            </w:pPr>
            <w:r w:rsidRPr="00240EE8">
              <w:rPr>
                <w:lang w:val="en-GB"/>
              </w:rPr>
              <w:t>INTERNATIONAL ATOMIC ENERGY AGENCY</w:t>
            </w:r>
            <w:r w:rsidRPr="00240EE8">
              <w:t xml:space="preserve">, </w:t>
            </w:r>
            <w:r w:rsidRPr="00240EE8">
              <w:rPr>
                <w:bCs/>
                <w:iCs/>
              </w:rPr>
              <w:t>Determining the Suitability of Materials for Disposal at Sea under the London Convention 19</w:t>
            </w:r>
            <w:r>
              <w:rPr>
                <w:bCs/>
                <w:iCs/>
              </w:rPr>
              <w:t>7</w:t>
            </w:r>
            <w:r w:rsidRPr="00240EE8">
              <w:rPr>
                <w:bCs/>
                <w:iCs/>
              </w:rPr>
              <w:t xml:space="preserve">2 and London Protocol 1996: A Radiological Assessment Procedure, </w:t>
            </w:r>
            <w:r w:rsidRPr="00240EE8">
              <w:rPr>
                <w:bCs/>
              </w:rPr>
              <w:t>IAEA-TECDOC</w:t>
            </w:r>
            <w:r>
              <w:rPr>
                <w:bCs/>
              </w:rPr>
              <w:t>-</w:t>
            </w:r>
            <w:r w:rsidRPr="00240EE8">
              <w:rPr>
                <w:bCs/>
              </w:rPr>
              <w:t>1759,</w:t>
            </w:r>
            <w:r>
              <w:rPr>
                <w:bCs/>
              </w:rPr>
              <w:t xml:space="preserve"> IAEA, </w:t>
            </w:r>
            <w:r w:rsidRPr="00240EE8">
              <w:rPr>
                <w:bCs/>
              </w:rPr>
              <w:t xml:space="preserve">Vienna </w:t>
            </w:r>
            <w:r>
              <w:rPr>
                <w:bCs/>
              </w:rPr>
              <w:t>(2015)</w:t>
            </w:r>
            <w:r w:rsidRPr="00240EE8">
              <w:rPr>
                <w:bCs/>
              </w:rPr>
              <w:t xml:space="preserve">. </w:t>
            </w:r>
          </w:p>
        </w:tc>
      </w:tr>
      <w:tr w:rsidR="00717572" w:rsidRPr="00C9026A" w:rsidTr="00AB4613">
        <w:trPr>
          <w:cantSplit/>
        </w:trPr>
        <w:tc>
          <w:tcPr>
            <w:tcW w:w="988" w:type="dxa"/>
          </w:tcPr>
          <w:p w:rsidR="00717572" w:rsidRPr="00C9026A" w:rsidRDefault="00717572" w:rsidP="00A57A35">
            <w:pPr>
              <w:pStyle w:val="IAEAReferenceText"/>
              <w:rPr>
                <w:lang w:val="en-GB"/>
              </w:rPr>
            </w:pPr>
            <w:r w:rsidRPr="00C9026A">
              <w:rPr>
                <w:lang w:val="en-GB"/>
              </w:rPr>
              <w:t>[5</w:t>
            </w:r>
            <w:r>
              <w:rPr>
                <w:lang w:val="en-GB"/>
              </w:rPr>
              <w:t>7</w:t>
            </w:r>
            <w:r w:rsidRPr="00C9026A">
              <w:rPr>
                <w:lang w:val="en-GB"/>
              </w:rPr>
              <w:t>]</w:t>
            </w:r>
          </w:p>
        </w:tc>
        <w:tc>
          <w:tcPr>
            <w:tcW w:w="8192" w:type="dxa"/>
          </w:tcPr>
          <w:p w:rsidR="00717572" w:rsidRPr="00C9026A" w:rsidRDefault="00717572" w:rsidP="00BD5AEC">
            <w:pPr>
              <w:pStyle w:val="BodyText"/>
              <w:spacing w:after="0"/>
            </w:pPr>
            <w:r w:rsidRPr="00C9026A">
              <w:t xml:space="preserve">INTERNATIONAL </w:t>
            </w:r>
            <w:r>
              <w:t>NUCLEAR SAFETY ADVISORY GROUP</w:t>
            </w:r>
            <w:r w:rsidRPr="00C9026A">
              <w:t>, Basic Safety Principles for Nuclear Power Plants, A Report by the International Nuclear Safety Advisory Group, 75-INSAG-3 Rev. 1,</w:t>
            </w:r>
            <w:r>
              <w:t xml:space="preserve"> </w:t>
            </w:r>
            <w:r w:rsidRPr="00C9026A">
              <w:t>INSAG 12, IAEA, Vienna (1999).</w:t>
            </w:r>
          </w:p>
        </w:tc>
      </w:tr>
    </w:tbl>
    <w:p w:rsidR="005F3010" w:rsidRDefault="005F3010" w:rsidP="00A57A35">
      <w:pPr>
        <w:pStyle w:val="BodyText"/>
        <w:rPr>
          <w:lang w:val="en-GB"/>
        </w:rPr>
      </w:pPr>
    </w:p>
    <w:p w:rsidR="00417688" w:rsidRPr="00C9026A" w:rsidRDefault="00417688" w:rsidP="00A57A35">
      <w:pPr>
        <w:pStyle w:val="BodyText"/>
        <w:rPr>
          <w:lang w:val="en-GB"/>
        </w:rPr>
      </w:pPr>
    </w:p>
    <w:p w:rsidR="009F69CD" w:rsidRPr="00C9026A" w:rsidRDefault="009F69CD" w:rsidP="00A57A35">
      <w:pPr>
        <w:pStyle w:val="BodyText"/>
        <w:rPr>
          <w:lang w:val="en-GB"/>
        </w:rPr>
        <w:sectPr w:rsidR="009F69CD" w:rsidRPr="00C9026A" w:rsidSect="00251D81">
          <w:type w:val="oddPage"/>
          <w:pgSz w:w="11907" w:h="16840" w:code="9"/>
          <w:pgMar w:top="1134" w:right="1418" w:bottom="1531" w:left="1418" w:header="709" w:footer="709" w:gutter="0"/>
          <w:cols w:space="720"/>
          <w:docGrid w:linePitch="360"/>
        </w:sectPr>
      </w:pPr>
    </w:p>
    <w:p w:rsidR="003465B6" w:rsidRPr="00BD0D6A" w:rsidRDefault="00C663A5" w:rsidP="00A57A35">
      <w:pPr>
        <w:pStyle w:val="AnnexHeading1"/>
        <w:spacing w:after="360"/>
        <w:ind w:left="0"/>
        <w:rPr>
          <w:szCs w:val="28"/>
          <w:lang w:val="en-GB"/>
        </w:rPr>
      </w:pPr>
      <w:r>
        <w:rPr>
          <w:sz w:val="24"/>
          <w:lang w:val="en-GB"/>
        </w:rPr>
        <w:lastRenderedPageBreak/>
        <w:br/>
      </w:r>
      <w:bookmarkStart w:id="97" w:name="_Toc447613503"/>
      <w:bookmarkStart w:id="98" w:name="_Toc450204026"/>
      <w:r w:rsidR="00BB5A4E">
        <w:rPr>
          <w:szCs w:val="28"/>
          <w:lang w:val="en-GB"/>
        </w:rPr>
        <w:t>EXAMPLE OF a generic methodology for</w:t>
      </w:r>
      <w:r w:rsidR="000D7B53" w:rsidRPr="00BD0D6A">
        <w:rPr>
          <w:szCs w:val="28"/>
          <w:lang w:val="en-GB"/>
        </w:rPr>
        <w:t xml:space="preserve"> </w:t>
      </w:r>
      <w:r w:rsidR="00BB5A4E">
        <w:rPr>
          <w:szCs w:val="28"/>
          <w:lang w:val="en-GB"/>
        </w:rPr>
        <w:t>assessing exposures of</w:t>
      </w:r>
      <w:r w:rsidR="008273A3" w:rsidRPr="00BD0D6A">
        <w:rPr>
          <w:szCs w:val="28"/>
          <w:lang w:val="en-GB"/>
        </w:rPr>
        <w:t xml:space="preserve"> </w:t>
      </w:r>
      <w:r w:rsidR="00BB5A4E">
        <w:rPr>
          <w:szCs w:val="28"/>
          <w:lang w:val="en-GB"/>
        </w:rPr>
        <w:t>flora and fauna</w:t>
      </w:r>
      <w:r w:rsidR="008273A3" w:rsidRPr="00BD0D6A">
        <w:rPr>
          <w:szCs w:val="28"/>
          <w:lang w:val="en-GB"/>
        </w:rPr>
        <w:t xml:space="preserve"> </w:t>
      </w:r>
      <w:r w:rsidR="00BB5A4E">
        <w:rPr>
          <w:szCs w:val="28"/>
          <w:lang w:val="en-GB"/>
        </w:rPr>
        <w:t>in</w:t>
      </w:r>
      <w:r w:rsidR="00BB5A4E" w:rsidRPr="00BD0D6A">
        <w:rPr>
          <w:szCs w:val="28"/>
          <w:lang w:val="en-GB"/>
        </w:rPr>
        <w:t xml:space="preserve"> </w:t>
      </w:r>
      <w:r w:rsidR="008273A3" w:rsidRPr="00BD0D6A">
        <w:rPr>
          <w:szCs w:val="28"/>
          <w:lang w:val="en-GB"/>
        </w:rPr>
        <w:t>NORMAL OPERATION</w:t>
      </w:r>
      <w:r w:rsidR="00EE7EF0" w:rsidRPr="00BD0D6A">
        <w:rPr>
          <w:szCs w:val="28"/>
          <w:lang w:val="en-GB"/>
        </w:rPr>
        <w:t xml:space="preserve"> of FACILITIES AND ACTIVITIES</w:t>
      </w:r>
      <w:bookmarkEnd w:id="97"/>
      <w:bookmarkEnd w:id="98"/>
    </w:p>
    <w:p w:rsidR="00B45E37" w:rsidRPr="00E1557E" w:rsidRDefault="008E54E8" w:rsidP="00A57A35">
      <w:pPr>
        <w:pStyle w:val="AnnexHeading3"/>
        <w:spacing w:after="200"/>
        <w:rPr>
          <w:rFonts w:eastAsia="TimesNewRoman"/>
          <w:lang w:eastAsia="en-GB"/>
        </w:rPr>
      </w:pPr>
      <w:r w:rsidRPr="00C9026A">
        <w:rPr>
          <w:rFonts w:eastAsia="TimesNewRoman"/>
          <w:lang w:eastAsia="en-GB"/>
        </w:rPr>
        <w:t xml:space="preserve">This </w:t>
      </w:r>
      <w:r w:rsidR="00C663A5">
        <w:rPr>
          <w:rFonts w:eastAsia="TimesNewRoman"/>
          <w:lang w:eastAsia="en-GB"/>
        </w:rPr>
        <w:t>a</w:t>
      </w:r>
      <w:r w:rsidRPr="00C9026A">
        <w:rPr>
          <w:rFonts w:eastAsia="TimesNewRoman"/>
          <w:lang w:eastAsia="en-GB"/>
        </w:rPr>
        <w:t>nnex presents a</w:t>
      </w:r>
      <w:r w:rsidR="007356DA">
        <w:rPr>
          <w:rFonts w:eastAsia="TimesNewRoman"/>
          <w:lang w:eastAsia="en-GB"/>
        </w:rPr>
        <w:t>s an example a</w:t>
      </w:r>
      <w:r w:rsidRPr="00C9026A">
        <w:rPr>
          <w:rFonts w:eastAsia="TimesNewRoman"/>
          <w:lang w:eastAsia="en-GB"/>
        </w:rPr>
        <w:t xml:space="preserve"> </w:t>
      </w:r>
      <w:r w:rsidR="007B7808">
        <w:rPr>
          <w:rFonts w:eastAsia="TimesNewRoman"/>
          <w:lang w:eastAsia="en-GB"/>
        </w:rPr>
        <w:t xml:space="preserve">generic </w:t>
      </w:r>
      <w:r w:rsidRPr="00C9026A">
        <w:rPr>
          <w:rFonts w:eastAsia="TimesNewRoman"/>
          <w:lang w:eastAsia="en-GB"/>
        </w:rPr>
        <w:t>method</w:t>
      </w:r>
      <w:r w:rsidR="00696D1D" w:rsidRPr="00C9026A">
        <w:rPr>
          <w:rFonts w:eastAsia="TimesNewRoman"/>
          <w:lang w:eastAsia="en-GB"/>
        </w:rPr>
        <w:t>ology</w:t>
      </w:r>
      <w:r w:rsidR="00866778" w:rsidRPr="00C9026A">
        <w:rPr>
          <w:rFonts w:eastAsia="TimesNewRoman"/>
          <w:lang w:eastAsia="en-GB"/>
        </w:rPr>
        <w:t xml:space="preserve"> </w:t>
      </w:r>
      <w:r w:rsidR="00F7627A">
        <w:rPr>
          <w:rFonts w:eastAsia="TimesNewRoman"/>
          <w:lang w:eastAsia="en-GB"/>
        </w:rPr>
        <w:t>for</w:t>
      </w:r>
      <w:r w:rsidR="00F7627A" w:rsidRPr="00C9026A">
        <w:rPr>
          <w:rFonts w:eastAsia="TimesNewRoman"/>
          <w:lang w:eastAsia="en-GB"/>
        </w:rPr>
        <w:t xml:space="preserve"> </w:t>
      </w:r>
      <w:r w:rsidRPr="00C9026A">
        <w:rPr>
          <w:rFonts w:eastAsia="TimesNewRoman"/>
          <w:lang w:eastAsia="en-GB"/>
        </w:rPr>
        <w:t>assess</w:t>
      </w:r>
      <w:r w:rsidR="00F7627A">
        <w:rPr>
          <w:rFonts w:eastAsia="TimesNewRoman"/>
          <w:lang w:eastAsia="en-GB"/>
        </w:rPr>
        <w:t>ing</w:t>
      </w:r>
      <w:r w:rsidRPr="00C9026A">
        <w:rPr>
          <w:rFonts w:eastAsia="TimesNewRoman"/>
          <w:lang w:eastAsia="en-GB"/>
        </w:rPr>
        <w:t xml:space="preserve"> and control</w:t>
      </w:r>
      <w:r w:rsidR="00F7627A">
        <w:rPr>
          <w:rFonts w:eastAsia="TimesNewRoman"/>
          <w:lang w:eastAsia="en-GB"/>
        </w:rPr>
        <w:t>ling</w:t>
      </w:r>
      <w:r w:rsidRPr="00C9026A">
        <w:rPr>
          <w:rFonts w:eastAsia="TimesNewRoman"/>
          <w:lang w:eastAsia="en-GB"/>
        </w:rPr>
        <w:t xml:space="preserve"> the radiation exposure </w:t>
      </w:r>
      <w:r w:rsidR="00C663A5">
        <w:rPr>
          <w:rFonts w:eastAsia="TimesNewRoman"/>
          <w:lang w:eastAsia="en-GB"/>
        </w:rPr>
        <w:t>of</w:t>
      </w:r>
      <w:r w:rsidRPr="00C9026A">
        <w:rPr>
          <w:rFonts w:eastAsia="TimesNewRoman"/>
          <w:lang w:eastAsia="en-GB"/>
        </w:rPr>
        <w:t xml:space="preserve"> flora and fauna due to </w:t>
      </w:r>
      <w:r w:rsidR="00032AF6">
        <w:rPr>
          <w:rFonts w:eastAsia="TimesNewRoman"/>
          <w:lang w:eastAsia="en-GB"/>
        </w:rPr>
        <w:t xml:space="preserve">discharges </w:t>
      </w:r>
      <w:r w:rsidRPr="00C9026A">
        <w:rPr>
          <w:rFonts w:eastAsia="TimesNewRoman"/>
          <w:lang w:eastAsia="en-GB"/>
        </w:rPr>
        <w:t xml:space="preserve">during normal operation of </w:t>
      </w:r>
      <w:r w:rsidR="00334161" w:rsidRPr="00C9026A">
        <w:rPr>
          <w:rFonts w:eastAsia="TimesNewRoman"/>
          <w:lang w:eastAsia="en-GB"/>
        </w:rPr>
        <w:t xml:space="preserve">facilities and </w:t>
      </w:r>
      <w:r w:rsidR="00334161">
        <w:rPr>
          <w:rFonts w:eastAsia="TimesNewRoman"/>
          <w:lang w:eastAsia="en-GB"/>
        </w:rPr>
        <w:t xml:space="preserve">conduct of </w:t>
      </w:r>
      <w:r w:rsidRPr="00C9026A">
        <w:rPr>
          <w:rFonts w:eastAsia="TimesNewRoman"/>
          <w:lang w:eastAsia="en-GB"/>
        </w:rPr>
        <w:t>activities</w:t>
      </w:r>
      <w:r w:rsidR="00A17525" w:rsidRPr="00C9026A">
        <w:rPr>
          <w:rFonts w:eastAsia="TimesNewRoman"/>
          <w:lang w:eastAsia="en-GB"/>
        </w:rPr>
        <w:t xml:space="preserve">. The </w:t>
      </w:r>
      <w:r w:rsidR="00255010">
        <w:rPr>
          <w:rFonts w:eastAsia="TimesNewRoman"/>
          <w:lang w:eastAsia="en-GB"/>
        </w:rPr>
        <w:t>methodology</w:t>
      </w:r>
      <w:r w:rsidR="00255010" w:rsidRPr="00C9026A">
        <w:rPr>
          <w:rFonts w:eastAsia="TimesNewRoman"/>
          <w:lang w:eastAsia="en-GB"/>
        </w:rPr>
        <w:t xml:space="preserve"> </w:t>
      </w:r>
      <w:r w:rsidR="00F7627A">
        <w:rPr>
          <w:rFonts w:eastAsia="TimesNewRoman"/>
          <w:lang w:eastAsia="en-GB"/>
        </w:rPr>
        <w:t xml:space="preserve">presented here </w:t>
      </w:r>
      <w:r w:rsidR="00A17525" w:rsidRPr="00C9026A">
        <w:rPr>
          <w:rFonts w:eastAsia="TimesNewRoman"/>
          <w:lang w:eastAsia="en-GB"/>
        </w:rPr>
        <w:t>is</w:t>
      </w:r>
      <w:r w:rsidR="00B45E37" w:rsidRPr="00C9026A">
        <w:rPr>
          <w:rFonts w:eastAsia="TimesNewRoman"/>
          <w:lang w:eastAsia="en-GB"/>
        </w:rPr>
        <w:t xml:space="preserve"> based</w:t>
      </w:r>
      <w:r w:rsidR="00272383">
        <w:rPr>
          <w:rFonts w:eastAsia="TimesNewRoman"/>
          <w:lang w:eastAsia="en-GB"/>
        </w:rPr>
        <w:t xml:space="preserve"> </w:t>
      </w:r>
      <w:r w:rsidR="00A473E5">
        <w:rPr>
          <w:rFonts w:eastAsia="TimesNewRoman"/>
          <w:lang w:eastAsia="en-GB"/>
        </w:rPr>
        <w:t>on</w:t>
      </w:r>
      <w:r w:rsidR="00A473E5" w:rsidRPr="00C9026A">
        <w:rPr>
          <w:rFonts w:eastAsia="TimesNewRoman"/>
          <w:lang w:eastAsia="en-GB"/>
        </w:rPr>
        <w:t xml:space="preserve"> </w:t>
      </w:r>
      <w:r w:rsidR="00255010">
        <w:rPr>
          <w:rFonts w:eastAsia="TimesNewRoman"/>
          <w:lang w:eastAsia="en-GB"/>
        </w:rPr>
        <w:t xml:space="preserve">the </w:t>
      </w:r>
      <w:r w:rsidR="00B45E37" w:rsidRPr="00C9026A">
        <w:rPr>
          <w:rFonts w:eastAsia="TimesNewRoman"/>
          <w:lang w:eastAsia="en-GB"/>
        </w:rPr>
        <w:t xml:space="preserve">ICRP </w:t>
      </w:r>
      <w:r w:rsidR="00CD2ABF" w:rsidRPr="00C9026A">
        <w:rPr>
          <w:rFonts w:eastAsia="TimesNewRoman"/>
          <w:lang w:eastAsia="en-GB"/>
        </w:rPr>
        <w:t xml:space="preserve">approach </w:t>
      </w:r>
      <w:r w:rsidR="00B45E37" w:rsidRPr="00C9026A">
        <w:rPr>
          <w:rFonts w:eastAsia="TimesNewRoman"/>
          <w:lang w:eastAsia="en-GB"/>
        </w:rPr>
        <w:t>for protection of the environment</w:t>
      </w:r>
      <w:r w:rsidR="00A17525" w:rsidRPr="00C9026A">
        <w:rPr>
          <w:rFonts w:eastAsia="TimesNewRoman"/>
          <w:lang w:eastAsia="en-GB"/>
        </w:rPr>
        <w:t xml:space="preserve"> [</w:t>
      </w:r>
      <w:r w:rsidR="00F46702" w:rsidRPr="00C9026A">
        <w:rPr>
          <w:rFonts w:eastAsia="TimesNewRoman"/>
          <w:lang w:eastAsia="en-GB"/>
        </w:rPr>
        <w:t>I-1, I-2</w:t>
      </w:r>
      <w:r w:rsidR="00A17525" w:rsidRPr="00C9026A">
        <w:rPr>
          <w:rFonts w:eastAsia="TimesNewRoman"/>
          <w:lang w:eastAsia="en-GB"/>
        </w:rPr>
        <w:t>]; th</w:t>
      </w:r>
      <w:r w:rsidR="00255010">
        <w:rPr>
          <w:rFonts w:eastAsia="TimesNewRoman"/>
          <w:lang w:eastAsia="en-GB"/>
        </w:rPr>
        <w:t>is</w:t>
      </w:r>
      <w:r w:rsidR="00A17525" w:rsidRPr="00C9026A">
        <w:rPr>
          <w:rFonts w:eastAsia="TimesNewRoman"/>
          <w:lang w:eastAsia="en-GB"/>
        </w:rPr>
        <w:t xml:space="preserve"> </w:t>
      </w:r>
      <w:r w:rsidR="0061079A">
        <w:rPr>
          <w:rFonts w:eastAsia="TimesNewRoman"/>
          <w:lang w:eastAsia="en-GB"/>
        </w:rPr>
        <w:t>a</w:t>
      </w:r>
      <w:r w:rsidR="00A17525" w:rsidRPr="00C9026A">
        <w:rPr>
          <w:rFonts w:eastAsia="TimesNewRoman"/>
          <w:lang w:eastAsia="en-GB"/>
        </w:rPr>
        <w:t>nnex</w:t>
      </w:r>
      <w:r w:rsidR="00B45E37" w:rsidRPr="00C9026A">
        <w:rPr>
          <w:rFonts w:eastAsia="TimesNewRoman"/>
          <w:lang w:eastAsia="en-GB"/>
        </w:rPr>
        <w:t xml:space="preserve"> </w:t>
      </w:r>
      <w:r w:rsidR="00255010">
        <w:rPr>
          <w:rFonts w:eastAsia="TimesNewRoman"/>
          <w:lang w:eastAsia="en-GB"/>
        </w:rPr>
        <w:t xml:space="preserve">also </w:t>
      </w:r>
      <w:r w:rsidR="00F469C7">
        <w:rPr>
          <w:rFonts w:eastAsia="TimesNewRoman"/>
          <w:lang w:eastAsia="en-GB"/>
        </w:rPr>
        <w:t>describes</w:t>
      </w:r>
      <w:r w:rsidR="00F469C7" w:rsidRPr="00C9026A">
        <w:rPr>
          <w:rFonts w:eastAsia="TimesNewRoman"/>
          <w:lang w:eastAsia="en-GB"/>
        </w:rPr>
        <w:t xml:space="preserve"> </w:t>
      </w:r>
      <w:r w:rsidR="00B45E37" w:rsidRPr="00C9026A">
        <w:rPr>
          <w:rFonts w:eastAsia="TimesNewRoman"/>
          <w:lang w:eastAsia="en-GB"/>
        </w:rPr>
        <w:t xml:space="preserve">the </w:t>
      </w:r>
      <w:r w:rsidR="00B45E37" w:rsidRPr="00E1557E">
        <w:rPr>
          <w:rFonts w:eastAsia="TimesNewRoman"/>
          <w:lang w:eastAsia="en-GB"/>
        </w:rPr>
        <w:t xml:space="preserve">key aspects of </w:t>
      </w:r>
      <w:r w:rsidR="00255010" w:rsidRPr="00E1557E">
        <w:rPr>
          <w:rFonts w:eastAsia="TimesNewRoman"/>
          <w:lang w:eastAsia="en-GB"/>
        </w:rPr>
        <w:t xml:space="preserve">the </w:t>
      </w:r>
      <w:r w:rsidR="00A17525" w:rsidRPr="00E1557E">
        <w:rPr>
          <w:rFonts w:eastAsia="TimesNewRoman"/>
          <w:lang w:eastAsia="en-GB"/>
        </w:rPr>
        <w:t xml:space="preserve">ICRP </w:t>
      </w:r>
      <w:r w:rsidR="00B45E37" w:rsidRPr="00E1557E">
        <w:rPr>
          <w:rFonts w:eastAsia="TimesNewRoman"/>
          <w:lang w:eastAsia="en-GB"/>
        </w:rPr>
        <w:t xml:space="preserve">approach and the basis for </w:t>
      </w:r>
      <w:r w:rsidR="00F7627A" w:rsidRPr="00E1557E">
        <w:rPr>
          <w:rFonts w:eastAsia="TimesNewRoman"/>
          <w:lang w:eastAsia="en-GB"/>
        </w:rPr>
        <w:t>this</w:t>
      </w:r>
      <w:r w:rsidR="00367A51" w:rsidRPr="00E1557E">
        <w:rPr>
          <w:rFonts w:eastAsia="TimesNewRoman"/>
          <w:lang w:eastAsia="en-GB"/>
        </w:rPr>
        <w:t xml:space="preserve"> </w:t>
      </w:r>
      <w:r w:rsidR="00255010" w:rsidRPr="00E1557E">
        <w:rPr>
          <w:rFonts w:eastAsia="TimesNewRoman"/>
          <w:lang w:eastAsia="en-GB"/>
        </w:rPr>
        <w:t>methodology</w:t>
      </w:r>
      <w:r w:rsidR="002D7A25" w:rsidRPr="00E1557E">
        <w:rPr>
          <w:rFonts w:eastAsia="TimesNewRoman"/>
          <w:lang w:eastAsia="en-GB"/>
        </w:rPr>
        <w:t>.</w:t>
      </w:r>
    </w:p>
    <w:p w:rsidR="008E54E8" w:rsidRPr="00D9251A" w:rsidRDefault="004516C4" w:rsidP="00A57A35">
      <w:pPr>
        <w:pStyle w:val="AnnexHeading3"/>
        <w:spacing w:after="200"/>
        <w:rPr>
          <w:rFonts w:eastAsia="TimesNewRoman"/>
          <w:lang w:eastAsia="en-GB"/>
        </w:rPr>
      </w:pPr>
      <w:r w:rsidRPr="00D9251A">
        <w:rPr>
          <w:rFonts w:eastAsia="TimesNewRoman"/>
          <w:lang w:eastAsia="en-GB"/>
        </w:rPr>
        <w:t>T</w:t>
      </w:r>
      <w:r w:rsidR="00074190" w:rsidRPr="00D9251A">
        <w:rPr>
          <w:rFonts w:eastAsia="TimesNewRoman"/>
          <w:lang w:eastAsia="en-GB"/>
        </w:rPr>
        <w:t xml:space="preserve">he need </w:t>
      </w:r>
      <w:r w:rsidR="00C663A5" w:rsidRPr="00D9251A">
        <w:rPr>
          <w:rFonts w:eastAsia="TimesNewRoman"/>
          <w:lang w:eastAsia="en-GB"/>
        </w:rPr>
        <w:t xml:space="preserve">for </w:t>
      </w:r>
      <w:r w:rsidR="00074190" w:rsidRPr="00D9251A">
        <w:rPr>
          <w:rFonts w:eastAsia="TimesNewRoman"/>
          <w:lang w:eastAsia="en-GB"/>
        </w:rPr>
        <w:t>th</w:t>
      </w:r>
      <w:r w:rsidR="00AD3CE2" w:rsidRPr="00D9251A">
        <w:rPr>
          <w:rFonts w:eastAsia="TimesNewRoman"/>
          <w:lang w:eastAsia="en-GB"/>
        </w:rPr>
        <w:t>e</w:t>
      </w:r>
      <w:r w:rsidR="00074190" w:rsidRPr="00D9251A">
        <w:rPr>
          <w:rFonts w:eastAsia="TimesNewRoman"/>
          <w:lang w:eastAsia="en-GB"/>
        </w:rPr>
        <w:t xml:space="preserve"> </w:t>
      </w:r>
      <w:r w:rsidR="00AD3CE2" w:rsidRPr="00D9251A">
        <w:rPr>
          <w:rFonts w:eastAsia="TimesNewRoman"/>
          <w:lang w:eastAsia="en-GB"/>
        </w:rPr>
        <w:t xml:space="preserve">explicit </w:t>
      </w:r>
      <w:r w:rsidR="00074190" w:rsidRPr="00D9251A">
        <w:rPr>
          <w:rFonts w:eastAsia="TimesNewRoman"/>
          <w:lang w:eastAsia="en-GB"/>
        </w:rPr>
        <w:t xml:space="preserve">assessment </w:t>
      </w:r>
      <w:r w:rsidR="00AD3CE2" w:rsidRPr="00D9251A">
        <w:rPr>
          <w:rFonts w:eastAsia="TimesNewRoman"/>
          <w:lang w:eastAsia="en-GB"/>
        </w:rPr>
        <w:t xml:space="preserve">of </w:t>
      </w:r>
      <w:r w:rsidR="00C663A5" w:rsidRPr="00D9251A">
        <w:rPr>
          <w:rFonts w:eastAsia="TimesNewRoman"/>
          <w:lang w:eastAsia="en-GB"/>
        </w:rPr>
        <w:t xml:space="preserve">protection of </w:t>
      </w:r>
      <w:r w:rsidR="00AD3CE2" w:rsidRPr="00D9251A">
        <w:rPr>
          <w:rFonts w:eastAsia="TimesNewRoman"/>
          <w:lang w:eastAsia="en-GB"/>
        </w:rPr>
        <w:t xml:space="preserve">flora and fauna </w:t>
      </w:r>
      <w:r w:rsidR="00DB3587" w:rsidRPr="00D9251A">
        <w:rPr>
          <w:rFonts w:eastAsia="TimesNewRoman"/>
          <w:lang w:eastAsia="en-GB"/>
        </w:rPr>
        <w:t>is subject to the national or international</w:t>
      </w:r>
      <w:r w:rsidR="00C663A5" w:rsidRPr="00D9251A">
        <w:rPr>
          <w:rFonts w:eastAsia="TimesNewRoman"/>
          <w:lang w:eastAsia="en-GB"/>
        </w:rPr>
        <w:t>ly</w:t>
      </w:r>
      <w:r w:rsidR="00DB3587" w:rsidRPr="00D9251A">
        <w:rPr>
          <w:rFonts w:eastAsia="TimesNewRoman"/>
          <w:lang w:eastAsia="en-GB"/>
        </w:rPr>
        <w:t xml:space="preserve"> applicable regulations and </w:t>
      </w:r>
      <w:r w:rsidR="00074190" w:rsidRPr="00D9251A">
        <w:rPr>
          <w:rFonts w:eastAsia="TimesNewRoman"/>
          <w:lang w:eastAsia="en-GB"/>
        </w:rPr>
        <w:t xml:space="preserve">depends on the characteristics of the </w:t>
      </w:r>
      <w:r w:rsidR="00F7627A" w:rsidRPr="00D9251A">
        <w:rPr>
          <w:rFonts w:eastAsia="TimesNewRoman"/>
          <w:lang w:eastAsia="en-GB"/>
        </w:rPr>
        <w:t xml:space="preserve">facility or activity </w:t>
      </w:r>
      <w:r w:rsidR="00074190" w:rsidRPr="00D9251A">
        <w:rPr>
          <w:rFonts w:eastAsia="TimesNewRoman"/>
          <w:lang w:eastAsia="en-GB"/>
        </w:rPr>
        <w:t xml:space="preserve">and the environmental </w:t>
      </w:r>
      <w:r w:rsidR="00C663A5" w:rsidRPr="00D9251A">
        <w:rPr>
          <w:rFonts w:eastAsia="TimesNewRoman"/>
          <w:lang w:eastAsia="en-GB"/>
        </w:rPr>
        <w:t xml:space="preserve">conditions </w:t>
      </w:r>
      <w:r w:rsidR="00DB3587" w:rsidRPr="00D9251A">
        <w:rPr>
          <w:rFonts w:eastAsia="TimesNewRoman"/>
          <w:lang w:eastAsia="en-GB"/>
        </w:rPr>
        <w:t>under consideration</w:t>
      </w:r>
      <w:r w:rsidR="00074190" w:rsidRPr="00D9251A">
        <w:rPr>
          <w:rFonts w:eastAsia="TimesNewRoman"/>
          <w:lang w:eastAsia="en-GB"/>
        </w:rPr>
        <w:t>. T</w:t>
      </w:r>
      <w:r w:rsidR="00866778" w:rsidRPr="00D9251A">
        <w:rPr>
          <w:rFonts w:eastAsia="TimesNewRoman"/>
          <w:lang w:eastAsia="en-GB"/>
        </w:rPr>
        <w:t>h</w:t>
      </w:r>
      <w:r w:rsidR="00AD3CE2" w:rsidRPr="00D9251A">
        <w:rPr>
          <w:rFonts w:eastAsia="TimesNewRoman"/>
          <w:lang w:eastAsia="en-GB"/>
        </w:rPr>
        <w:t>e</w:t>
      </w:r>
      <w:r w:rsidR="00866778" w:rsidRPr="00D9251A">
        <w:rPr>
          <w:rFonts w:eastAsia="TimesNewRoman"/>
          <w:lang w:eastAsia="en-GB"/>
        </w:rPr>
        <w:t xml:space="preserve"> method</w:t>
      </w:r>
      <w:r w:rsidR="00AD3CE2" w:rsidRPr="00D9251A">
        <w:rPr>
          <w:rFonts w:eastAsia="TimesNewRoman"/>
          <w:lang w:eastAsia="en-GB"/>
        </w:rPr>
        <w:t xml:space="preserve">ology described in this </w:t>
      </w:r>
      <w:r w:rsidR="0061079A" w:rsidRPr="00D9251A">
        <w:rPr>
          <w:rFonts w:eastAsia="TimesNewRoman"/>
          <w:lang w:eastAsia="en-GB"/>
        </w:rPr>
        <w:t>a</w:t>
      </w:r>
      <w:r w:rsidR="008273A3" w:rsidRPr="00D9251A">
        <w:rPr>
          <w:rFonts w:eastAsia="TimesNewRoman"/>
          <w:lang w:eastAsia="en-GB"/>
        </w:rPr>
        <w:t>nnex</w:t>
      </w:r>
      <w:r w:rsidR="00866778" w:rsidRPr="00D9251A">
        <w:rPr>
          <w:rFonts w:eastAsia="TimesNewRoman"/>
          <w:lang w:eastAsia="en-GB"/>
        </w:rPr>
        <w:t xml:space="preserve"> </w:t>
      </w:r>
      <w:r w:rsidR="001A422D" w:rsidRPr="00D9251A">
        <w:rPr>
          <w:rFonts w:eastAsia="TimesNewRoman"/>
          <w:lang w:eastAsia="en-GB"/>
        </w:rPr>
        <w:t>may</w:t>
      </w:r>
      <w:r w:rsidR="00866778" w:rsidRPr="00D9251A">
        <w:rPr>
          <w:rFonts w:eastAsia="TimesNewRoman"/>
          <w:lang w:eastAsia="en-GB"/>
        </w:rPr>
        <w:t xml:space="preserve"> </w:t>
      </w:r>
      <w:r w:rsidR="00DB3587" w:rsidRPr="00D9251A">
        <w:rPr>
          <w:rFonts w:eastAsia="TimesNewRoman"/>
          <w:lang w:eastAsia="en-GB"/>
        </w:rPr>
        <w:t>be used</w:t>
      </w:r>
      <w:r w:rsidR="008273A3" w:rsidRPr="00D9251A">
        <w:rPr>
          <w:rFonts w:eastAsia="TimesNewRoman"/>
          <w:lang w:eastAsia="en-GB"/>
        </w:rPr>
        <w:t>,</w:t>
      </w:r>
      <w:r w:rsidR="00DB3587" w:rsidRPr="00D9251A">
        <w:rPr>
          <w:rFonts w:eastAsia="TimesNewRoman"/>
          <w:lang w:eastAsia="en-GB"/>
        </w:rPr>
        <w:t xml:space="preserve"> </w:t>
      </w:r>
      <w:r w:rsidR="008273A3" w:rsidRPr="00D9251A">
        <w:rPr>
          <w:rFonts w:eastAsia="TimesNewRoman"/>
          <w:lang w:eastAsia="en-GB"/>
        </w:rPr>
        <w:t xml:space="preserve">if deemed necessary, </w:t>
      </w:r>
      <w:r w:rsidR="00DB3587" w:rsidRPr="00D9251A">
        <w:rPr>
          <w:rFonts w:eastAsia="TimesNewRoman"/>
          <w:lang w:eastAsia="en-GB"/>
        </w:rPr>
        <w:t xml:space="preserve">as a complement </w:t>
      </w:r>
      <w:r w:rsidR="00255010" w:rsidRPr="00D9251A">
        <w:rPr>
          <w:rFonts w:eastAsia="TimesNewRoman"/>
          <w:lang w:eastAsia="en-GB"/>
        </w:rPr>
        <w:t>to</w:t>
      </w:r>
      <w:r w:rsidR="00DB3587" w:rsidRPr="00D9251A">
        <w:rPr>
          <w:rFonts w:eastAsia="TimesNewRoman"/>
          <w:lang w:eastAsia="en-GB"/>
        </w:rPr>
        <w:t xml:space="preserve"> the assessment of exposures </w:t>
      </w:r>
      <w:r w:rsidR="00C663A5" w:rsidRPr="00D9251A">
        <w:rPr>
          <w:rFonts w:eastAsia="TimesNewRoman"/>
          <w:lang w:eastAsia="en-GB"/>
        </w:rPr>
        <w:t xml:space="preserve">of </w:t>
      </w:r>
      <w:r w:rsidR="00DB3587" w:rsidRPr="00D9251A">
        <w:rPr>
          <w:rFonts w:eastAsia="TimesNewRoman"/>
          <w:lang w:eastAsia="en-GB"/>
        </w:rPr>
        <w:t>humans</w:t>
      </w:r>
      <w:r w:rsidR="00C663A5" w:rsidRPr="00D9251A">
        <w:rPr>
          <w:rFonts w:eastAsia="TimesNewRoman"/>
          <w:lang w:eastAsia="en-GB"/>
        </w:rPr>
        <w:t>,</w:t>
      </w:r>
      <w:r w:rsidR="00DB3587" w:rsidRPr="00D9251A">
        <w:rPr>
          <w:rFonts w:eastAsia="TimesNewRoman"/>
          <w:lang w:eastAsia="en-GB"/>
        </w:rPr>
        <w:t xml:space="preserve"> described in Section 5 of this Safety Guide, </w:t>
      </w:r>
      <w:r w:rsidR="00866778" w:rsidRPr="00D9251A">
        <w:rPr>
          <w:rFonts w:eastAsia="TimesNewRoman"/>
          <w:lang w:eastAsia="en-GB"/>
        </w:rPr>
        <w:t xml:space="preserve">within </w:t>
      </w:r>
      <w:r w:rsidR="00C663A5" w:rsidRPr="00D9251A">
        <w:rPr>
          <w:rFonts w:eastAsia="TimesNewRoman"/>
          <w:lang w:eastAsia="en-GB"/>
        </w:rPr>
        <w:t xml:space="preserve">a </w:t>
      </w:r>
      <w:r w:rsidR="00866778" w:rsidRPr="00D9251A">
        <w:rPr>
          <w:rFonts w:eastAsia="TimesNewRoman"/>
          <w:lang w:eastAsia="en-GB"/>
        </w:rPr>
        <w:t>prospective radiological environmental impact assessment</w:t>
      </w:r>
      <w:r w:rsidR="008E54E8" w:rsidRPr="00D9251A">
        <w:rPr>
          <w:rFonts w:eastAsia="TimesNewRoman"/>
          <w:lang w:eastAsia="en-GB"/>
        </w:rPr>
        <w:t xml:space="preserve">. </w:t>
      </w:r>
    </w:p>
    <w:p w:rsidR="004E26EC" w:rsidRPr="00C9026A" w:rsidRDefault="00F248F7" w:rsidP="00A57A35">
      <w:pPr>
        <w:pStyle w:val="AnnexHeading3"/>
        <w:spacing w:after="200"/>
        <w:rPr>
          <w:rFonts w:eastAsia="TimesNewRoman"/>
          <w:lang w:eastAsia="en-GB"/>
        </w:rPr>
      </w:pPr>
      <w:r w:rsidRPr="00E1557E">
        <w:t>Often</w:t>
      </w:r>
      <w:r w:rsidR="004E26EC" w:rsidRPr="00E1557E">
        <w:t xml:space="preserve">, </w:t>
      </w:r>
      <w:r w:rsidR="008A79FC" w:rsidRPr="00E1557E">
        <w:t xml:space="preserve">for </w:t>
      </w:r>
      <w:r w:rsidR="004E26EC" w:rsidRPr="00E1557E">
        <w:t xml:space="preserve">activities or facilities </w:t>
      </w:r>
      <w:r w:rsidR="00CA2938" w:rsidRPr="00E1557E">
        <w:t xml:space="preserve">necessitating </w:t>
      </w:r>
      <w:r w:rsidR="008A79FC" w:rsidRPr="00E1557E">
        <w:t>a simple radiological environmental impact assessment</w:t>
      </w:r>
      <w:r w:rsidR="00C663A5" w:rsidRPr="00E1557E">
        <w:t>,</w:t>
      </w:r>
      <w:r w:rsidR="008A79FC" w:rsidRPr="00E1557E">
        <w:t xml:space="preserve"> </w:t>
      </w:r>
      <w:r w:rsidR="004E26EC" w:rsidRPr="00E1557E">
        <w:t xml:space="preserve">the explicit consideration of </w:t>
      </w:r>
      <w:r w:rsidR="008A79FC" w:rsidRPr="00E1557E">
        <w:t xml:space="preserve">exposures </w:t>
      </w:r>
      <w:r w:rsidR="00C663A5" w:rsidRPr="00E1557E">
        <w:t xml:space="preserve">of </w:t>
      </w:r>
      <w:r w:rsidR="004E26EC" w:rsidRPr="00E1557E">
        <w:t xml:space="preserve">flora and fauna is </w:t>
      </w:r>
      <w:r w:rsidR="00C663A5" w:rsidRPr="00E1557E">
        <w:t xml:space="preserve">deemed </w:t>
      </w:r>
      <w:r w:rsidR="004E26EC" w:rsidRPr="00E1557E">
        <w:t xml:space="preserve">not </w:t>
      </w:r>
      <w:r w:rsidR="00C663A5" w:rsidRPr="00E1557E">
        <w:t>to</w:t>
      </w:r>
      <w:r w:rsidR="00C663A5">
        <w:t xml:space="preserve"> be </w:t>
      </w:r>
      <w:r w:rsidR="004E26EC" w:rsidRPr="00C9026A">
        <w:t xml:space="preserve">necessary, on the basis that a significant radiological impact </w:t>
      </w:r>
      <w:r w:rsidR="00C663A5">
        <w:t>on</w:t>
      </w:r>
      <w:r w:rsidR="00C663A5" w:rsidRPr="00C9026A">
        <w:t xml:space="preserve"> </w:t>
      </w:r>
      <w:r w:rsidR="004E26EC" w:rsidRPr="00C9026A">
        <w:t xml:space="preserve">the environment </w:t>
      </w:r>
      <w:r w:rsidR="00EE7EF0" w:rsidRPr="00C9026A">
        <w:t xml:space="preserve">having effects on populations of flora and fauna is </w:t>
      </w:r>
      <w:r w:rsidR="004E26EC" w:rsidRPr="00C9026A">
        <w:t xml:space="preserve">not </w:t>
      </w:r>
      <w:r w:rsidR="00434A0F">
        <w:t>expected</w:t>
      </w:r>
      <w:r w:rsidR="00EE7EF0" w:rsidRPr="00C9026A">
        <w:t>,</w:t>
      </w:r>
      <w:r w:rsidR="004E26EC" w:rsidRPr="00C9026A">
        <w:t xml:space="preserve"> owing to, for example, the limited radionuclides inventory in the facilit</w:t>
      </w:r>
      <w:r w:rsidR="00C663A5">
        <w:t>y</w:t>
      </w:r>
      <w:r w:rsidR="004E26EC" w:rsidRPr="00C9026A">
        <w:t xml:space="preserve"> or </w:t>
      </w:r>
      <w:r w:rsidR="002D7A25" w:rsidRPr="00C9026A">
        <w:t xml:space="preserve">the </w:t>
      </w:r>
      <w:r w:rsidR="004E26EC" w:rsidRPr="00C9026A">
        <w:t>intr</w:t>
      </w:r>
      <w:r w:rsidR="00696D1D" w:rsidRPr="00C9026A">
        <w:t>insically safe characteristics</w:t>
      </w:r>
      <w:r w:rsidR="00C663A5">
        <w:t xml:space="preserve"> of the facility or activity</w:t>
      </w:r>
      <w:r w:rsidR="00696D1D" w:rsidRPr="00C9026A">
        <w:t>.</w:t>
      </w:r>
    </w:p>
    <w:p w:rsidR="004E26EC" w:rsidRDefault="008A79FC" w:rsidP="00A57A35">
      <w:pPr>
        <w:pStyle w:val="AnnexHeading3"/>
        <w:spacing w:after="200"/>
      </w:pPr>
      <w:r w:rsidRPr="00C9026A">
        <w:t xml:space="preserve">For facilities and activities </w:t>
      </w:r>
      <w:r w:rsidR="00841B96">
        <w:t xml:space="preserve">for </w:t>
      </w:r>
      <w:r w:rsidRPr="00C9026A">
        <w:t xml:space="preserve">which </w:t>
      </w:r>
      <w:r w:rsidR="0028472A" w:rsidRPr="00C9026A">
        <w:t xml:space="preserve">a </w:t>
      </w:r>
      <w:r w:rsidR="00EE7EF0" w:rsidRPr="00C9026A">
        <w:t xml:space="preserve">more complex </w:t>
      </w:r>
      <w:r w:rsidRPr="00C9026A">
        <w:t xml:space="preserve">radiological </w:t>
      </w:r>
      <w:r w:rsidR="0028472A" w:rsidRPr="00C9026A">
        <w:t>environmental</w:t>
      </w:r>
      <w:r w:rsidR="00EE7EF0" w:rsidRPr="00C9026A">
        <w:t xml:space="preserve"> impact</w:t>
      </w:r>
      <w:r w:rsidR="0028472A" w:rsidRPr="00C9026A">
        <w:t xml:space="preserve"> assessment</w:t>
      </w:r>
      <w:r w:rsidR="00841B96">
        <w:t xml:space="preserve"> is required</w:t>
      </w:r>
      <w:r w:rsidR="00C663A5">
        <w:t>,</w:t>
      </w:r>
      <w:r w:rsidR="00A4244F">
        <w:t xml:space="preserve">  </w:t>
      </w:r>
      <w:r w:rsidR="005C07B1" w:rsidRPr="00C9026A">
        <w:t xml:space="preserve">for example </w:t>
      </w:r>
      <w:r w:rsidR="00C663A5">
        <w:t xml:space="preserve">for </w:t>
      </w:r>
      <w:r w:rsidR="005C07B1" w:rsidRPr="00C9026A">
        <w:t xml:space="preserve">nuclear installations </w:t>
      </w:r>
      <w:r w:rsidR="000445D5" w:rsidRPr="00C9026A">
        <w:t xml:space="preserve">and </w:t>
      </w:r>
      <w:r w:rsidR="00C663A5">
        <w:t>for</w:t>
      </w:r>
      <w:r w:rsidR="00B06E12" w:rsidRPr="00C9026A">
        <w:t xml:space="preserve"> uranium</w:t>
      </w:r>
      <w:r w:rsidR="000445D5" w:rsidRPr="00C9026A">
        <w:t xml:space="preserve"> mining and </w:t>
      </w:r>
      <w:r w:rsidR="00C663A5">
        <w:t>processing,</w:t>
      </w:r>
      <w:r w:rsidR="000445D5" w:rsidRPr="00C9026A">
        <w:t xml:space="preserve"> </w:t>
      </w:r>
      <w:r w:rsidR="00696D1D" w:rsidRPr="00C9026A">
        <w:t xml:space="preserve">the explicit consideration of </w:t>
      </w:r>
      <w:r w:rsidR="002D7A25" w:rsidRPr="00C9026A">
        <w:t xml:space="preserve">the radiation exposure </w:t>
      </w:r>
      <w:r w:rsidR="00C663A5">
        <w:t>of</w:t>
      </w:r>
      <w:r w:rsidR="00C663A5" w:rsidRPr="00C9026A">
        <w:t xml:space="preserve"> </w:t>
      </w:r>
      <w:r w:rsidR="00696D1D" w:rsidRPr="00C9026A">
        <w:t xml:space="preserve">flora and fauna </w:t>
      </w:r>
      <w:r w:rsidR="008273A3" w:rsidRPr="00C9026A">
        <w:t xml:space="preserve">may be </w:t>
      </w:r>
      <w:r w:rsidR="00696D1D" w:rsidRPr="00C9026A">
        <w:t>deemed necessary</w:t>
      </w:r>
      <w:r w:rsidR="000445D5" w:rsidRPr="00C9026A">
        <w:t xml:space="preserve"> by the government or the regulatory body</w:t>
      </w:r>
      <w:r w:rsidR="00EE7EF0" w:rsidRPr="00C9026A">
        <w:t>,</w:t>
      </w:r>
      <w:r w:rsidR="008273A3" w:rsidRPr="00C9026A">
        <w:t xml:space="preserve"> </w:t>
      </w:r>
      <w:r w:rsidR="00841B96">
        <w:t>depending on</w:t>
      </w:r>
      <w:r w:rsidR="008273A3" w:rsidRPr="00C9026A">
        <w:t xml:space="preserve"> national or international</w:t>
      </w:r>
      <w:r w:rsidR="00841B96">
        <w:t>ly</w:t>
      </w:r>
      <w:r w:rsidR="008273A3" w:rsidRPr="00C9026A">
        <w:t xml:space="preserve"> applicable regulations. </w:t>
      </w:r>
      <w:r w:rsidR="00367A51">
        <w:t>I</w:t>
      </w:r>
      <w:r w:rsidR="00255010">
        <w:t>n</w:t>
      </w:r>
      <w:r w:rsidR="008273A3" w:rsidRPr="00C9026A">
        <w:t xml:space="preserve"> th</w:t>
      </w:r>
      <w:r w:rsidR="00255010">
        <w:t>e</w:t>
      </w:r>
      <w:r w:rsidR="008D74A4">
        <w:t>se</w:t>
      </w:r>
      <w:r w:rsidR="008273A3" w:rsidRPr="00C9026A">
        <w:t xml:space="preserve"> cases</w:t>
      </w:r>
      <w:r w:rsidR="00367A51">
        <w:t>,</w:t>
      </w:r>
      <w:r w:rsidRPr="00C9026A">
        <w:t xml:space="preserve"> </w:t>
      </w:r>
      <w:r w:rsidR="00255010">
        <w:t xml:space="preserve">the </w:t>
      </w:r>
      <w:r w:rsidR="004E26EC" w:rsidRPr="00C9026A">
        <w:t xml:space="preserve">ICRP </w:t>
      </w:r>
      <w:r w:rsidRPr="00C9026A">
        <w:t xml:space="preserve">approach </w:t>
      </w:r>
      <w:r w:rsidR="004E26EC" w:rsidRPr="00C9026A">
        <w:t>to assess</w:t>
      </w:r>
      <w:r w:rsidR="009809D9">
        <w:t>ing</w:t>
      </w:r>
      <w:r w:rsidR="004E26EC" w:rsidRPr="00C9026A">
        <w:t xml:space="preserve"> and control</w:t>
      </w:r>
      <w:r w:rsidR="009809D9">
        <w:t>ling</w:t>
      </w:r>
      <w:r w:rsidR="004E26EC" w:rsidRPr="00C9026A">
        <w:t xml:space="preserve"> the effects of radiation on flora and fauna </w:t>
      </w:r>
      <w:r w:rsidR="00696D1D" w:rsidRPr="00C9026A">
        <w:t>[</w:t>
      </w:r>
      <w:r w:rsidR="00F46702" w:rsidRPr="00C9026A">
        <w:t>I-1, I-2</w:t>
      </w:r>
      <w:r w:rsidR="00696D1D" w:rsidRPr="00C9026A">
        <w:t>]</w:t>
      </w:r>
      <w:r w:rsidR="00367A51">
        <w:t xml:space="preserve"> can be used</w:t>
      </w:r>
      <w:r w:rsidR="005C07B1" w:rsidRPr="00C9026A">
        <w:t>,</w:t>
      </w:r>
      <w:r w:rsidR="00696D1D" w:rsidRPr="00C9026A">
        <w:t xml:space="preserve"> which is consistent </w:t>
      </w:r>
      <w:r w:rsidR="000445D5" w:rsidRPr="00C9026A">
        <w:t xml:space="preserve">and compatible </w:t>
      </w:r>
      <w:r w:rsidR="00696D1D" w:rsidRPr="00C9026A">
        <w:t xml:space="preserve">with similar approaches used </w:t>
      </w:r>
      <w:r w:rsidR="00255010">
        <w:t>in</w:t>
      </w:r>
      <w:r w:rsidR="00696D1D" w:rsidRPr="00C9026A">
        <w:t xml:space="preserve"> some States [</w:t>
      </w:r>
      <w:r w:rsidR="00F46702" w:rsidRPr="00C9026A">
        <w:t>I-3 – I-5</w:t>
      </w:r>
      <w:r w:rsidR="00696D1D" w:rsidRPr="00C9026A">
        <w:t xml:space="preserve">]. </w:t>
      </w:r>
      <w:r w:rsidR="00255010">
        <w:t xml:space="preserve">The </w:t>
      </w:r>
      <w:r w:rsidR="00696D1D" w:rsidRPr="00C9026A">
        <w:t xml:space="preserve">ICRP approach </w:t>
      </w:r>
      <w:r w:rsidR="004E26EC" w:rsidRPr="00C9026A">
        <w:t>us</w:t>
      </w:r>
      <w:r w:rsidR="00696D1D" w:rsidRPr="00C9026A">
        <w:t>e</w:t>
      </w:r>
      <w:r w:rsidR="000445D5" w:rsidRPr="00C9026A">
        <w:t>s</w:t>
      </w:r>
      <w:r w:rsidR="004E26EC" w:rsidRPr="00C9026A">
        <w:t xml:space="preserve"> the concepts of ‘reference animals and plants’</w:t>
      </w:r>
      <w:r w:rsidR="00B06E12" w:rsidRPr="00C9026A">
        <w:t xml:space="preserve">, </w:t>
      </w:r>
      <w:r w:rsidR="00841B96">
        <w:t xml:space="preserve">a </w:t>
      </w:r>
      <w:r w:rsidR="00B06E12" w:rsidRPr="00C9026A">
        <w:t>‘representative organism</w:t>
      </w:r>
      <w:r w:rsidR="008273A3" w:rsidRPr="00C9026A">
        <w:t>’</w:t>
      </w:r>
      <w:r w:rsidR="00B06E12" w:rsidRPr="00C9026A">
        <w:t xml:space="preserve"> </w:t>
      </w:r>
      <w:r w:rsidR="004E26EC" w:rsidRPr="00C9026A">
        <w:t>and criteria in the form of ‘derived consideration reference levels’</w:t>
      </w:r>
      <w:r w:rsidR="00B06E12" w:rsidRPr="00C9026A">
        <w:t xml:space="preserve">. </w:t>
      </w:r>
      <w:r w:rsidR="004E26EC" w:rsidRPr="00C9026A">
        <w:t xml:space="preserve">These concepts and criteria are </w:t>
      </w:r>
      <w:r w:rsidR="00F469C7">
        <w:t>described</w:t>
      </w:r>
      <w:r w:rsidR="00F469C7" w:rsidRPr="00C9026A">
        <w:t xml:space="preserve"> </w:t>
      </w:r>
      <w:r w:rsidR="004E26EC" w:rsidRPr="00C9026A">
        <w:t>below.</w:t>
      </w:r>
    </w:p>
    <w:p w:rsidR="00C66AF3" w:rsidRPr="00C9026A" w:rsidRDefault="00C66AF3" w:rsidP="00A57A35">
      <w:pPr>
        <w:pStyle w:val="AnnexHeading3"/>
      </w:pPr>
      <w:r w:rsidRPr="00C9026A">
        <w:t xml:space="preserve">The methodology presented in this </w:t>
      </w:r>
      <w:r w:rsidR="0061079A">
        <w:t>a</w:t>
      </w:r>
      <w:r w:rsidRPr="00C9026A">
        <w:t xml:space="preserve">nnex is of a generic character. For most facilities and activities </w:t>
      </w:r>
      <w:r w:rsidR="00841B96">
        <w:t xml:space="preserve">in normal operation </w:t>
      </w:r>
      <w:r w:rsidRPr="00C9026A">
        <w:t xml:space="preserve">and </w:t>
      </w:r>
      <w:r w:rsidR="00841B96">
        <w:t xml:space="preserve">for most </w:t>
      </w:r>
      <w:r w:rsidRPr="00C9026A">
        <w:t xml:space="preserve">environmental </w:t>
      </w:r>
      <w:r w:rsidR="00841B96">
        <w:t>conditions</w:t>
      </w:r>
      <w:r w:rsidRPr="00C9026A">
        <w:t xml:space="preserve">, a generic assessment as described in this </w:t>
      </w:r>
      <w:r w:rsidR="00841B96">
        <w:t>a</w:t>
      </w:r>
      <w:r w:rsidRPr="00C9026A">
        <w:t xml:space="preserve">nnex would be sufficient to demonstrate the level of </w:t>
      </w:r>
      <w:r w:rsidR="00841B96">
        <w:t>radiation</w:t>
      </w:r>
      <w:r w:rsidR="00841B96" w:rsidRPr="00C9026A">
        <w:t xml:space="preserve"> </w:t>
      </w:r>
      <w:r w:rsidRPr="00C9026A">
        <w:t xml:space="preserve">protection of flora and fauna. However, a generic approach may not be appropriate for the assessment of the impact </w:t>
      </w:r>
      <w:r w:rsidR="00F7627A">
        <w:t>on</w:t>
      </w:r>
      <w:r w:rsidR="00F7627A" w:rsidRPr="00C9026A">
        <w:t xml:space="preserve"> </w:t>
      </w:r>
      <w:r w:rsidRPr="00C9026A">
        <w:t xml:space="preserve">flora and fauna in particular circumstances, for example when dealing with protected </w:t>
      </w:r>
      <w:r w:rsidR="00F7627A" w:rsidRPr="00C9026A">
        <w:t xml:space="preserve">species </w:t>
      </w:r>
      <w:r w:rsidRPr="00C9026A">
        <w:t>or endangered species. For these cases, a more specific assessment may be required.</w:t>
      </w:r>
    </w:p>
    <w:p w:rsidR="00C66AF3" w:rsidRPr="00C9026A" w:rsidRDefault="00C66AF3" w:rsidP="00A57A35">
      <w:pPr>
        <w:pStyle w:val="AnnexHeading3"/>
      </w:pPr>
      <w:r w:rsidRPr="00C9026A">
        <w:t xml:space="preserve">The regulatory body or other competent </w:t>
      </w:r>
      <w:r w:rsidR="00841B96">
        <w:t>authority</w:t>
      </w:r>
      <w:r w:rsidRPr="00C9026A">
        <w:t xml:space="preserve"> could identify </w:t>
      </w:r>
      <w:r w:rsidR="00514FBD">
        <w:t xml:space="preserve">such </w:t>
      </w:r>
      <w:r w:rsidRPr="00C9026A">
        <w:t xml:space="preserve">specific environmental </w:t>
      </w:r>
      <w:r w:rsidR="002C301E">
        <w:t>situations</w:t>
      </w:r>
      <w:r w:rsidR="00841B96" w:rsidRPr="00C9026A">
        <w:t xml:space="preserve"> </w:t>
      </w:r>
      <w:r w:rsidRPr="00C9026A">
        <w:t xml:space="preserve">that </w:t>
      </w:r>
      <w:r w:rsidR="00841B96">
        <w:t>warrant</w:t>
      </w:r>
      <w:r w:rsidR="00841B96" w:rsidRPr="00C9026A">
        <w:t xml:space="preserve"> </w:t>
      </w:r>
      <w:r w:rsidRPr="00C9026A">
        <w:t xml:space="preserve">special consideration, different from those more generic </w:t>
      </w:r>
      <w:r w:rsidR="00F7627A">
        <w:t xml:space="preserve">situations </w:t>
      </w:r>
      <w:r w:rsidRPr="00C9026A">
        <w:t xml:space="preserve">as presented in this </w:t>
      </w:r>
      <w:r w:rsidR="0061079A">
        <w:t>a</w:t>
      </w:r>
      <w:r w:rsidRPr="00C9026A">
        <w:t xml:space="preserve">nnex. The assumptions and types of assessment for situations </w:t>
      </w:r>
      <w:r w:rsidR="00CA2938">
        <w:t>necessitating</w:t>
      </w:r>
      <w:r w:rsidR="00CA2938" w:rsidRPr="00C9026A">
        <w:t xml:space="preserve"> </w:t>
      </w:r>
      <w:r w:rsidRPr="00C9026A">
        <w:t xml:space="preserve">special consideration should be </w:t>
      </w:r>
      <w:r w:rsidR="00CA2938">
        <w:t>determined in agreement with</w:t>
      </w:r>
      <w:r>
        <w:t xml:space="preserve"> </w:t>
      </w:r>
      <w:r w:rsidR="00CB5661">
        <w:t>the applicant,</w:t>
      </w:r>
      <w:r w:rsidR="00CB5661" w:rsidRPr="00C9026A">
        <w:t xml:space="preserve"> </w:t>
      </w:r>
      <w:r w:rsidRPr="00C9026A">
        <w:t xml:space="preserve">the regulatory body and </w:t>
      </w:r>
      <w:r>
        <w:t xml:space="preserve">other authorities </w:t>
      </w:r>
      <w:r w:rsidR="00841B96">
        <w:t>with responsibilities for</w:t>
      </w:r>
      <w:r>
        <w:t xml:space="preserve"> </w:t>
      </w:r>
      <w:r w:rsidR="00CB5661">
        <w:t>environment</w:t>
      </w:r>
      <w:r w:rsidR="00841B96">
        <w:t>al</w:t>
      </w:r>
      <w:r w:rsidR="00CB5661">
        <w:t xml:space="preserve"> </w:t>
      </w:r>
      <w:r>
        <w:t xml:space="preserve">protection. </w:t>
      </w:r>
      <w:r w:rsidRPr="00C9026A">
        <w:t xml:space="preserve">In any case, the methods described in this </w:t>
      </w:r>
      <w:r w:rsidR="0061079A">
        <w:t>a</w:t>
      </w:r>
      <w:r w:rsidRPr="00C9026A">
        <w:t>nnex could be used as a screening tool for those particular circumstances.</w:t>
      </w:r>
    </w:p>
    <w:p w:rsidR="005A5873" w:rsidRPr="00C9026A" w:rsidRDefault="005A5873" w:rsidP="00A57A35">
      <w:pPr>
        <w:pStyle w:val="AnnexHeading2"/>
        <w:spacing w:after="200"/>
      </w:pPr>
      <w:r w:rsidRPr="00C9026A">
        <w:lastRenderedPageBreak/>
        <w:t xml:space="preserve">key aspects of </w:t>
      </w:r>
      <w:r w:rsidR="00255010">
        <w:t xml:space="preserve">the </w:t>
      </w:r>
      <w:r w:rsidRPr="00C9026A">
        <w:t>ICRP approach for protection of the environment</w:t>
      </w:r>
    </w:p>
    <w:p w:rsidR="002634D0" w:rsidRPr="00C9026A" w:rsidRDefault="005A5873" w:rsidP="00A57A35">
      <w:pPr>
        <w:pStyle w:val="AnnexHeading3"/>
        <w:spacing w:after="200"/>
      </w:pPr>
      <w:r w:rsidRPr="00C9026A">
        <w:t xml:space="preserve">The ICRP recommends that the aims of environmental protection </w:t>
      </w:r>
      <w:r w:rsidR="007D14B2">
        <w:t xml:space="preserve">should be </w:t>
      </w:r>
      <w:r w:rsidRPr="00C9026A">
        <w:t>to prevent or reduce the frequency of deleterious radiation effects on biota to a level where they would have a negligible impact on the maintenance of biological diversity, the conservation of species or the health and status of natural habitats, communities and ecosystems [</w:t>
      </w:r>
      <w:r w:rsidR="00F46702" w:rsidRPr="00C9026A">
        <w:t xml:space="preserve">I-1, I-2, </w:t>
      </w:r>
      <w:proofErr w:type="gramStart"/>
      <w:r w:rsidR="00F46702" w:rsidRPr="00C9026A">
        <w:t>I</w:t>
      </w:r>
      <w:proofErr w:type="gramEnd"/>
      <w:r w:rsidR="00F46702" w:rsidRPr="00C9026A">
        <w:t>-6</w:t>
      </w:r>
      <w:r w:rsidRPr="00C9026A">
        <w:t xml:space="preserve">]. This is in line with the </w:t>
      </w:r>
      <w:r w:rsidR="00841B96">
        <w:rPr>
          <w:szCs w:val="24"/>
          <w:lang w:val="en-GB"/>
        </w:rPr>
        <w:t>F</w:t>
      </w:r>
      <w:r w:rsidRPr="00C9026A">
        <w:rPr>
          <w:szCs w:val="24"/>
          <w:lang w:val="en-GB"/>
        </w:rPr>
        <w:t xml:space="preserve">undamental </w:t>
      </w:r>
      <w:r w:rsidR="00841B96">
        <w:rPr>
          <w:szCs w:val="24"/>
          <w:lang w:val="en-GB"/>
        </w:rPr>
        <w:t>Safety P</w:t>
      </w:r>
      <w:r w:rsidRPr="00C9026A">
        <w:rPr>
          <w:szCs w:val="24"/>
          <w:lang w:val="en-GB"/>
        </w:rPr>
        <w:t>rinciples</w:t>
      </w:r>
      <w:r w:rsidR="00841B96">
        <w:rPr>
          <w:szCs w:val="24"/>
          <w:lang w:val="en-GB"/>
        </w:rPr>
        <w:t xml:space="preserve"> [I-7], in which para 3.28 states “The general intent of the measures taken for the purposes of environmental protection has been</w:t>
      </w:r>
      <w:r w:rsidRPr="00C9026A">
        <w:rPr>
          <w:szCs w:val="24"/>
          <w:lang w:val="en-GB"/>
        </w:rPr>
        <w:t xml:space="preserve"> to protect ecosystems against radiation exposure that would have adverse consequences for populations of a species</w:t>
      </w:r>
      <w:r w:rsidR="00841B96">
        <w:rPr>
          <w:szCs w:val="24"/>
          <w:lang w:val="en-GB"/>
        </w:rPr>
        <w:t xml:space="preserve"> (as distinct from individual organisms)”</w:t>
      </w:r>
      <w:r w:rsidRPr="00C9026A">
        <w:rPr>
          <w:szCs w:val="24"/>
          <w:lang w:val="en-GB"/>
        </w:rPr>
        <w:t>.</w:t>
      </w:r>
    </w:p>
    <w:p w:rsidR="002634D0" w:rsidRPr="00C9026A" w:rsidRDefault="00841B96" w:rsidP="00A57A35">
      <w:pPr>
        <w:pStyle w:val="AnnexHeading3"/>
        <w:keepNext/>
        <w:spacing w:after="180"/>
      </w:pPr>
      <w:r>
        <w:rPr>
          <w:lang w:val="en-GB"/>
        </w:rPr>
        <w:t>Owing</w:t>
      </w:r>
      <w:r w:rsidRPr="00C9026A">
        <w:rPr>
          <w:lang w:val="en-GB"/>
        </w:rPr>
        <w:t xml:space="preserve"> </w:t>
      </w:r>
      <w:r w:rsidR="005A5873" w:rsidRPr="00C9026A">
        <w:rPr>
          <w:lang w:val="en-GB"/>
        </w:rPr>
        <w:t xml:space="preserve">to the complexity </w:t>
      </w:r>
      <w:r w:rsidR="00255010">
        <w:rPr>
          <w:lang w:val="en-GB"/>
        </w:rPr>
        <w:t xml:space="preserve">of </w:t>
      </w:r>
      <w:r w:rsidR="005A5873" w:rsidRPr="00C9026A">
        <w:rPr>
          <w:lang w:val="en-GB"/>
        </w:rPr>
        <w:t>the interaction</w:t>
      </w:r>
      <w:r w:rsidR="00255010">
        <w:rPr>
          <w:lang w:val="en-GB"/>
        </w:rPr>
        <w:t>s</w:t>
      </w:r>
      <w:r w:rsidR="005A5873" w:rsidRPr="00C9026A">
        <w:rPr>
          <w:lang w:val="en-GB"/>
        </w:rPr>
        <w:t xml:space="preserve"> </w:t>
      </w:r>
      <w:r w:rsidR="00255010">
        <w:rPr>
          <w:lang w:val="en-GB"/>
        </w:rPr>
        <w:t>between</w:t>
      </w:r>
      <w:r w:rsidR="005A5873" w:rsidRPr="00C9026A">
        <w:rPr>
          <w:lang w:val="en-GB"/>
        </w:rPr>
        <w:t xml:space="preserve"> different species, </w:t>
      </w:r>
      <w:r w:rsidR="000517AB">
        <w:rPr>
          <w:lang w:val="en-GB"/>
        </w:rPr>
        <w:t xml:space="preserve">it is very difficult to model and predict </w:t>
      </w:r>
      <w:r w:rsidR="005A5873" w:rsidRPr="00C9026A">
        <w:rPr>
          <w:lang w:val="en-GB"/>
        </w:rPr>
        <w:t xml:space="preserve">radiological effects on ecosystems exposed to very low increments of the levels of radiation </w:t>
      </w:r>
      <w:r w:rsidR="002D7A25" w:rsidRPr="00C9026A">
        <w:rPr>
          <w:lang w:val="en-GB"/>
        </w:rPr>
        <w:t>in the environment</w:t>
      </w:r>
      <w:r w:rsidR="005A5873" w:rsidRPr="00C9026A">
        <w:rPr>
          <w:lang w:val="en-GB"/>
        </w:rPr>
        <w:t xml:space="preserve">. However, conclusions </w:t>
      </w:r>
      <w:r>
        <w:rPr>
          <w:lang w:val="en-GB"/>
        </w:rPr>
        <w:t>in respect of</w:t>
      </w:r>
      <w:r w:rsidRPr="00C9026A">
        <w:rPr>
          <w:lang w:val="en-GB"/>
        </w:rPr>
        <w:t xml:space="preserve"> </w:t>
      </w:r>
      <w:r w:rsidR="005A5873" w:rsidRPr="00C9026A">
        <w:rPr>
          <w:lang w:val="en-GB"/>
        </w:rPr>
        <w:t xml:space="preserve">the radiological impacts on populations of species and ecosystems, which can be applied prospectively </w:t>
      </w:r>
      <w:r w:rsidR="000517AB">
        <w:rPr>
          <w:lang w:val="en-GB"/>
        </w:rPr>
        <w:t>for</w:t>
      </w:r>
      <w:r w:rsidR="000517AB" w:rsidRPr="00C9026A">
        <w:rPr>
          <w:lang w:val="en-GB"/>
        </w:rPr>
        <w:t xml:space="preserve"> </w:t>
      </w:r>
      <w:r w:rsidR="005A5873" w:rsidRPr="00C9026A">
        <w:rPr>
          <w:lang w:val="en-GB"/>
        </w:rPr>
        <w:t>manag</w:t>
      </w:r>
      <w:r w:rsidR="000517AB">
        <w:rPr>
          <w:lang w:val="en-GB"/>
        </w:rPr>
        <w:t>ing</w:t>
      </w:r>
      <w:r w:rsidR="005A5873" w:rsidRPr="00C9026A">
        <w:rPr>
          <w:lang w:val="en-GB"/>
        </w:rPr>
        <w:t xml:space="preserve"> radioactive sources in planned exposure situations, could be extrapolated from the assessment of the exposures of a reduced number of individual organisms of a species, used as reference</w:t>
      </w:r>
      <w:r>
        <w:rPr>
          <w:lang w:val="en-GB"/>
        </w:rPr>
        <w:t xml:space="preserve"> organism</w:t>
      </w:r>
      <w:r w:rsidR="00A473E5">
        <w:rPr>
          <w:lang w:val="en-GB"/>
        </w:rPr>
        <w:t>s</w:t>
      </w:r>
      <w:r w:rsidR="005A5873" w:rsidRPr="00C9026A">
        <w:rPr>
          <w:lang w:val="en-GB"/>
        </w:rPr>
        <w:t xml:space="preserve"> [</w:t>
      </w:r>
      <w:r w:rsidR="00F46702" w:rsidRPr="00C9026A">
        <w:rPr>
          <w:lang w:val="en-GB"/>
        </w:rPr>
        <w:t>I-6</w:t>
      </w:r>
      <w:r w:rsidR="005A5873" w:rsidRPr="00C9026A">
        <w:rPr>
          <w:lang w:val="en-GB"/>
        </w:rPr>
        <w:t>].</w:t>
      </w:r>
      <w:r w:rsidR="002634D0" w:rsidRPr="00C9026A">
        <w:t xml:space="preserve"> </w:t>
      </w:r>
    </w:p>
    <w:p w:rsidR="002634D0" w:rsidRPr="00C9026A" w:rsidRDefault="005A5873" w:rsidP="00A57A35">
      <w:pPr>
        <w:pStyle w:val="AnnexHeading3"/>
        <w:spacing w:after="180"/>
      </w:pPr>
      <w:r w:rsidRPr="00C9026A">
        <w:t xml:space="preserve">For this purpose, </w:t>
      </w:r>
      <w:r w:rsidR="000517AB">
        <w:t xml:space="preserve">the </w:t>
      </w:r>
      <w:r w:rsidRPr="00C9026A">
        <w:t>ICRP identified species that can be considered to be representative of marine, terrestrial and freshwater ecosystems</w:t>
      </w:r>
      <w:r w:rsidRPr="00C9026A">
        <w:rPr>
          <w:rStyle w:val="FootnoteReference"/>
        </w:rPr>
        <w:footnoteReference w:id="35"/>
      </w:r>
      <w:r w:rsidRPr="00C9026A">
        <w:t xml:space="preserve"> and have a wide geographical variation</w:t>
      </w:r>
      <w:r w:rsidR="009A7481">
        <w:t xml:space="preserve"> </w:t>
      </w:r>
      <w:r w:rsidRPr="00C9026A">
        <w:t>[</w:t>
      </w:r>
      <w:r w:rsidR="00F46702" w:rsidRPr="00C9026A">
        <w:t>I-1</w:t>
      </w:r>
      <w:r w:rsidRPr="00C9026A">
        <w:t xml:space="preserve">]. </w:t>
      </w:r>
      <w:r w:rsidR="005174E3">
        <w:t xml:space="preserve">These species are called </w:t>
      </w:r>
      <w:r w:rsidR="005174E3" w:rsidRPr="00C9026A">
        <w:t xml:space="preserve">the </w:t>
      </w:r>
      <w:r w:rsidR="00367A51">
        <w:t>‘</w:t>
      </w:r>
      <w:r w:rsidR="005174E3" w:rsidRPr="00C9026A">
        <w:t>reference animals and plants</w:t>
      </w:r>
      <w:r w:rsidR="00367A51">
        <w:t>’</w:t>
      </w:r>
      <w:r w:rsidR="005174E3" w:rsidRPr="00C9026A">
        <w:rPr>
          <w:rStyle w:val="FootnoteReference"/>
        </w:rPr>
        <w:footnoteReference w:id="36"/>
      </w:r>
      <w:r w:rsidR="005174E3">
        <w:t xml:space="preserve">. </w:t>
      </w:r>
      <w:r w:rsidRPr="00C9026A">
        <w:t>In selecting these species, ICRP use</w:t>
      </w:r>
      <w:r w:rsidR="00841B96">
        <w:t>d</w:t>
      </w:r>
      <w:r w:rsidRPr="00C9026A">
        <w:t xml:space="preserve"> a pragmatic </w:t>
      </w:r>
      <w:r w:rsidR="00841B96">
        <w:t>approach</w:t>
      </w:r>
      <w:r w:rsidR="00841B96" w:rsidRPr="00C9026A">
        <w:t xml:space="preserve"> </w:t>
      </w:r>
      <w:r w:rsidRPr="00C9026A">
        <w:t>(e.g. the existence of sufficient information</w:t>
      </w:r>
      <w:r w:rsidR="00841B96">
        <w:t xml:space="preserve"> on the species to be used as reference animals and plants</w:t>
      </w:r>
      <w:r w:rsidRPr="00C9026A">
        <w:t xml:space="preserve">) </w:t>
      </w:r>
      <w:r w:rsidR="002F292F" w:rsidRPr="00C9026A">
        <w:t xml:space="preserve">and </w:t>
      </w:r>
      <w:r w:rsidR="00A4244F">
        <w:t xml:space="preserve">also </w:t>
      </w:r>
      <w:r w:rsidR="00841B96">
        <w:t xml:space="preserve">considered </w:t>
      </w:r>
      <w:r w:rsidR="002F292F" w:rsidRPr="00C9026A">
        <w:t>which</w:t>
      </w:r>
      <w:r w:rsidRPr="00C9026A">
        <w:t xml:space="preserve"> species would be more affected </w:t>
      </w:r>
      <w:r w:rsidR="000517AB">
        <w:t>by</w:t>
      </w:r>
      <w:r w:rsidR="000517AB" w:rsidRPr="00C9026A">
        <w:t xml:space="preserve"> </w:t>
      </w:r>
      <w:r w:rsidRPr="00C9026A">
        <w:t xml:space="preserve">exposure </w:t>
      </w:r>
      <w:r w:rsidR="005174E3">
        <w:t>to</w:t>
      </w:r>
      <w:r w:rsidRPr="00C9026A">
        <w:t xml:space="preserve"> </w:t>
      </w:r>
      <w:r w:rsidR="009A7481" w:rsidRPr="00C9026A">
        <w:t>radiation present</w:t>
      </w:r>
      <w:r w:rsidR="005174E3">
        <w:t xml:space="preserve"> </w:t>
      </w:r>
      <w:r w:rsidRPr="00C9026A">
        <w:t>in environmental media [</w:t>
      </w:r>
      <w:r w:rsidR="00F46702" w:rsidRPr="00C9026A">
        <w:t>I-1</w:t>
      </w:r>
      <w:r w:rsidRPr="00C9026A">
        <w:t xml:space="preserve">]. </w:t>
      </w:r>
      <w:r w:rsidR="005174E3">
        <w:t xml:space="preserve">The </w:t>
      </w:r>
      <w:r w:rsidRPr="00C9026A">
        <w:t xml:space="preserve">ICRP approach for protection of flora and fauna considers effects of radiation at </w:t>
      </w:r>
      <w:r w:rsidR="005174E3">
        <w:t>an</w:t>
      </w:r>
      <w:r w:rsidRPr="00C9026A">
        <w:t xml:space="preserve"> individual level </w:t>
      </w:r>
      <w:r w:rsidR="00A4244F">
        <w:rPr>
          <w:lang w:val="en-GB"/>
        </w:rPr>
        <w:t>that</w:t>
      </w:r>
      <w:r w:rsidR="00A4244F" w:rsidRPr="00C9026A">
        <w:rPr>
          <w:lang w:val="en-GB"/>
        </w:rPr>
        <w:t xml:space="preserve"> </w:t>
      </w:r>
      <w:r w:rsidRPr="00C9026A">
        <w:rPr>
          <w:lang w:val="en-GB"/>
        </w:rPr>
        <w:t xml:space="preserve">could have an impact </w:t>
      </w:r>
      <w:r w:rsidR="00FC4AEA">
        <w:rPr>
          <w:lang w:val="en-GB"/>
        </w:rPr>
        <w:t>on</w:t>
      </w:r>
      <w:r w:rsidR="00FC4AEA" w:rsidRPr="00C9026A">
        <w:rPr>
          <w:lang w:val="en-GB"/>
        </w:rPr>
        <w:t xml:space="preserve"> </w:t>
      </w:r>
      <w:r w:rsidRPr="00C9026A">
        <w:rPr>
          <w:lang w:val="en-GB"/>
        </w:rPr>
        <w:t xml:space="preserve">the structure of the population of a species (e.g. early mortality, some forms of morbidity, effects on reproduction, induction of chromosomal damage) </w:t>
      </w:r>
      <w:r w:rsidRPr="00C9026A">
        <w:t>[</w:t>
      </w:r>
      <w:r w:rsidR="00F46702" w:rsidRPr="00C9026A">
        <w:t>I-1, I-2</w:t>
      </w:r>
      <w:r w:rsidRPr="00C9026A">
        <w:t>].</w:t>
      </w:r>
      <w:r w:rsidR="002634D0" w:rsidRPr="00C9026A">
        <w:t xml:space="preserve"> </w:t>
      </w:r>
    </w:p>
    <w:p w:rsidR="002634D0" w:rsidRPr="00C9026A" w:rsidRDefault="00A4244F" w:rsidP="00A57A35">
      <w:pPr>
        <w:pStyle w:val="AnnexHeading3"/>
      </w:pPr>
      <w:r>
        <w:t xml:space="preserve">The </w:t>
      </w:r>
      <w:r w:rsidR="005A5873" w:rsidRPr="00C9026A">
        <w:t xml:space="preserve">ICRP defined criteria </w:t>
      </w:r>
      <w:r w:rsidR="000517AB">
        <w:t>for</w:t>
      </w:r>
      <w:r w:rsidR="000517AB" w:rsidRPr="00C9026A">
        <w:t xml:space="preserve"> </w:t>
      </w:r>
      <w:r w:rsidR="005A5873" w:rsidRPr="00C9026A">
        <w:t>assess</w:t>
      </w:r>
      <w:r w:rsidR="000517AB">
        <w:t>ing</w:t>
      </w:r>
      <w:r w:rsidR="005A5873" w:rsidRPr="00C9026A">
        <w:t xml:space="preserve"> and manag</w:t>
      </w:r>
      <w:r w:rsidR="000517AB">
        <w:t>ing</w:t>
      </w:r>
      <w:r w:rsidR="005A5873" w:rsidRPr="00C9026A">
        <w:t xml:space="preserve"> the radiological impact </w:t>
      </w:r>
      <w:r>
        <w:t>on</w:t>
      </w:r>
      <w:r w:rsidRPr="00C9026A">
        <w:t xml:space="preserve"> </w:t>
      </w:r>
      <w:r w:rsidR="005A5873" w:rsidRPr="00C9026A">
        <w:t xml:space="preserve">flora and fauna in the form of </w:t>
      </w:r>
      <w:r>
        <w:t>‘</w:t>
      </w:r>
      <w:r w:rsidR="005A5873" w:rsidRPr="00C9026A">
        <w:t>derived consideration reference levels</w:t>
      </w:r>
      <w:r>
        <w:t>’</w:t>
      </w:r>
      <w:r w:rsidR="005A5873" w:rsidRPr="00C9026A">
        <w:t xml:space="preserve"> [</w:t>
      </w:r>
      <w:r w:rsidR="00F46702" w:rsidRPr="00C9026A">
        <w:t>I-1</w:t>
      </w:r>
      <w:r w:rsidR="005A5873" w:rsidRPr="00C9026A">
        <w:t xml:space="preserve">]. </w:t>
      </w:r>
      <w:r w:rsidR="00933447">
        <w:t>D</w:t>
      </w:r>
      <w:r w:rsidR="005A5873" w:rsidRPr="00C9026A">
        <w:t>erived consideration reference levels are a set of dose rate bands</w:t>
      </w:r>
      <w:r w:rsidR="005A5873" w:rsidRPr="00C9026A">
        <w:rPr>
          <w:rStyle w:val="FootnoteReference"/>
        </w:rPr>
        <w:footnoteReference w:id="37"/>
      </w:r>
      <w:r w:rsidR="005A5873" w:rsidRPr="00C9026A">
        <w:t xml:space="preserve"> within which there </w:t>
      </w:r>
      <w:r>
        <w:t xml:space="preserve">is </w:t>
      </w:r>
      <w:r w:rsidR="00DB46DB" w:rsidRPr="00DB46DB">
        <w:t>either no</w:t>
      </w:r>
      <w:r>
        <w:t xml:space="preserve"> evidence</w:t>
      </w:r>
      <w:r w:rsidR="00DB46DB" w:rsidRPr="00DB46DB">
        <w:t xml:space="preserve"> (for most of the reference animals and plants)</w:t>
      </w:r>
      <w:r w:rsidR="00DB46DB">
        <w:t xml:space="preserve"> </w:t>
      </w:r>
      <w:r w:rsidR="00DB46DB" w:rsidRPr="00DB46DB">
        <w:t>or only</w:t>
      </w:r>
      <w:r w:rsidR="005A5873" w:rsidRPr="00C9026A">
        <w:t xml:space="preserve"> some</w:t>
      </w:r>
      <w:r w:rsidR="00DB46DB" w:rsidRPr="00DB46DB">
        <w:t xml:space="preserve"> </w:t>
      </w:r>
      <w:r w:rsidR="00086CA3">
        <w:t>evidence</w:t>
      </w:r>
      <w:r w:rsidR="005A5873" w:rsidRPr="00C9026A">
        <w:t xml:space="preserve"> of deleterious effects of ionizing radiation </w:t>
      </w:r>
      <w:r>
        <w:t>on</w:t>
      </w:r>
      <w:r w:rsidRPr="00C9026A">
        <w:t xml:space="preserve"> </w:t>
      </w:r>
      <w:r w:rsidR="005A5873" w:rsidRPr="00C9026A">
        <w:t>individual</w:t>
      </w:r>
      <w:r w:rsidR="002C301E">
        <w:t>s</w:t>
      </w:r>
      <w:r w:rsidR="005A5873" w:rsidRPr="00C9026A">
        <w:t xml:space="preserve"> </w:t>
      </w:r>
      <w:r w:rsidR="002C301E">
        <w:t xml:space="preserve">of the species </w:t>
      </w:r>
      <w:r w:rsidR="005A5873" w:rsidRPr="00C9026A">
        <w:t xml:space="preserve">which may have implications </w:t>
      </w:r>
      <w:r>
        <w:t>for</w:t>
      </w:r>
      <w:r w:rsidRPr="00C9026A">
        <w:t xml:space="preserve"> </w:t>
      </w:r>
      <w:r w:rsidR="005A5873" w:rsidRPr="00C9026A">
        <w:t>the structure o</w:t>
      </w:r>
      <w:r>
        <w:t>f</w:t>
      </w:r>
      <w:r w:rsidR="005A5873" w:rsidRPr="00C9026A">
        <w:t xml:space="preserve"> </w:t>
      </w:r>
      <w:r>
        <w:t xml:space="preserve">the </w:t>
      </w:r>
      <w:r w:rsidR="005A5873" w:rsidRPr="00C9026A">
        <w:t xml:space="preserve">population. Detectable effects in some single individuals of a population would not </w:t>
      </w:r>
      <w:r w:rsidR="005A5873" w:rsidRPr="00C9026A">
        <w:lastRenderedPageBreak/>
        <w:t>necessarily have consequences for the population as a whole [</w:t>
      </w:r>
      <w:r w:rsidR="00F46702" w:rsidRPr="00C9026A">
        <w:t>I-1</w:t>
      </w:r>
      <w:r w:rsidR="005A5873" w:rsidRPr="00C9026A">
        <w:t>]. For very low increments of doses at the local level</w:t>
      </w:r>
      <w:r w:rsidR="005174E3">
        <w:t>,</w:t>
      </w:r>
      <w:r w:rsidR="005A5873" w:rsidRPr="00C9026A">
        <w:t xml:space="preserve"> </w:t>
      </w:r>
      <w:r>
        <w:t xml:space="preserve">such </w:t>
      </w:r>
      <w:r w:rsidR="005A5873" w:rsidRPr="00C9026A">
        <w:t xml:space="preserve">as </w:t>
      </w:r>
      <w:r w:rsidR="005174E3" w:rsidRPr="00C9026A">
        <w:t>th</w:t>
      </w:r>
      <w:r w:rsidR="005174E3">
        <w:t>ose</w:t>
      </w:r>
      <w:r w:rsidR="005174E3" w:rsidRPr="00C9026A">
        <w:t xml:space="preserve"> </w:t>
      </w:r>
      <w:r w:rsidR="005A5873" w:rsidRPr="00C9026A">
        <w:t xml:space="preserve">resulting </w:t>
      </w:r>
      <w:r w:rsidR="005174E3">
        <w:t>from the</w:t>
      </w:r>
      <w:r w:rsidR="005A5873" w:rsidRPr="00C9026A">
        <w:t xml:space="preserve"> normal operation of facilities and activities, impacts at the level of population can hardly be observed [</w:t>
      </w:r>
      <w:r w:rsidR="00F46702" w:rsidRPr="00C9026A">
        <w:t>I-1</w:t>
      </w:r>
      <w:r w:rsidR="005A5873" w:rsidRPr="00C9026A">
        <w:t>]. Derived consideration reference level</w:t>
      </w:r>
      <w:r>
        <w:t>s</w:t>
      </w:r>
      <w:r w:rsidR="005A5873" w:rsidRPr="00C9026A">
        <w:t xml:space="preserve"> span </w:t>
      </w:r>
      <w:r w:rsidR="00933447">
        <w:t xml:space="preserve">one </w:t>
      </w:r>
      <w:r w:rsidR="005A5873" w:rsidRPr="00C9026A">
        <w:t xml:space="preserve">order of magnitude; for dose rates below the lower level of the bands, no effects have been observed or no information on effects </w:t>
      </w:r>
      <w:r w:rsidR="005174E3">
        <w:t>is available</w:t>
      </w:r>
      <w:r w:rsidR="005A5873" w:rsidRPr="00C9026A">
        <w:t xml:space="preserve"> [</w:t>
      </w:r>
      <w:r w:rsidR="00F46702" w:rsidRPr="00C9026A">
        <w:t>I-1, I-2</w:t>
      </w:r>
      <w:r w:rsidR="005A5873" w:rsidRPr="00C9026A">
        <w:t>].</w:t>
      </w:r>
      <w:r w:rsidR="002634D0" w:rsidRPr="00C9026A">
        <w:t xml:space="preserve"> </w:t>
      </w:r>
    </w:p>
    <w:p w:rsidR="002634D0" w:rsidRPr="00C9026A" w:rsidRDefault="00933447" w:rsidP="00A57A35">
      <w:pPr>
        <w:pStyle w:val="AnnexHeading3"/>
        <w:spacing w:after="180"/>
      </w:pPr>
      <w:r>
        <w:t>D</w:t>
      </w:r>
      <w:r w:rsidR="005A5873" w:rsidRPr="00C9026A">
        <w:t xml:space="preserve">erived consideration reference levels do not represent limits; </w:t>
      </w:r>
      <w:r w:rsidR="00A4244F">
        <w:t xml:space="preserve">rather, </w:t>
      </w:r>
      <w:r w:rsidR="005A5873" w:rsidRPr="00C9026A">
        <w:t xml:space="preserve">they should be considered as points of reference </w:t>
      </w:r>
      <w:r w:rsidR="00A4244F">
        <w:t>for</w:t>
      </w:r>
      <w:r w:rsidR="00A4244F" w:rsidRPr="00C9026A">
        <w:t xml:space="preserve"> </w:t>
      </w:r>
      <w:r w:rsidR="005A5873" w:rsidRPr="00C9026A">
        <w:t>inform</w:t>
      </w:r>
      <w:r w:rsidR="00A4244F">
        <w:t>ing</w:t>
      </w:r>
      <w:r w:rsidR="005A5873" w:rsidRPr="00C9026A">
        <w:t xml:space="preserve"> the appropriate level of effort that should be expended on environmental protection, dependent on the overall management objectives, the actual fauna and flora present, and the numbers of individuals thus exposed [</w:t>
      </w:r>
      <w:r w:rsidR="00F46702" w:rsidRPr="00C9026A">
        <w:t>I-2</w:t>
      </w:r>
      <w:r w:rsidR="005A5873" w:rsidRPr="00C9026A">
        <w:t>].</w:t>
      </w:r>
      <w:r w:rsidR="002634D0" w:rsidRPr="00C9026A">
        <w:t xml:space="preserve"> </w:t>
      </w:r>
    </w:p>
    <w:p w:rsidR="002634D0" w:rsidRPr="00C9026A" w:rsidRDefault="00617E00" w:rsidP="00A57A35">
      <w:pPr>
        <w:pStyle w:val="AnnexHeading3"/>
      </w:pPr>
      <w:r>
        <w:t xml:space="preserve">The </w:t>
      </w:r>
      <w:r w:rsidR="005A5873" w:rsidRPr="00C9026A">
        <w:t xml:space="preserve">ICRP </w:t>
      </w:r>
      <w:r>
        <w:t xml:space="preserve">also introduced in Publication 124 </w:t>
      </w:r>
      <w:r w:rsidR="005A5873" w:rsidRPr="00C9026A">
        <w:t xml:space="preserve">the concept of </w:t>
      </w:r>
      <w:r w:rsidR="00A4244F">
        <w:t>‘</w:t>
      </w:r>
      <w:r w:rsidR="005A5873" w:rsidRPr="00C9026A">
        <w:t>representative organism</w:t>
      </w:r>
      <w:r w:rsidR="00A4244F">
        <w:t>’</w:t>
      </w:r>
      <w:r w:rsidR="005A5873" w:rsidRPr="00C9026A">
        <w:t xml:space="preserve"> </w:t>
      </w:r>
      <w:r>
        <w:t xml:space="preserve">which is equivalent to </w:t>
      </w:r>
      <w:r w:rsidRPr="00C9026A">
        <w:t>the concept of representative person</w:t>
      </w:r>
      <w:r>
        <w:t xml:space="preserve"> used in </w:t>
      </w:r>
      <w:r w:rsidR="00A4244F">
        <w:t xml:space="preserve">assessments of </w:t>
      </w:r>
      <w:r>
        <w:t xml:space="preserve">radiological </w:t>
      </w:r>
      <w:r w:rsidR="00A4244F">
        <w:t xml:space="preserve">effects </w:t>
      </w:r>
      <w:r>
        <w:t>for humans [I-2].</w:t>
      </w:r>
      <w:r w:rsidRPr="00C9026A">
        <w:t xml:space="preserve"> </w:t>
      </w:r>
      <w:r w:rsidRPr="00F50F57">
        <w:t xml:space="preserve">The representative organism is a particular species or group of organisms selected </w:t>
      </w:r>
      <w:r w:rsidR="00367A51">
        <w:t>for use in</w:t>
      </w:r>
      <w:r w:rsidR="00367A51" w:rsidRPr="00F50F57">
        <w:t xml:space="preserve"> </w:t>
      </w:r>
      <w:r w:rsidRPr="00F50F57">
        <w:t xml:space="preserve">a </w:t>
      </w:r>
      <w:r w:rsidR="00746036">
        <w:t xml:space="preserve">radiological environmental impact </w:t>
      </w:r>
      <w:r w:rsidRPr="00F50F57">
        <w:t>assessment</w:t>
      </w:r>
      <w:r w:rsidR="00746036">
        <w:t xml:space="preserve"> for a specific facility or activity</w:t>
      </w:r>
      <w:r w:rsidRPr="00F50F57">
        <w:t xml:space="preserve">, taking account of their assumed location with respect to the source </w:t>
      </w:r>
      <w:r w:rsidR="00933447">
        <w:t xml:space="preserve">of radiation </w:t>
      </w:r>
      <w:r w:rsidRPr="00F50F57">
        <w:t>[I-2].</w:t>
      </w:r>
      <w:r>
        <w:t xml:space="preserve"> </w:t>
      </w:r>
      <w:r w:rsidR="007E7D86">
        <w:t xml:space="preserve">The representative </w:t>
      </w:r>
      <w:r w:rsidR="007E7D86" w:rsidRPr="007E7D86">
        <w:t xml:space="preserve">organisms </w:t>
      </w:r>
      <w:r w:rsidR="007E7D86">
        <w:t xml:space="preserve">are those </w:t>
      </w:r>
      <w:r w:rsidR="007E7D86" w:rsidRPr="007E7D86">
        <w:t>represent</w:t>
      </w:r>
      <w:r w:rsidR="007E7D86">
        <w:t>ative of</w:t>
      </w:r>
      <w:r w:rsidR="007E7D86" w:rsidRPr="007E7D86">
        <w:t xml:space="preserve"> the flora and fauna more highly exposed [I-2]</w:t>
      </w:r>
      <w:r w:rsidR="007E7D86">
        <w:t xml:space="preserve">. </w:t>
      </w:r>
      <w:r w:rsidR="005A5873" w:rsidRPr="00C9026A">
        <w:t>The derived consideration reference levels apply to the representative organisms.</w:t>
      </w:r>
      <w:r w:rsidR="002634D0" w:rsidRPr="00C9026A">
        <w:t xml:space="preserve"> </w:t>
      </w:r>
    </w:p>
    <w:p w:rsidR="002634D0" w:rsidRPr="00C9026A" w:rsidRDefault="005A5873" w:rsidP="00A57A35">
      <w:pPr>
        <w:pStyle w:val="AnnexHeading3"/>
      </w:pPr>
      <w:r w:rsidRPr="00C9026A">
        <w:t xml:space="preserve">Because derived consideration reference levels are not limits, </w:t>
      </w:r>
      <w:r w:rsidR="00617E00">
        <w:t xml:space="preserve">when </w:t>
      </w:r>
      <w:r w:rsidRPr="00C9026A">
        <w:t xml:space="preserve">the estimated doses </w:t>
      </w:r>
      <w:r w:rsidR="00617E00">
        <w:t>to the representative organisms are</w:t>
      </w:r>
      <w:r w:rsidRPr="00C9026A">
        <w:t xml:space="preserve"> within the band </w:t>
      </w:r>
      <w:r w:rsidR="002F292F" w:rsidRPr="00C9026A">
        <w:t xml:space="preserve">or </w:t>
      </w:r>
      <w:r w:rsidR="002F292F">
        <w:t>close</w:t>
      </w:r>
      <w:r w:rsidR="007B7808">
        <w:t xml:space="preserve"> </w:t>
      </w:r>
      <w:r w:rsidRPr="00C9026A">
        <w:t xml:space="preserve">above the </w:t>
      </w:r>
      <w:r w:rsidR="00617E00">
        <w:t xml:space="preserve">upper boundary of the </w:t>
      </w:r>
      <w:r w:rsidRPr="00C9026A">
        <w:t>band</w:t>
      </w:r>
      <w:r w:rsidR="00933447">
        <w:t>,</w:t>
      </w:r>
      <w:r w:rsidR="007B7808">
        <w:t xml:space="preserve"> </w:t>
      </w:r>
      <w:r w:rsidRPr="00C9026A">
        <w:t xml:space="preserve">the radiological situation can still be considered acceptable. </w:t>
      </w:r>
      <w:r w:rsidR="00EC0D7A">
        <w:t>However, such a result would likely warrant a closer examination of the possible impacts</w:t>
      </w:r>
      <w:r w:rsidR="00617E00">
        <w:t xml:space="preserve"> </w:t>
      </w:r>
      <w:r w:rsidR="00367A51">
        <w:t xml:space="preserve">on </w:t>
      </w:r>
      <w:r w:rsidR="00617E00">
        <w:t xml:space="preserve">the environment, which </w:t>
      </w:r>
      <w:r w:rsidR="00367A51">
        <w:t>would need to</w:t>
      </w:r>
      <w:r w:rsidR="00C10FE0">
        <w:t xml:space="preserve"> </w:t>
      </w:r>
      <w:r w:rsidR="00617E00">
        <w:t>take account of a number of factors</w:t>
      </w:r>
      <w:r w:rsidR="00EC0D7A">
        <w:t xml:space="preserve">. </w:t>
      </w:r>
      <w:r w:rsidRPr="00C9026A">
        <w:t xml:space="preserve">Factors </w:t>
      </w:r>
      <w:r w:rsidR="00367A51">
        <w:t>that</w:t>
      </w:r>
      <w:r w:rsidR="00367A51" w:rsidRPr="00C9026A">
        <w:t xml:space="preserve"> </w:t>
      </w:r>
      <w:r w:rsidR="00C10FE0">
        <w:t>may</w:t>
      </w:r>
      <w:r w:rsidR="00C10FE0" w:rsidRPr="00C9026A">
        <w:t xml:space="preserve"> </w:t>
      </w:r>
      <w:r w:rsidRPr="00C9026A">
        <w:t xml:space="preserve">be considered when making decisions based on impacts </w:t>
      </w:r>
      <w:r w:rsidR="00367A51">
        <w:t>on</w:t>
      </w:r>
      <w:r w:rsidR="00367A51" w:rsidRPr="00C9026A">
        <w:t xml:space="preserve"> </w:t>
      </w:r>
      <w:r w:rsidRPr="00C9026A">
        <w:t xml:space="preserve">flora and fauna </w:t>
      </w:r>
      <w:r w:rsidR="00367A51">
        <w:t>when</w:t>
      </w:r>
      <w:r w:rsidR="00367A51" w:rsidRPr="00C9026A">
        <w:t xml:space="preserve"> </w:t>
      </w:r>
      <w:r w:rsidRPr="00C9026A">
        <w:t xml:space="preserve">the estimated doses are above the </w:t>
      </w:r>
      <w:r w:rsidR="00617E00">
        <w:t xml:space="preserve">upper boundary of the </w:t>
      </w:r>
      <w:r w:rsidRPr="00C9026A">
        <w:t xml:space="preserve">bands </w:t>
      </w:r>
      <w:r w:rsidR="00367A51">
        <w:t>include:</w:t>
      </w:r>
      <w:r w:rsidRPr="00C9026A">
        <w:t xml:space="preserve"> the size of the area where the dose rates are assessed to occur</w:t>
      </w:r>
      <w:r w:rsidR="00367A51">
        <w:t>;</w:t>
      </w:r>
      <w:r w:rsidRPr="00C9026A">
        <w:t xml:space="preserve"> the time period predicted for such dose rates</w:t>
      </w:r>
      <w:r w:rsidR="00367A51">
        <w:t>;</w:t>
      </w:r>
      <w:r w:rsidRPr="00C9026A">
        <w:t xml:space="preserve"> the need to comply with specific legislation</w:t>
      </w:r>
      <w:r w:rsidR="00367A51">
        <w:t>;</w:t>
      </w:r>
      <w:r w:rsidRPr="00C9026A">
        <w:t xml:space="preserve"> </w:t>
      </w:r>
      <w:r w:rsidR="00367A51">
        <w:t xml:space="preserve">whether the flora or fauna </w:t>
      </w:r>
      <w:r w:rsidR="00DF542E">
        <w:t>are</w:t>
      </w:r>
      <w:r w:rsidR="00CD1A07">
        <w:t xml:space="preserve"> considered as a resource, such as </w:t>
      </w:r>
      <w:r w:rsidR="00781CA2">
        <w:t>for human consumption</w:t>
      </w:r>
      <w:r w:rsidR="009C660B">
        <w:t xml:space="preserve"> (</w:t>
      </w:r>
      <w:r w:rsidR="00CD1A07">
        <w:t xml:space="preserve">for example, </w:t>
      </w:r>
      <w:r w:rsidR="00546E2C">
        <w:t xml:space="preserve"> as</w:t>
      </w:r>
      <w:r w:rsidR="009C660B">
        <w:t xml:space="preserve"> in the case of</w:t>
      </w:r>
      <w:r w:rsidR="00546E2C">
        <w:t xml:space="preserve"> fisheries management </w:t>
      </w:r>
      <w:r w:rsidR="00147AB2">
        <w:t>and forest food management)</w:t>
      </w:r>
      <w:r w:rsidR="00367A51">
        <w:t>;</w:t>
      </w:r>
      <w:r w:rsidRPr="00C9026A">
        <w:t xml:space="preserve"> the presence of additional environmental stressors</w:t>
      </w:r>
      <w:r w:rsidR="00367A51">
        <w:t>;</w:t>
      </w:r>
      <w:r w:rsidRPr="00C9026A">
        <w:t xml:space="preserve"> whether or not the assessment is related to </w:t>
      </w:r>
      <w:r w:rsidR="00367A51">
        <w:t xml:space="preserve">an </w:t>
      </w:r>
      <w:r w:rsidRPr="00C9026A">
        <w:t>actual species</w:t>
      </w:r>
      <w:r w:rsidR="00617E00">
        <w:t xml:space="preserve"> present in the area</w:t>
      </w:r>
      <w:r w:rsidRPr="00C9026A">
        <w:t xml:space="preserve"> or </w:t>
      </w:r>
      <w:r w:rsidR="00617E00">
        <w:t xml:space="preserve">to </w:t>
      </w:r>
      <w:r w:rsidRPr="00C9026A">
        <w:t xml:space="preserve">generalized </w:t>
      </w:r>
      <w:r w:rsidR="00367A51">
        <w:t xml:space="preserve">types of </w:t>
      </w:r>
      <w:r w:rsidRPr="00C9026A">
        <w:t>plants and animals</w:t>
      </w:r>
      <w:r w:rsidR="00367A51">
        <w:t>; and</w:t>
      </w:r>
      <w:r w:rsidRPr="00C9026A">
        <w:t xml:space="preserve"> the degree of precaution considered necessary [</w:t>
      </w:r>
      <w:r w:rsidR="00F46702" w:rsidRPr="00C9026A">
        <w:t>I-1</w:t>
      </w:r>
      <w:r w:rsidRPr="00C9026A">
        <w:t>].</w:t>
      </w:r>
      <w:r w:rsidR="002634D0" w:rsidRPr="00C9026A">
        <w:t xml:space="preserve"> </w:t>
      </w:r>
    </w:p>
    <w:p w:rsidR="005A5873" w:rsidRPr="00C9026A" w:rsidRDefault="005A5873" w:rsidP="00A57A35">
      <w:pPr>
        <w:pStyle w:val="AnnexHeading2"/>
      </w:pPr>
      <w:r w:rsidRPr="00C9026A">
        <w:t xml:space="preserve">The generic methodology </w:t>
      </w:r>
      <w:r w:rsidR="00367A51">
        <w:t>for</w:t>
      </w:r>
      <w:r w:rsidR="00367A51" w:rsidRPr="00C9026A">
        <w:t xml:space="preserve"> </w:t>
      </w:r>
      <w:r w:rsidRPr="00C9026A">
        <w:t>assess</w:t>
      </w:r>
      <w:r w:rsidR="00367A51">
        <w:t>ing</w:t>
      </w:r>
      <w:r w:rsidRPr="00C9026A">
        <w:t xml:space="preserve"> </w:t>
      </w:r>
      <w:r w:rsidR="00933447">
        <w:t>exposure</w:t>
      </w:r>
      <w:r w:rsidR="00933447" w:rsidRPr="00C9026A">
        <w:t xml:space="preserve"> </w:t>
      </w:r>
      <w:r w:rsidRPr="00C9026A">
        <w:t xml:space="preserve">of </w:t>
      </w:r>
      <w:r w:rsidR="00933447">
        <w:t>FLORA AND FAUNA</w:t>
      </w:r>
    </w:p>
    <w:p w:rsidR="005A5873" w:rsidRPr="00C9026A" w:rsidRDefault="005A5873" w:rsidP="00A57A35">
      <w:pPr>
        <w:pStyle w:val="AnnexHeading3"/>
        <w:rPr>
          <w:lang w:val="en-GB"/>
        </w:rPr>
      </w:pPr>
      <w:r w:rsidRPr="00C9026A">
        <w:rPr>
          <w:lang w:val="en-GB"/>
        </w:rPr>
        <w:t xml:space="preserve">For the generic </w:t>
      </w:r>
      <w:r w:rsidR="00617E00">
        <w:rPr>
          <w:lang w:val="en-GB"/>
        </w:rPr>
        <w:t xml:space="preserve">methodology </w:t>
      </w:r>
      <w:r w:rsidRPr="00C9026A">
        <w:rPr>
          <w:lang w:val="en-GB"/>
        </w:rPr>
        <w:t xml:space="preserve">described in this </w:t>
      </w:r>
      <w:r w:rsidR="0061079A">
        <w:rPr>
          <w:lang w:val="en-GB"/>
        </w:rPr>
        <w:t>a</w:t>
      </w:r>
      <w:r w:rsidRPr="00C9026A">
        <w:rPr>
          <w:lang w:val="en-GB"/>
        </w:rPr>
        <w:t>nnex, the representative organism</w:t>
      </w:r>
      <w:r w:rsidR="00C10FE0">
        <w:rPr>
          <w:lang w:val="en-GB"/>
        </w:rPr>
        <w:t xml:space="preserve"> is</w:t>
      </w:r>
      <w:r w:rsidRPr="00C9026A">
        <w:rPr>
          <w:lang w:val="en-GB"/>
        </w:rPr>
        <w:t xml:space="preserve"> </w:t>
      </w:r>
      <w:r w:rsidR="000E05BE">
        <w:rPr>
          <w:lang w:val="en-GB"/>
        </w:rPr>
        <w:t xml:space="preserve">selected </w:t>
      </w:r>
      <w:r w:rsidRPr="00C9026A">
        <w:rPr>
          <w:lang w:val="en-GB"/>
        </w:rPr>
        <w:t xml:space="preserve">directly </w:t>
      </w:r>
      <w:r w:rsidR="000E05BE">
        <w:rPr>
          <w:lang w:val="en-GB"/>
        </w:rPr>
        <w:t xml:space="preserve">from </w:t>
      </w:r>
      <w:r w:rsidRPr="00C9026A">
        <w:rPr>
          <w:lang w:val="en-GB"/>
        </w:rPr>
        <w:t>the ICRP reference animals and plants relevant for the specific major eco</w:t>
      </w:r>
      <w:r w:rsidR="000E05BE">
        <w:rPr>
          <w:lang w:val="en-GB"/>
        </w:rPr>
        <w:t>system</w:t>
      </w:r>
      <w:r w:rsidRPr="00C9026A">
        <w:rPr>
          <w:lang w:val="en-GB"/>
        </w:rPr>
        <w:t xml:space="preserve"> (e.g. terrestrial, marine, freshwater), located in </w:t>
      </w:r>
      <w:r w:rsidR="000E05BE">
        <w:rPr>
          <w:lang w:val="en-GB"/>
        </w:rPr>
        <w:t>the</w:t>
      </w:r>
      <w:r w:rsidRPr="00C9026A">
        <w:rPr>
          <w:lang w:val="en-GB"/>
        </w:rPr>
        <w:t xml:space="preserve"> area where the exposure conditions lead to the highest doses.</w:t>
      </w:r>
    </w:p>
    <w:p w:rsidR="005A5873" w:rsidRPr="00C9026A" w:rsidRDefault="00367A51" w:rsidP="00A57A35">
      <w:pPr>
        <w:pStyle w:val="AnnexHeading3"/>
        <w:rPr>
          <w:lang w:val="en-GB"/>
        </w:rPr>
      </w:pPr>
      <w:r>
        <w:rPr>
          <w:lang w:val="en-GB"/>
        </w:rPr>
        <w:t>In a</w:t>
      </w:r>
      <w:r w:rsidR="005A5873" w:rsidRPr="00C9026A">
        <w:rPr>
          <w:lang w:val="en-GB"/>
        </w:rPr>
        <w:t>ccord</w:t>
      </w:r>
      <w:r>
        <w:rPr>
          <w:lang w:val="en-GB"/>
        </w:rPr>
        <w:t>ance</w:t>
      </w:r>
      <w:r w:rsidR="005A5873" w:rsidRPr="00C9026A">
        <w:rPr>
          <w:lang w:val="en-GB"/>
        </w:rPr>
        <w:t xml:space="preserve"> with the concept of representative organisms, the dose</w:t>
      </w:r>
      <w:r w:rsidR="004A7EA5" w:rsidRPr="00C9026A">
        <w:rPr>
          <w:lang w:val="en-GB"/>
        </w:rPr>
        <w:t xml:space="preserve"> rate</w:t>
      </w:r>
      <w:r w:rsidR="005A5873" w:rsidRPr="00C9026A">
        <w:rPr>
          <w:lang w:val="en-GB"/>
        </w:rPr>
        <w:t xml:space="preserve"> to be </w:t>
      </w:r>
      <w:r w:rsidR="000E05BE">
        <w:rPr>
          <w:lang w:val="en-GB"/>
        </w:rPr>
        <w:t>estimated</w:t>
      </w:r>
      <w:r w:rsidR="000E05BE" w:rsidRPr="00C9026A">
        <w:rPr>
          <w:lang w:val="en-GB"/>
        </w:rPr>
        <w:t xml:space="preserve"> </w:t>
      </w:r>
      <w:r w:rsidR="005A5873" w:rsidRPr="00C9026A">
        <w:rPr>
          <w:lang w:val="en-GB"/>
        </w:rPr>
        <w:t xml:space="preserve">in the assessment of the impact </w:t>
      </w:r>
      <w:r>
        <w:rPr>
          <w:lang w:val="en-GB"/>
        </w:rPr>
        <w:t>on</w:t>
      </w:r>
      <w:r w:rsidRPr="00C9026A">
        <w:rPr>
          <w:lang w:val="en-GB"/>
        </w:rPr>
        <w:t xml:space="preserve"> </w:t>
      </w:r>
      <w:r w:rsidR="005A5873" w:rsidRPr="00C9026A">
        <w:rPr>
          <w:lang w:val="en-GB"/>
        </w:rPr>
        <w:t xml:space="preserve">populations of flora and fauna </w:t>
      </w:r>
      <w:r>
        <w:rPr>
          <w:lang w:val="en-GB"/>
        </w:rPr>
        <w:t>w</w:t>
      </w:r>
      <w:r w:rsidR="005A5873" w:rsidRPr="00C9026A">
        <w:rPr>
          <w:lang w:val="en-GB"/>
        </w:rPr>
        <w:t>ould not be the dose</w:t>
      </w:r>
      <w:r w:rsidR="004A7EA5" w:rsidRPr="00C9026A">
        <w:rPr>
          <w:lang w:val="en-GB"/>
        </w:rPr>
        <w:t xml:space="preserve"> rate</w:t>
      </w:r>
      <w:r w:rsidR="005A5873" w:rsidRPr="00C9026A">
        <w:rPr>
          <w:lang w:val="en-GB"/>
        </w:rPr>
        <w:t xml:space="preserve"> of the most exposed individual;</w:t>
      </w:r>
      <w:r>
        <w:rPr>
          <w:lang w:val="en-GB"/>
        </w:rPr>
        <w:t xml:space="preserve"> rather</w:t>
      </w:r>
      <w:r w:rsidR="005A5873" w:rsidRPr="00C9026A">
        <w:rPr>
          <w:lang w:val="en-GB"/>
        </w:rPr>
        <w:t xml:space="preserve"> the dose </w:t>
      </w:r>
      <w:r w:rsidR="004A7EA5" w:rsidRPr="00C9026A">
        <w:rPr>
          <w:lang w:val="en-GB"/>
        </w:rPr>
        <w:t xml:space="preserve">rate </w:t>
      </w:r>
      <w:r>
        <w:rPr>
          <w:lang w:val="en-GB"/>
        </w:rPr>
        <w:t>would</w:t>
      </w:r>
      <w:r w:rsidRPr="00C9026A">
        <w:rPr>
          <w:lang w:val="en-GB"/>
        </w:rPr>
        <w:t xml:space="preserve"> </w:t>
      </w:r>
      <w:r w:rsidR="005A5873" w:rsidRPr="00C9026A">
        <w:rPr>
          <w:lang w:val="en-GB"/>
        </w:rPr>
        <w:t xml:space="preserve">be </w:t>
      </w:r>
      <w:r w:rsidR="009A7481" w:rsidRPr="009A7481">
        <w:t>characteristic</w:t>
      </w:r>
      <w:r w:rsidR="005A5873" w:rsidRPr="00C9026A">
        <w:rPr>
          <w:lang w:val="en-GB"/>
        </w:rPr>
        <w:t xml:space="preserve"> of the dose</w:t>
      </w:r>
      <w:r w:rsidR="004A7EA5" w:rsidRPr="00C9026A">
        <w:rPr>
          <w:lang w:val="en-GB"/>
        </w:rPr>
        <w:t xml:space="preserve"> rates</w:t>
      </w:r>
      <w:r w:rsidR="005A5873" w:rsidRPr="00C9026A">
        <w:rPr>
          <w:lang w:val="en-GB"/>
        </w:rPr>
        <w:t xml:space="preserve"> received by a group of individual</w:t>
      </w:r>
      <w:r w:rsidR="003E18B6">
        <w:rPr>
          <w:lang w:val="en-GB"/>
        </w:rPr>
        <w:t xml:space="preserve"> organism</w:t>
      </w:r>
      <w:r w:rsidR="005A5873" w:rsidRPr="00C9026A">
        <w:rPr>
          <w:lang w:val="en-GB"/>
        </w:rPr>
        <w:t>s located in the area where the highest exposures may occur.</w:t>
      </w:r>
    </w:p>
    <w:p w:rsidR="005A5873" w:rsidRPr="00C9026A" w:rsidRDefault="005A5873" w:rsidP="00A57A35">
      <w:pPr>
        <w:pStyle w:val="AnnexHeading3"/>
        <w:rPr>
          <w:lang w:val="en-GB"/>
        </w:rPr>
      </w:pPr>
      <w:r w:rsidRPr="00C9026A">
        <w:rPr>
          <w:lang w:val="en-GB"/>
        </w:rPr>
        <w:t>T</w:t>
      </w:r>
      <w:r w:rsidR="000E05BE">
        <w:rPr>
          <w:lang w:val="en-GB"/>
        </w:rPr>
        <w:t xml:space="preserve">he selection of </w:t>
      </w:r>
      <w:r w:rsidRPr="00C9026A">
        <w:rPr>
          <w:lang w:val="en-GB"/>
        </w:rPr>
        <w:t>the area where the group of individuals representative of those more highly exposed are located</w:t>
      </w:r>
      <w:r w:rsidR="000E05BE">
        <w:rPr>
          <w:lang w:val="en-GB"/>
        </w:rPr>
        <w:t xml:space="preserve"> </w:t>
      </w:r>
      <w:r w:rsidR="00367A51">
        <w:rPr>
          <w:lang w:val="en-GB"/>
        </w:rPr>
        <w:t>need</w:t>
      </w:r>
      <w:r w:rsidR="00933447">
        <w:rPr>
          <w:lang w:val="en-GB"/>
        </w:rPr>
        <w:t>s</w:t>
      </w:r>
      <w:r w:rsidR="00367A51">
        <w:rPr>
          <w:lang w:val="en-GB"/>
        </w:rPr>
        <w:t xml:space="preserve"> to </w:t>
      </w:r>
      <w:r w:rsidR="000E05BE">
        <w:rPr>
          <w:lang w:val="en-GB"/>
        </w:rPr>
        <w:t>take account of</w:t>
      </w:r>
      <w:r w:rsidRPr="00C9026A">
        <w:rPr>
          <w:lang w:val="en-GB"/>
        </w:rPr>
        <w:t xml:space="preserve"> the typical spatial distribution of </w:t>
      </w:r>
      <w:r w:rsidRPr="00C9026A">
        <w:rPr>
          <w:lang w:val="en-GB"/>
        </w:rPr>
        <w:lastRenderedPageBreak/>
        <w:t xml:space="preserve">radionuclides </w:t>
      </w:r>
      <w:r w:rsidR="006249B4">
        <w:rPr>
          <w:lang w:val="en-GB"/>
        </w:rPr>
        <w:t xml:space="preserve">released into </w:t>
      </w:r>
      <w:r w:rsidRPr="00C9026A">
        <w:rPr>
          <w:lang w:val="en-GB"/>
        </w:rPr>
        <w:t xml:space="preserve">the environment. In general, </w:t>
      </w:r>
      <w:r w:rsidR="00334161" w:rsidRPr="00C9026A">
        <w:rPr>
          <w:lang w:val="en-GB"/>
        </w:rPr>
        <w:t xml:space="preserve">facilities </w:t>
      </w:r>
      <w:r w:rsidR="00334161">
        <w:rPr>
          <w:lang w:val="en-GB"/>
        </w:rPr>
        <w:t xml:space="preserve">and </w:t>
      </w:r>
      <w:r w:rsidRPr="00C9026A">
        <w:rPr>
          <w:lang w:val="en-GB"/>
        </w:rPr>
        <w:t xml:space="preserve">activities can be considered as point sources and the highest activity concentrations in </w:t>
      </w:r>
      <w:r w:rsidR="00B46ABC">
        <w:rPr>
          <w:lang w:val="en-GB"/>
        </w:rPr>
        <w:t>environmental media resulting from discharges during normal operation</w:t>
      </w:r>
      <w:r w:rsidR="00B46ABC" w:rsidRPr="00C9026A">
        <w:rPr>
          <w:lang w:val="en-GB"/>
        </w:rPr>
        <w:t xml:space="preserve"> </w:t>
      </w:r>
      <w:r w:rsidRPr="00C9026A">
        <w:rPr>
          <w:lang w:val="en-GB"/>
        </w:rPr>
        <w:t xml:space="preserve">are normally found within the first </w:t>
      </w:r>
      <w:r w:rsidR="00B46ABC">
        <w:rPr>
          <w:lang w:val="en-GB"/>
        </w:rPr>
        <w:t xml:space="preserve">few </w:t>
      </w:r>
      <w:r w:rsidR="00F440A5" w:rsidRPr="00C9026A">
        <w:rPr>
          <w:lang w:val="en-GB"/>
        </w:rPr>
        <w:t>kilometres</w:t>
      </w:r>
      <w:r w:rsidRPr="00C9026A">
        <w:rPr>
          <w:lang w:val="en-GB"/>
        </w:rPr>
        <w:t xml:space="preserve"> from the source. </w:t>
      </w:r>
      <w:r w:rsidR="006249B4" w:rsidRPr="00C9026A">
        <w:rPr>
          <w:lang w:val="en-GB"/>
        </w:rPr>
        <w:t>This typical behaviour of materials released</w:t>
      </w:r>
      <w:r w:rsidR="006249B4">
        <w:rPr>
          <w:lang w:val="en-GB"/>
        </w:rPr>
        <w:t xml:space="preserve"> to the atmospheric and aquatic environments </w:t>
      </w:r>
      <w:r w:rsidR="006249B4" w:rsidRPr="00C9026A">
        <w:rPr>
          <w:lang w:val="en-GB"/>
        </w:rPr>
        <w:t>from a point source is illustrated in Fig</w:t>
      </w:r>
      <w:r w:rsidR="00367A51">
        <w:rPr>
          <w:lang w:val="en-GB"/>
        </w:rPr>
        <w:t>.</w:t>
      </w:r>
      <w:r w:rsidR="006249B4" w:rsidRPr="00C9026A">
        <w:rPr>
          <w:lang w:val="en-GB"/>
        </w:rPr>
        <w:t xml:space="preserve"> I-1. </w:t>
      </w:r>
      <w:r w:rsidRPr="00C9026A">
        <w:rPr>
          <w:lang w:val="en-GB"/>
        </w:rPr>
        <w:t xml:space="preserve">The </w:t>
      </w:r>
      <w:r w:rsidR="006249B4">
        <w:rPr>
          <w:lang w:val="en-GB"/>
        </w:rPr>
        <w:t xml:space="preserve">incremented </w:t>
      </w:r>
      <w:r w:rsidRPr="00C9026A">
        <w:rPr>
          <w:lang w:val="en-GB"/>
        </w:rPr>
        <w:t>activity concentration in the environment</w:t>
      </w:r>
      <w:r w:rsidR="006249B4">
        <w:rPr>
          <w:lang w:val="en-GB"/>
        </w:rPr>
        <w:t xml:space="preserve"> resulting from discharges, indicated with a curve in full in </w:t>
      </w:r>
      <w:r w:rsidR="009A7481" w:rsidRPr="009A7481">
        <w:rPr>
          <w:lang w:val="en-GB"/>
        </w:rPr>
        <w:t>Fig</w:t>
      </w:r>
      <w:r w:rsidR="00367A51">
        <w:rPr>
          <w:lang w:val="en-GB"/>
        </w:rPr>
        <w:t>.</w:t>
      </w:r>
      <w:r w:rsidR="009A7481" w:rsidRPr="009A7481">
        <w:rPr>
          <w:lang w:val="en-GB"/>
        </w:rPr>
        <w:t xml:space="preserve"> I-</w:t>
      </w:r>
      <w:proofErr w:type="gramStart"/>
      <w:r w:rsidR="009A7481" w:rsidRPr="009A7481">
        <w:rPr>
          <w:lang w:val="en-GB"/>
        </w:rPr>
        <w:t>1</w:t>
      </w:r>
      <w:r w:rsidR="006249B4">
        <w:rPr>
          <w:lang w:val="en-GB"/>
        </w:rPr>
        <w:t>,</w:t>
      </w:r>
      <w:proofErr w:type="gramEnd"/>
      <w:r w:rsidRPr="00C9026A">
        <w:rPr>
          <w:lang w:val="en-GB"/>
        </w:rPr>
        <w:t xml:space="preserve"> decrease</w:t>
      </w:r>
      <w:r w:rsidR="00612977">
        <w:rPr>
          <w:lang w:val="en-GB"/>
        </w:rPr>
        <w:t>s</w:t>
      </w:r>
      <w:r w:rsidRPr="00C9026A">
        <w:rPr>
          <w:lang w:val="en-GB"/>
        </w:rPr>
        <w:t xml:space="preserve"> significantly with the distance </w:t>
      </w:r>
      <w:r w:rsidR="009E12A9">
        <w:rPr>
          <w:lang w:val="en-GB"/>
        </w:rPr>
        <w:t>after</w:t>
      </w:r>
      <w:r w:rsidR="009E12A9" w:rsidRPr="00C9026A">
        <w:rPr>
          <w:lang w:val="en-GB"/>
        </w:rPr>
        <w:t xml:space="preserve"> </w:t>
      </w:r>
      <w:r w:rsidR="00B46ABC">
        <w:rPr>
          <w:lang w:val="en-GB"/>
        </w:rPr>
        <w:t xml:space="preserve">the location where </w:t>
      </w:r>
      <w:r w:rsidR="009E12A9">
        <w:rPr>
          <w:lang w:val="en-GB"/>
        </w:rPr>
        <w:t xml:space="preserve">the </w:t>
      </w:r>
      <w:r w:rsidRPr="00C9026A">
        <w:rPr>
          <w:lang w:val="en-GB"/>
        </w:rPr>
        <w:t>highest concentrations</w:t>
      </w:r>
      <w:r w:rsidR="00B46ABC">
        <w:rPr>
          <w:lang w:val="en-GB"/>
        </w:rPr>
        <w:t xml:space="preserve"> are measured</w:t>
      </w:r>
      <w:r w:rsidR="006249B4">
        <w:rPr>
          <w:lang w:val="en-GB"/>
        </w:rPr>
        <w:t xml:space="preserve">. After </w:t>
      </w:r>
      <w:r w:rsidR="00367A51">
        <w:rPr>
          <w:lang w:val="en-GB"/>
        </w:rPr>
        <w:t xml:space="preserve">a </w:t>
      </w:r>
      <w:r w:rsidR="006249B4">
        <w:rPr>
          <w:lang w:val="en-GB"/>
        </w:rPr>
        <w:t>certain distance only background activity concentration</w:t>
      </w:r>
      <w:r w:rsidR="00367A51">
        <w:rPr>
          <w:lang w:val="en-GB"/>
        </w:rPr>
        <w:t>s</w:t>
      </w:r>
      <w:r w:rsidR="006249B4">
        <w:rPr>
          <w:lang w:val="en-GB"/>
        </w:rPr>
        <w:t xml:space="preserve"> can be detected (e.g</w:t>
      </w:r>
      <w:r w:rsidR="00612977">
        <w:rPr>
          <w:lang w:val="en-GB"/>
        </w:rPr>
        <w:t>.</w:t>
      </w:r>
      <w:r w:rsidR="006249B4">
        <w:rPr>
          <w:lang w:val="en-GB"/>
        </w:rPr>
        <w:t xml:space="preserve"> </w:t>
      </w:r>
      <w:r w:rsidR="00367A51">
        <w:rPr>
          <w:lang w:val="en-GB"/>
        </w:rPr>
        <w:t xml:space="preserve">activity </w:t>
      </w:r>
      <w:r w:rsidR="009A7481">
        <w:rPr>
          <w:lang w:val="en-GB"/>
        </w:rPr>
        <w:t xml:space="preserve">due to </w:t>
      </w:r>
      <w:r w:rsidR="006249B4">
        <w:rPr>
          <w:lang w:val="en-GB"/>
        </w:rPr>
        <w:t xml:space="preserve">past </w:t>
      </w:r>
      <w:r w:rsidR="00612977">
        <w:rPr>
          <w:lang w:val="en-GB"/>
        </w:rPr>
        <w:t xml:space="preserve">global </w:t>
      </w:r>
      <w:r w:rsidR="006249B4">
        <w:rPr>
          <w:lang w:val="en-GB"/>
        </w:rPr>
        <w:t>fallout</w:t>
      </w:r>
      <w:r w:rsidR="009A7481">
        <w:rPr>
          <w:lang w:val="en-GB"/>
        </w:rPr>
        <w:t>,</w:t>
      </w:r>
      <w:r w:rsidR="006249B4">
        <w:rPr>
          <w:lang w:val="en-GB"/>
        </w:rPr>
        <w:t xml:space="preserve"> natural radioactivity)</w:t>
      </w:r>
      <w:r w:rsidRPr="00C9026A">
        <w:rPr>
          <w:lang w:val="en-GB"/>
        </w:rPr>
        <w:t xml:space="preserve">. </w:t>
      </w:r>
    </w:p>
    <w:p w:rsidR="005A5873" w:rsidRPr="00C9026A" w:rsidRDefault="00367A51" w:rsidP="00A57A35">
      <w:pPr>
        <w:pStyle w:val="AnnexHeading3"/>
      </w:pPr>
      <w:r>
        <w:rPr>
          <w:lang w:val="en-GB"/>
        </w:rPr>
        <w:t>Owing</w:t>
      </w:r>
      <w:r w:rsidRPr="00C9026A">
        <w:rPr>
          <w:lang w:val="en-GB"/>
        </w:rPr>
        <w:t xml:space="preserve"> </w:t>
      </w:r>
      <w:r w:rsidR="005A5873" w:rsidRPr="00C9026A">
        <w:rPr>
          <w:lang w:val="en-GB"/>
        </w:rPr>
        <w:t xml:space="preserve">to the annual distribution of wind directions and, </w:t>
      </w:r>
      <w:r w:rsidR="003E18B6">
        <w:rPr>
          <w:lang w:val="en-GB"/>
        </w:rPr>
        <w:t>for aquatic dispers</w:t>
      </w:r>
      <w:r w:rsidR="00577EF0">
        <w:rPr>
          <w:lang w:val="en-GB"/>
        </w:rPr>
        <w:t>i</w:t>
      </w:r>
      <w:r w:rsidR="003E18B6">
        <w:rPr>
          <w:lang w:val="en-GB"/>
        </w:rPr>
        <w:t>on</w:t>
      </w:r>
      <w:r w:rsidR="005A5873" w:rsidRPr="00C9026A">
        <w:rPr>
          <w:lang w:val="en-GB"/>
        </w:rPr>
        <w:t xml:space="preserve">, the directions of the water flows in rivers, lakes and oceans, it is reasonable to assume that the highest activity concentrations </w:t>
      </w:r>
      <w:r w:rsidR="003E18B6">
        <w:rPr>
          <w:lang w:val="en-GB"/>
        </w:rPr>
        <w:t>w</w:t>
      </w:r>
      <w:r w:rsidR="005A5873" w:rsidRPr="00C9026A">
        <w:rPr>
          <w:lang w:val="en-GB"/>
        </w:rPr>
        <w:t>ould be detected in any direction within a radius of up to 10 km. Therefore, a reference area of approximately 100–400 km</w:t>
      </w:r>
      <w:r w:rsidR="005A5873" w:rsidRPr="00C9026A">
        <w:rPr>
          <w:vertAlign w:val="superscript"/>
          <w:lang w:val="en-GB"/>
        </w:rPr>
        <w:t>2</w:t>
      </w:r>
      <w:r w:rsidR="005A5873" w:rsidRPr="00C9026A">
        <w:rPr>
          <w:lang w:val="en-GB"/>
        </w:rPr>
        <w:t xml:space="preserve"> located around the release point </w:t>
      </w:r>
      <w:r>
        <w:rPr>
          <w:lang w:val="en-GB"/>
        </w:rPr>
        <w:t>can be</w:t>
      </w:r>
      <w:r w:rsidR="00C10FE0">
        <w:rPr>
          <w:lang w:val="en-GB"/>
        </w:rPr>
        <w:t xml:space="preserve"> </w:t>
      </w:r>
      <w:r w:rsidR="00A262B4">
        <w:rPr>
          <w:lang w:val="en-GB"/>
        </w:rPr>
        <w:t xml:space="preserve">used </w:t>
      </w:r>
      <w:r w:rsidR="005A5873" w:rsidRPr="00C9026A">
        <w:rPr>
          <w:lang w:val="en-GB"/>
        </w:rPr>
        <w:t xml:space="preserve">for generic assessments as described in this </w:t>
      </w:r>
      <w:r w:rsidR="0061079A">
        <w:rPr>
          <w:lang w:val="en-GB"/>
        </w:rPr>
        <w:t>a</w:t>
      </w:r>
      <w:r w:rsidR="005A5873" w:rsidRPr="00C9026A">
        <w:rPr>
          <w:lang w:val="en-GB"/>
        </w:rPr>
        <w:t xml:space="preserve">nnex. The highest environmental activity concentrations due to </w:t>
      </w:r>
      <w:r w:rsidR="00A262B4">
        <w:rPr>
          <w:lang w:val="en-GB"/>
        </w:rPr>
        <w:t xml:space="preserve">discharges </w:t>
      </w:r>
      <w:r w:rsidR="003E18B6">
        <w:rPr>
          <w:lang w:val="en-GB"/>
        </w:rPr>
        <w:t xml:space="preserve">in </w:t>
      </w:r>
      <w:r w:rsidR="00A262B4">
        <w:rPr>
          <w:lang w:val="en-GB"/>
        </w:rPr>
        <w:t>normal operation</w:t>
      </w:r>
      <w:r w:rsidR="005A5873" w:rsidRPr="00C9026A">
        <w:rPr>
          <w:lang w:val="en-GB"/>
        </w:rPr>
        <w:t xml:space="preserve"> </w:t>
      </w:r>
      <w:r w:rsidR="003E18B6">
        <w:rPr>
          <w:lang w:val="en-GB"/>
        </w:rPr>
        <w:t>can then be assumed to be</w:t>
      </w:r>
      <w:r w:rsidR="003E18B6" w:rsidRPr="00C9026A">
        <w:rPr>
          <w:lang w:val="en-GB"/>
        </w:rPr>
        <w:t xml:space="preserve"> </w:t>
      </w:r>
      <w:r w:rsidR="005A5873" w:rsidRPr="00C9026A">
        <w:rPr>
          <w:lang w:val="en-GB"/>
        </w:rPr>
        <w:t xml:space="preserve">found within that area and, consequently, the reference animals and plants within that area would normally receive the highest </w:t>
      </w:r>
      <w:r w:rsidR="004A7EA5" w:rsidRPr="00C9026A">
        <w:rPr>
          <w:lang w:val="en-GB"/>
        </w:rPr>
        <w:t xml:space="preserve">assumed </w:t>
      </w:r>
      <w:r w:rsidR="005A5873" w:rsidRPr="00C9026A">
        <w:rPr>
          <w:lang w:val="en-GB"/>
        </w:rPr>
        <w:t xml:space="preserve">radiation doses. The size of this recommended </w:t>
      </w:r>
      <w:r w:rsidR="004A7EA5" w:rsidRPr="00C9026A">
        <w:rPr>
          <w:lang w:val="en-GB"/>
        </w:rPr>
        <w:t xml:space="preserve">reference </w:t>
      </w:r>
      <w:r w:rsidR="005A5873" w:rsidRPr="00C9026A">
        <w:rPr>
          <w:lang w:val="en-GB"/>
        </w:rPr>
        <w:t>area is indicative</w:t>
      </w:r>
      <w:r w:rsidR="00A262B4">
        <w:rPr>
          <w:lang w:val="en-GB"/>
        </w:rPr>
        <w:t xml:space="preserve">; different sizes </w:t>
      </w:r>
      <w:r w:rsidR="005A5873" w:rsidRPr="00C9026A">
        <w:rPr>
          <w:lang w:val="en-GB"/>
        </w:rPr>
        <w:t xml:space="preserve">can be </w:t>
      </w:r>
      <w:r w:rsidR="00A262B4">
        <w:rPr>
          <w:lang w:val="en-GB"/>
        </w:rPr>
        <w:t>adopted</w:t>
      </w:r>
      <w:r w:rsidR="005A5873" w:rsidRPr="00C9026A">
        <w:rPr>
          <w:lang w:val="en-GB"/>
        </w:rPr>
        <w:t xml:space="preserve"> for certain facilities </w:t>
      </w:r>
      <w:r w:rsidR="004A7EA5" w:rsidRPr="00C9026A">
        <w:rPr>
          <w:lang w:val="en-GB"/>
        </w:rPr>
        <w:t>or activities, different</w:t>
      </w:r>
      <w:r w:rsidR="005A5873" w:rsidRPr="00C9026A">
        <w:rPr>
          <w:lang w:val="en-GB"/>
        </w:rPr>
        <w:t xml:space="preserve"> locations and environmental situation</w:t>
      </w:r>
      <w:r w:rsidR="004A7EA5" w:rsidRPr="00C9026A">
        <w:rPr>
          <w:lang w:val="en-GB"/>
        </w:rPr>
        <w:t>s</w:t>
      </w:r>
      <w:r w:rsidR="00A262B4">
        <w:rPr>
          <w:lang w:val="en-GB"/>
        </w:rPr>
        <w:t xml:space="preserve"> to take account of local conditions</w:t>
      </w:r>
      <w:r w:rsidR="005A5873" w:rsidRPr="00C9026A">
        <w:rPr>
          <w:lang w:val="en-GB"/>
        </w:rPr>
        <w:t xml:space="preserve">. </w:t>
      </w:r>
    </w:p>
    <w:tbl>
      <w:tblPr>
        <w:tblW w:w="0" w:type="auto"/>
        <w:tblLayout w:type="fixed"/>
        <w:tblLook w:val="0000" w:firstRow="0" w:lastRow="0" w:firstColumn="0" w:lastColumn="0" w:noHBand="0" w:noVBand="0"/>
      </w:tblPr>
      <w:tblGrid>
        <w:gridCol w:w="9287"/>
      </w:tblGrid>
      <w:tr w:rsidR="005A5873" w:rsidRPr="00C9026A" w:rsidTr="005841BF">
        <w:trPr>
          <w:cantSplit/>
        </w:trPr>
        <w:tc>
          <w:tcPr>
            <w:tcW w:w="9287" w:type="dxa"/>
            <w:vAlign w:val="center"/>
          </w:tcPr>
          <w:p w:rsidR="005A5873" w:rsidRPr="00C9026A" w:rsidRDefault="00965D1B" w:rsidP="00A57A35">
            <w:pPr>
              <w:pStyle w:val="BodyText"/>
              <w:overflowPunct w:val="0"/>
              <w:autoSpaceDE w:val="0"/>
              <w:autoSpaceDN w:val="0"/>
              <w:adjustRightInd w:val="0"/>
              <w:spacing w:before="240"/>
              <w:jc w:val="center"/>
              <w:textAlignment w:val="baseline"/>
              <w:rPr>
                <w:lang w:val="en-GB"/>
              </w:rPr>
            </w:pPr>
            <w:r>
              <w:rPr>
                <w:noProof/>
                <w:lang w:val="en-GB" w:eastAsia="en-GB"/>
              </w:rPr>
              <w:drawing>
                <wp:inline distT="0" distB="0" distL="0" distR="0" wp14:anchorId="22D31B1A" wp14:editId="17C3764F">
                  <wp:extent cx="5669280" cy="2232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1352" cy="2233376"/>
                          </a:xfrm>
                          <a:prstGeom prst="rect">
                            <a:avLst/>
                          </a:prstGeom>
                          <a:noFill/>
                        </pic:spPr>
                      </pic:pic>
                    </a:graphicData>
                  </a:graphic>
                </wp:inline>
              </w:drawing>
            </w:r>
          </w:p>
          <w:p w:rsidR="005A5873" w:rsidRPr="00C9026A" w:rsidRDefault="005A5873" w:rsidP="00A20B0A">
            <w:pPr>
              <w:pStyle w:val="IAEAFigureCaption"/>
              <w:overflowPunct w:val="0"/>
              <w:autoSpaceDE w:val="0"/>
              <w:autoSpaceDN w:val="0"/>
              <w:adjustRightInd w:val="0"/>
              <w:jc w:val="left"/>
              <w:textAlignment w:val="baseline"/>
              <w:rPr>
                <w:lang w:val="en-GB"/>
              </w:rPr>
            </w:pPr>
            <w:r w:rsidRPr="00C9026A">
              <w:rPr>
                <w:lang w:val="en-GB"/>
              </w:rPr>
              <w:t xml:space="preserve">FIG. </w:t>
            </w:r>
            <w:r w:rsidRPr="00C9026A">
              <w:rPr>
                <w:lang w:val="en-GB"/>
              </w:rPr>
              <w:fldChar w:fldCharType="begin"/>
            </w:r>
            <w:r w:rsidRPr="00C9026A">
              <w:rPr>
                <w:lang w:val="en-GB"/>
              </w:rPr>
              <w:instrText xml:space="preserve"> STYLEREF "Annex Heading 1"\l \t \w  </w:instrText>
            </w:r>
            <w:r w:rsidRPr="00C9026A">
              <w:rPr>
                <w:lang w:val="en-GB"/>
              </w:rPr>
              <w:fldChar w:fldCharType="separate"/>
            </w:r>
            <w:r w:rsidR="005E3463">
              <w:rPr>
                <w:noProof/>
                <w:lang w:val="en-GB"/>
              </w:rPr>
              <w:t>I</w:t>
            </w:r>
            <w:r w:rsidRPr="00C9026A">
              <w:rPr>
                <w:lang w:val="en-GB"/>
              </w:rPr>
              <w:fldChar w:fldCharType="end"/>
            </w:r>
            <w:r w:rsidRPr="00C9026A">
              <w:rPr>
                <w:lang w:val="en-GB"/>
              </w:rPr>
              <w:t>-</w:t>
            </w:r>
            <w:r w:rsidRPr="00C9026A">
              <w:rPr>
                <w:lang w:val="en-GB"/>
              </w:rPr>
              <w:fldChar w:fldCharType="begin"/>
            </w:r>
            <w:r w:rsidRPr="00C9026A">
              <w:rPr>
                <w:lang w:val="en-GB"/>
              </w:rPr>
              <w:instrText xml:space="preserve"> SEQ AnnexIFigureHeading\n  \* MERGEFORMAT </w:instrText>
            </w:r>
            <w:r w:rsidRPr="00C9026A">
              <w:rPr>
                <w:lang w:val="en-GB"/>
              </w:rPr>
              <w:fldChar w:fldCharType="separate"/>
            </w:r>
            <w:r w:rsidR="005E3463">
              <w:rPr>
                <w:noProof/>
                <w:lang w:val="en-GB"/>
              </w:rPr>
              <w:t>1</w:t>
            </w:r>
            <w:r w:rsidRPr="00C9026A">
              <w:rPr>
                <w:lang w:val="en-GB"/>
              </w:rPr>
              <w:fldChar w:fldCharType="end"/>
            </w:r>
            <w:r w:rsidRPr="00C9026A">
              <w:rPr>
                <w:lang w:val="en-GB"/>
              </w:rPr>
              <w:t xml:space="preserve">. Typical patterns of environmental </w:t>
            </w:r>
            <w:r w:rsidR="003E18B6">
              <w:rPr>
                <w:lang w:val="en-GB"/>
              </w:rPr>
              <w:t xml:space="preserve">activity </w:t>
            </w:r>
            <w:r w:rsidRPr="00C9026A">
              <w:rPr>
                <w:lang w:val="en-GB"/>
              </w:rPr>
              <w:t xml:space="preserve">concentrations as a result of atmospheric and aquatic dispersion </w:t>
            </w:r>
            <w:r w:rsidR="00A20B0A">
              <w:rPr>
                <w:lang w:val="en-GB"/>
              </w:rPr>
              <w:t>of discharges</w:t>
            </w:r>
            <w:r w:rsidRPr="00C9026A">
              <w:rPr>
                <w:lang w:val="en-GB"/>
              </w:rPr>
              <w:t xml:space="preserve"> from </w:t>
            </w:r>
            <w:r w:rsidR="00334161" w:rsidRPr="00C9026A">
              <w:rPr>
                <w:lang w:val="en-GB"/>
              </w:rPr>
              <w:t>facilities</w:t>
            </w:r>
            <w:r w:rsidR="00334161">
              <w:rPr>
                <w:lang w:val="en-GB"/>
              </w:rPr>
              <w:t xml:space="preserve"> and</w:t>
            </w:r>
            <w:r w:rsidR="00334161" w:rsidRPr="00C9026A">
              <w:rPr>
                <w:lang w:val="en-GB"/>
              </w:rPr>
              <w:t xml:space="preserve"> </w:t>
            </w:r>
            <w:r w:rsidRPr="00C9026A">
              <w:rPr>
                <w:lang w:val="en-GB"/>
              </w:rPr>
              <w:t>activities</w:t>
            </w:r>
            <w:r w:rsidR="003E18B6">
              <w:rPr>
                <w:lang w:val="en-GB"/>
              </w:rPr>
              <w:t xml:space="preserve"> in normal operation</w:t>
            </w:r>
            <w:r w:rsidRPr="00C9026A">
              <w:rPr>
                <w:lang w:val="en-GB"/>
              </w:rPr>
              <w:t>.</w:t>
            </w:r>
          </w:p>
        </w:tc>
      </w:tr>
    </w:tbl>
    <w:p w:rsidR="005A5873" w:rsidRPr="00C9026A" w:rsidRDefault="00BE5F10" w:rsidP="00A57A35">
      <w:pPr>
        <w:pStyle w:val="AnnexHeading3"/>
        <w:rPr>
          <w:lang w:val="en-GB"/>
        </w:rPr>
      </w:pPr>
      <w:r>
        <w:rPr>
          <w:lang w:val="en-GB"/>
        </w:rPr>
        <w:t>The</w:t>
      </w:r>
      <w:r w:rsidR="006D0CA0">
        <w:rPr>
          <w:lang w:val="en-GB"/>
        </w:rPr>
        <w:t xml:space="preserve"> reference</w:t>
      </w:r>
      <w:r w:rsidR="005A5873" w:rsidRPr="00C9026A">
        <w:rPr>
          <w:lang w:val="en-GB"/>
        </w:rPr>
        <w:t xml:space="preserve"> area</w:t>
      </w:r>
      <w:r w:rsidR="00612977">
        <w:rPr>
          <w:lang w:val="en-GB"/>
        </w:rPr>
        <w:t xml:space="preserve"> </w:t>
      </w:r>
      <w:r w:rsidR="005A5873" w:rsidRPr="00C9026A">
        <w:rPr>
          <w:lang w:val="en-GB"/>
        </w:rPr>
        <w:t xml:space="preserve">around the source </w:t>
      </w:r>
      <w:r w:rsidR="00944825">
        <w:rPr>
          <w:lang w:val="en-GB"/>
        </w:rPr>
        <w:t xml:space="preserve">as </w:t>
      </w:r>
      <w:r w:rsidR="00F469C7">
        <w:rPr>
          <w:lang w:val="en-GB"/>
        </w:rPr>
        <w:t xml:space="preserve">described </w:t>
      </w:r>
      <w:r w:rsidR="006D0CA0" w:rsidRPr="00F7161F">
        <w:rPr>
          <w:lang w:val="en-GB"/>
        </w:rPr>
        <w:t>in para. I-1</w:t>
      </w:r>
      <w:r w:rsidR="00612977" w:rsidRPr="00F7161F">
        <w:rPr>
          <w:lang w:val="en-GB"/>
        </w:rPr>
        <w:t>7</w:t>
      </w:r>
      <w:r w:rsidR="006D0CA0" w:rsidRPr="00F7161F">
        <w:rPr>
          <w:lang w:val="en-GB"/>
        </w:rPr>
        <w:t xml:space="preserve"> </w:t>
      </w:r>
      <w:r w:rsidR="00495A7B" w:rsidRPr="00F7161F">
        <w:rPr>
          <w:lang w:val="en-GB"/>
        </w:rPr>
        <w:t>is</w:t>
      </w:r>
      <w:r w:rsidR="005A5873" w:rsidRPr="00F7161F">
        <w:rPr>
          <w:lang w:val="en-GB"/>
        </w:rPr>
        <w:t xml:space="preserve"> sufficiently</w:t>
      </w:r>
      <w:r w:rsidR="005A5873" w:rsidRPr="00C9026A">
        <w:rPr>
          <w:lang w:val="en-GB"/>
        </w:rPr>
        <w:t xml:space="preserve"> large to ensure that mixing of the effluents with the environmental media occurs and that the number of individuals</w:t>
      </w:r>
      <w:r w:rsidR="00495A7B">
        <w:rPr>
          <w:lang w:val="en-GB"/>
        </w:rPr>
        <w:t xml:space="preserve"> of the species</w:t>
      </w:r>
      <w:r w:rsidR="005A5873" w:rsidRPr="00C9026A">
        <w:rPr>
          <w:lang w:val="en-GB"/>
        </w:rPr>
        <w:t xml:space="preserve"> considered </w:t>
      </w:r>
      <w:r w:rsidR="00A262B4">
        <w:rPr>
          <w:lang w:val="en-GB"/>
        </w:rPr>
        <w:t>in</w:t>
      </w:r>
      <w:r w:rsidR="005A5873" w:rsidRPr="00C9026A">
        <w:rPr>
          <w:lang w:val="en-GB"/>
        </w:rPr>
        <w:t xml:space="preserve"> the assessment is suitably large. This ensures that the estimated dose rates </w:t>
      </w:r>
      <w:r w:rsidR="00A262B4">
        <w:rPr>
          <w:lang w:val="en-GB"/>
        </w:rPr>
        <w:t>calculated</w:t>
      </w:r>
      <w:r w:rsidR="00F440A5" w:rsidRPr="00C9026A">
        <w:rPr>
          <w:lang w:val="en-GB"/>
        </w:rPr>
        <w:t xml:space="preserve"> in the assessments </w:t>
      </w:r>
      <w:r w:rsidR="005A5873" w:rsidRPr="00C9026A">
        <w:rPr>
          <w:lang w:val="en-GB"/>
        </w:rPr>
        <w:t>are representative of th</w:t>
      </w:r>
      <w:r w:rsidR="00A262B4">
        <w:rPr>
          <w:lang w:val="en-GB"/>
        </w:rPr>
        <w:t>e</w:t>
      </w:r>
      <w:r w:rsidR="005A5873" w:rsidRPr="00C9026A">
        <w:rPr>
          <w:lang w:val="en-GB"/>
        </w:rPr>
        <w:t xml:space="preserve"> dose rate</w:t>
      </w:r>
      <w:r w:rsidR="00272E6D" w:rsidRPr="00C9026A">
        <w:rPr>
          <w:lang w:val="en-GB"/>
        </w:rPr>
        <w:t>s</w:t>
      </w:r>
      <w:r w:rsidR="005A5873" w:rsidRPr="00C9026A">
        <w:rPr>
          <w:lang w:val="en-GB"/>
        </w:rPr>
        <w:t xml:space="preserve"> being received by the fraction of the population more highly exposed</w:t>
      </w:r>
      <w:r w:rsidR="00A262B4">
        <w:rPr>
          <w:lang w:val="en-GB"/>
        </w:rPr>
        <w:t xml:space="preserve">, rather than those received by the most exposed </w:t>
      </w:r>
      <w:r w:rsidR="006D0CA0">
        <w:rPr>
          <w:lang w:val="en-GB"/>
        </w:rPr>
        <w:t xml:space="preserve">individual </w:t>
      </w:r>
      <w:r w:rsidR="00A262B4">
        <w:rPr>
          <w:lang w:val="en-GB"/>
        </w:rPr>
        <w:t>organism in the population</w:t>
      </w:r>
      <w:r w:rsidR="005A5873" w:rsidRPr="00C9026A">
        <w:rPr>
          <w:lang w:val="en-GB"/>
        </w:rPr>
        <w:t>.</w:t>
      </w:r>
    </w:p>
    <w:p w:rsidR="00EF0C24" w:rsidRPr="00C9026A" w:rsidRDefault="00EF0C24" w:rsidP="00A57A35">
      <w:pPr>
        <w:pStyle w:val="AnnexHeading2"/>
      </w:pPr>
      <w:r w:rsidRPr="00C9026A">
        <w:lastRenderedPageBreak/>
        <w:t xml:space="preserve">Assessment for protection of flora and fauna </w:t>
      </w:r>
      <w:r w:rsidR="009E12A9">
        <w:t>in</w:t>
      </w:r>
      <w:r w:rsidR="009E12A9" w:rsidRPr="00C9026A">
        <w:t xml:space="preserve"> </w:t>
      </w:r>
      <w:r w:rsidRPr="00C9026A">
        <w:t>normal operation</w:t>
      </w:r>
    </w:p>
    <w:p w:rsidR="004E26EC" w:rsidRPr="00C9026A" w:rsidRDefault="00DF542E" w:rsidP="00A57A35">
      <w:pPr>
        <w:pStyle w:val="AnnexHeading4"/>
        <w:rPr>
          <w:rFonts w:eastAsia="TimesNewRoman"/>
        </w:rPr>
      </w:pPr>
      <w:r>
        <w:rPr>
          <w:rFonts w:eastAsia="TimesNewRoman"/>
        </w:rPr>
        <w:t>Approach to</w:t>
      </w:r>
      <w:r w:rsidR="008C715E">
        <w:rPr>
          <w:rFonts w:eastAsia="TimesNewRoman"/>
        </w:rPr>
        <w:t xml:space="preserve"> </w:t>
      </w:r>
      <w:r w:rsidR="004E26EC" w:rsidRPr="00C9026A">
        <w:rPr>
          <w:rFonts w:eastAsia="TimesNewRoman"/>
        </w:rPr>
        <w:t>the assessment</w:t>
      </w:r>
    </w:p>
    <w:p w:rsidR="004E26EC" w:rsidRPr="00C9026A" w:rsidRDefault="004E26EC" w:rsidP="00A57A35">
      <w:pPr>
        <w:pStyle w:val="AnnexHeading3"/>
      </w:pPr>
      <w:r w:rsidRPr="00C9026A">
        <w:t xml:space="preserve">Figure </w:t>
      </w:r>
      <w:r w:rsidR="00E979B7" w:rsidRPr="00C9026A">
        <w:t>I-2</w:t>
      </w:r>
      <w:r w:rsidRPr="00C9026A">
        <w:t xml:space="preserve"> </w:t>
      </w:r>
      <w:r w:rsidR="003E18B6">
        <w:t>summarizes</w:t>
      </w:r>
      <w:r w:rsidR="00D648C5" w:rsidRPr="00C9026A">
        <w:t xml:space="preserve"> </w:t>
      </w:r>
      <w:r w:rsidRPr="00C9026A">
        <w:t xml:space="preserve">the components of </w:t>
      </w:r>
      <w:r w:rsidR="003875A3">
        <w:t>a</w:t>
      </w:r>
      <w:r w:rsidR="003875A3" w:rsidRPr="00C9026A">
        <w:t xml:space="preserve"> </w:t>
      </w:r>
      <w:r w:rsidR="0079392C">
        <w:t xml:space="preserve">generic </w:t>
      </w:r>
      <w:r w:rsidR="003875A3" w:rsidRPr="00C9026A">
        <w:t xml:space="preserve">radiological environmental impact assessment for protection of flora and fauna </w:t>
      </w:r>
      <w:r w:rsidR="002C2551">
        <w:t>in</w:t>
      </w:r>
      <w:r w:rsidR="002C2551" w:rsidRPr="00C9026A">
        <w:t xml:space="preserve"> </w:t>
      </w:r>
      <w:r w:rsidR="003875A3" w:rsidRPr="00C9026A">
        <w:t>normal operation</w:t>
      </w:r>
      <w:r w:rsidR="008C715E">
        <w:rPr>
          <w:rStyle w:val="FootnoteReference"/>
        </w:rPr>
        <w:footnoteReference w:id="38"/>
      </w:r>
      <w:r w:rsidRPr="00C9026A">
        <w:t xml:space="preserve">. </w:t>
      </w:r>
      <w:r w:rsidR="0028472A" w:rsidRPr="00C9026A">
        <w:t>Firs</w:t>
      </w:r>
      <w:r w:rsidR="008B3C0F" w:rsidRPr="00C9026A">
        <w:t>t</w:t>
      </w:r>
      <w:r w:rsidR="0028472A" w:rsidRPr="00C9026A">
        <w:t xml:space="preserve">, </w:t>
      </w:r>
      <w:r w:rsidRPr="00C9026A">
        <w:t xml:space="preserve">using the </w:t>
      </w:r>
      <w:r w:rsidR="00EF0C24" w:rsidRPr="00C9026A">
        <w:t xml:space="preserve">estimated </w:t>
      </w:r>
      <w:r w:rsidRPr="00C9026A">
        <w:t xml:space="preserve">source term </w:t>
      </w:r>
      <w:r w:rsidR="0028472A" w:rsidRPr="00C9026A">
        <w:t>for normal operation</w:t>
      </w:r>
      <w:r w:rsidR="00D648C5" w:rsidRPr="00C9026A">
        <w:t xml:space="preserve"> </w:t>
      </w:r>
      <w:r w:rsidR="001559EA" w:rsidRPr="00C9026A">
        <w:t xml:space="preserve">and environmental dispersion </w:t>
      </w:r>
      <w:r w:rsidR="00EF0C24" w:rsidRPr="00C9026A">
        <w:t xml:space="preserve">and </w:t>
      </w:r>
      <w:r w:rsidR="001559EA" w:rsidRPr="00C9026A">
        <w:t>transfer models</w:t>
      </w:r>
      <w:r w:rsidRPr="00C9026A">
        <w:t xml:space="preserve">, activity concentrations in a number of environmental media </w:t>
      </w:r>
      <w:r w:rsidR="008B3C0F" w:rsidRPr="00C9026A">
        <w:t xml:space="preserve">relevant for flora and fauna </w:t>
      </w:r>
      <w:r w:rsidR="003E18B6">
        <w:t>are</w:t>
      </w:r>
      <w:r w:rsidRPr="00C9026A">
        <w:t xml:space="preserve"> estimated</w:t>
      </w:r>
      <w:r w:rsidR="0028472A" w:rsidRPr="00C9026A">
        <w:t>;</w:t>
      </w:r>
      <w:r w:rsidRPr="00C9026A">
        <w:t xml:space="preserve"> then</w:t>
      </w:r>
      <w:r w:rsidR="001559EA" w:rsidRPr="00C9026A">
        <w:t>,</w:t>
      </w:r>
      <w:r w:rsidRPr="00C9026A">
        <w:t xml:space="preserve"> combin</w:t>
      </w:r>
      <w:r w:rsidR="008B3C0F" w:rsidRPr="00C9026A">
        <w:t>ing</w:t>
      </w:r>
      <w:r w:rsidRPr="00C9026A">
        <w:t xml:space="preserve"> </w:t>
      </w:r>
      <w:r w:rsidR="00154816" w:rsidRPr="00C9026A">
        <w:t xml:space="preserve">activity concentrations </w:t>
      </w:r>
      <w:r w:rsidRPr="00C9026A">
        <w:t xml:space="preserve">with </w:t>
      </w:r>
      <w:proofErr w:type="spellStart"/>
      <w:r w:rsidRPr="00C9026A">
        <w:t>dosimetric</w:t>
      </w:r>
      <w:proofErr w:type="spellEnd"/>
      <w:r w:rsidRPr="00C9026A">
        <w:t xml:space="preserve"> data as well as information on the times spent in different habitats (e.g. on or above soil, in the water or in aquatic sediments)</w:t>
      </w:r>
      <w:r w:rsidR="001559EA" w:rsidRPr="00C9026A">
        <w:t>,</w:t>
      </w:r>
      <w:r w:rsidRPr="00C9026A">
        <w:t xml:space="preserve"> dose rates from internal and external exposures </w:t>
      </w:r>
      <w:r w:rsidR="00DF542E">
        <w:t>of</w:t>
      </w:r>
      <w:r w:rsidR="00DF542E" w:rsidRPr="00C9026A">
        <w:t xml:space="preserve"> </w:t>
      </w:r>
      <w:r w:rsidR="00D648C5" w:rsidRPr="00C9026A">
        <w:t xml:space="preserve">reference animals and plants </w:t>
      </w:r>
      <w:r w:rsidRPr="00C9026A">
        <w:t>relevant for the ecosystems under consideration</w:t>
      </w:r>
      <w:r w:rsidR="0028472A" w:rsidRPr="00C9026A">
        <w:t xml:space="preserve"> </w:t>
      </w:r>
      <w:r w:rsidR="003E18B6">
        <w:t>are</w:t>
      </w:r>
      <w:r w:rsidR="0028472A" w:rsidRPr="00C9026A">
        <w:t xml:space="preserve"> estimated</w:t>
      </w:r>
      <w:r w:rsidRPr="00C9026A">
        <w:t>.</w:t>
      </w:r>
      <w:r w:rsidR="0028472A" w:rsidRPr="00C9026A">
        <w:t xml:space="preserve"> Finally</w:t>
      </w:r>
      <w:r w:rsidR="008B3C0F" w:rsidRPr="00C9026A">
        <w:t xml:space="preserve"> the resulting dose rates </w:t>
      </w:r>
      <w:r w:rsidR="003E18B6">
        <w:t>are</w:t>
      </w:r>
      <w:r w:rsidR="008B3C0F" w:rsidRPr="00C9026A">
        <w:t xml:space="preserve"> compared to </w:t>
      </w:r>
      <w:r w:rsidR="00E21685" w:rsidRPr="00C9026A">
        <w:t>the derived consideration reference levels</w:t>
      </w:r>
      <w:r w:rsidR="008B3C0F" w:rsidRPr="00C9026A">
        <w:t>.</w:t>
      </w:r>
    </w:p>
    <w:tbl>
      <w:tblPr>
        <w:tblW w:w="0" w:type="auto"/>
        <w:tblLayout w:type="fixed"/>
        <w:tblLook w:val="0000" w:firstRow="0" w:lastRow="0" w:firstColumn="0" w:lastColumn="0" w:noHBand="0" w:noVBand="0"/>
      </w:tblPr>
      <w:tblGrid>
        <w:gridCol w:w="9287"/>
      </w:tblGrid>
      <w:tr w:rsidR="00074190" w:rsidRPr="00C9026A" w:rsidTr="005953E0">
        <w:trPr>
          <w:cantSplit/>
        </w:trPr>
        <w:tc>
          <w:tcPr>
            <w:tcW w:w="9287" w:type="dxa"/>
            <w:vAlign w:val="center"/>
          </w:tcPr>
          <w:p w:rsidR="00074190" w:rsidRPr="00C9026A" w:rsidRDefault="00FA717B" w:rsidP="00A57A35">
            <w:pPr>
              <w:pStyle w:val="BodyText"/>
              <w:overflowPunct w:val="0"/>
              <w:autoSpaceDE w:val="0"/>
              <w:autoSpaceDN w:val="0"/>
              <w:adjustRightInd w:val="0"/>
              <w:spacing w:before="240"/>
              <w:jc w:val="center"/>
              <w:textAlignment w:val="baseline"/>
              <w:rPr>
                <w:lang w:val="en-GB"/>
              </w:rPr>
            </w:pPr>
            <w:r>
              <w:rPr>
                <w:noProof/>
                <w:lang w:val="en-GB" w:eastAsia="en-GB"/>
              </w:rPr>
              <w:drawing>
                <wp:inline distT="0" distB="0" distL="0" distR="0" wp14:anchorId="014F761A" wp14:editId="60727007">
                  <wp:extent cx="2283819" cy="3847541"/>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7818" cy="3854278"/>
                          </a:xfrm>
                          <a:prstGeom prst="rect">
                            <a:avLst/>
                          </a:prstGeom>
                          <a:noFill/>
                          <a:ln>
                            <a:noFill/>
                          </a:ln>
                        </pic:spPr>
                      </pic:pic>
                    </a:graphicData>
                  </a:graphic>
                </wp:inline>
              </w:drawing>
            </w:r>
          </w:p>
          <w:p w:rsidR="00074190" w:rsidRPr="00C9026A" w:rsidRDefault="00E979B7" w:rsidP="002C2551">
            <w:pPr>
              <w:pStyle w:val="IAEAFigureCaption"/>
              <w:overflowPunct w:val="0"/>
              <w:autoSpaceDE w:val="0"/>
              <w:autoSpaceDN w:val="0"/>
              <w:adjustRightInd w:val="0"/>
              <w:jc w:val="left"/>
              <w:textAlignment w:val="baseline"/>
              <w:rPr>
                <w:lang w:val="en-GB"/>
              </w:rPr>
            </w:pPr>
            <w:r w:rsidRPr="00C9026A">
              <w:rPr>
                <w:lang w:val="en-GB"/>
              </w:rPr>
              <w:t xml:space="preserve">FIG. </w:t>
            </w:r>
            <w:r w:rsidRPr="00C9026A">
              <w:rPr>
                <w:lang w:val="en-GB"/>
              </w:rPr>
              <w:fldChar w:fldCharType="begin"/>
            </w:r>
            <w:r w:rsidRPr="00C9026A">
              <w:rPr>
                <w:lang w:val="en-GB"/>
              </w:rPr>
              <w:instrText xml:space="preserve"> STYLEREF "Annex Heading 1"\l \t \w  </w:instrText>
            </w:r>
            <w:r w:rsidRPr="00C9026A">
              <w:rPr>
                <w:lang w:val="en-GB"/>
              </w:rPr>
              <w:fldChar w:fldCharType="separate"/>
            </w:r>
            <w:r w:rsidR="005E3463">
              <w:rPr>
                <w:noProof/>
                <w:lang w:val="en-GB"/>
              </w:rPr>
              <w:t>I</w:t>
            </w:r>
            <w:r w:rsidRPr="00C9026A">
              <w:rPr>
                <w:lang w:val="en-GB"/>
              </w:rPr>
              <w:fldChar w:fldCharType="end"/>
            </w:r>
            <w:r w:rsidRPr="00C9026A">
              <w:rPr>
                <w:lang w:val="en-GB"/>
              </w:rPr>
              <w:t>-</w:t>
            </w:r>
            <w:r w:rsidRPr="00C9026A">
              <w:rPr>
                <w:lang w:val="en-GB"/>
              </w:rPr>
              <w:fldChar w:fldCharType="begin"/>
            </w:r>
            <w:r w:rsidRPr="00C9026A">
              <w:rPr>
                <w:lang w:val="en-GB"/>
              </w:rPr>
              <w:instrText xml:space="preserve"> SEQ AnnexIFigureHeading\n  \* MERGEFORMAT </w:instrText>
            </w:r>
            <w:r w:rsidRPr="00C9026A">
              <w:rPr>
                <w:lang w:val="en-GB"/>
              </w:rPr>
              <w:fldChar w:fldCharType="separate"/>
            </w:r>
            <w:r w:rsidR="005E3463">
              <w:rPr>
                <w:noProof/>
                <w:lang w:val="en-GB"/>
              </w:rPr>
              <w:t>2</w:t>
            </w:r>
            <w:r w:rsidRPr="00C9026A">
              <w:rPr>
                <w:lang w:val="en-GB"/>
              </w:rPr>
              <w:fldChar w:fldCharType="end"/>
            </w:r>
            <w:r w:rsidRPr="00C9026A">
              <w:rPr>
                <w:lang w:val="en-GB"/>
              </w:rPr>
              <w:t xml:space="preserve">. </w:t>
            </w:r>
            <w:r w:rsidR="00074190" w:rsidRPr="00C9026A">
              <w:rPr>
                <w:lang w:val="en-GB"/>
              </w:rPr>
              <w:t>Components of a</w:t>
            </w:r>
            <w:r w:rsidR="0079392C">
              <w:rPr>
                <w:lang w:val="en-GB"/>
              </w:rPr>
              <w:t xml:space="preserve"> generic</w:t>
            </w:r>
            <w:r w:rsidR="00074190" w:rsidRPr="00C9026A">
              <w:rPr>
                <w:lang w:val="en-GB"/>
              </w:rPr>
              <w:t xml:space="preserve"> assessment for protection of flora and fauna </w:t>
            </w:r>
            <w:r w:rsidR="002C2551">
              <w:rPr>
                <w:lang w:val="en-GB"/>
              </w:rPr>
              <w:t>in</w:t>
            </w:r>
            <w:r w:rsidR="002C2551" w:rsidRPr="00C9026A">
              <w:rPr>
                <w:lang w:val="en-GB"/>
              </w:rPr>
              <w:t xml:space="preserve"> </w:t>
            </w:r>
            <w:r w:rsidR="00074190" w:rsidRPr="00C9026A">
              <w:rPr>
                <w:lang w:val="en-GB"/>
              </w:rPr>
              <w:t>normal operation</w:t>
            </w:r>
            <w:r w:rsidR="002634D0" w:rsidRPr="00C9026A">
              <w:rPr>
                <w:lang w:val="en-GB"/>
              </w:rPr>
              <w:t>.</w:t>
            </w:r>
          </w:p>
        </w:tc>
      </w:tr>
    </w:tbl>
    <w:p w:rsidR="002634D0" w:rsidRPr="00C9026A" w:rsidRDefault="002634D0" w:rsidP="00A57A35">
      <w:pPr>
        <w:pStyle w:val="BodyText"/>
      </w:pPr>
    </w:p>
    <w:p w:rsidR="00E44B82" w:rsidRPr="00C9026A" w:rsidRDefault="00781CA2" w:rsidP="00A57A35">
      <w:pPr>
        <w:pStyle w:val="AnnexHeading4"/>
      </w:pPr>
      <w:r>
        <w:t xml:space="preserve">Selection of the </w:t>
      </w:r>
      <w:r w:rsidR="00A4244F">
        <w:t>s</w:t>
      </w:r>
      <w:r w:rsidR="00E44B82" w:rsidRPr="00C9026A">
        <w:t xml:space="preserve">ource term and </w:t>
      </w:r>
      <w:r w:rsidR="00A4244F">
        <w:t xml:space="preserve">modelling of </w:t>
      </w:r>
      <w:r w:rsidR="00E44B82" w:rsidRPr="00C9026A">
        <w:t>dispersion and environmental transfer</w:t>
      </w:r>
    </w:p>
    <w:p w:rsidR="004E26EC" w:rsidRPr="00C9026A" w:rsidRDefault="004E26EC" w:rsidP="00A57A35">
      <w:pPr>
        <w:pStyle w:val="AnnexHeading3"/>
      </w:pPr>
      <w:r w:rsidRPr="00C9026A">
        <w:t xml:space="preserve">The characteristics of the source term and the models to simulate the dispersion and </w:t>
      </w:r>
      <w:r w:rsidRPr="00C9026A">
        <w:lastRenderedPageBreak/>
        <w:t>environmental transfer</w:t>
      </w:r>
      <w:r w:rsidR="003E18B6">
        <w:t xml:space="preserve"> of radionuclides applicable</w:t>
      </w:r>
      <w:r w:rsidRPr="00C9026A">
        <w:t xml:space="preserve"> for flora and fauna (the first </w:t>
      </w:r>
      <w:r w:rsidR="00392AD8">
        <w:t>two</w:t>
      </w:r>
      <w:r w:rsidRPr="00C9026A">
        <w:t xml:space="preserve"> boxes in </w:t>
      </w:r>
      <w:r w:rsidR="003E18B6">
        <w:t>Fig.</w:t>
      </w:r>
      <w:r w:rsidR="003E18B6" w:rsidRPr="00C9026A">
        <w:t xml:space="preserve"> </w:t>
      </w:r>
      <w:r w:rsidR="00A63189" w:rsidRPr="00C9026A">
        <w:t>I-2</w:t>
      </w:r>
      <w:r w:rsidRPr="00C9026A">
        <w:t xml:space="preserve">) </w:t>
      </w:r>
      <w:r w:rsidR="003E18B6">
        <w:t>w</w:t>
      </w:r>
      <w:r w:rsidR="00E44B82" w:rsidRPr="00C9026A">
        <w:t>ould be</w:t>
      </w:r>
      <w:r w:rsidRPr="00C9026A">
        <w:t xml:space="preserve"> </w:t>
      </w:r>
      <w:r w:rsidR="00EF0C24" w:rsidRPr="00C9026A">
        <w:t xml:space="preserve">similar </w:t>
      </w:r>
      <w:r w:rsidR="003E18B6">
        <w:t xml:space="preserve">to </w:t>
      </w:r>
      <w:r w:rsidR="00EF0C24" w:rsidRPr="00C9026A">
        <w:t xml:space="preserve">or </w:t>
      </w:r>
      <w:r w:rsidRPr="00C9026A">
        <w:t xml:space="preserve">the same </w:t>
      </w:r>
      <w:r w:rsidR="003E18B6">
        <w:t>as</w:t>
      </w:r>
      <w:r w:rsidR="003E18B6" w:rsidRPr="00C9026A">
        <w:t xml:space="preserve"> </w:t>
      </w:r>
      <w:r w:rsidRPr="00C9026A">
        <w:t xml:space="preserve">those </w:t>
      </w:r>
      <w:r w:rsidR="008B3C0F" w:rsidRPr="00C9026A">
        <w:t>described</w:t>
      </w:r>
      <w:r w:rsidRPr="00C9026A">
        <w:t xml:space="preserve"> in the assessment of exposures </w:t>
      </w:r>
      <w:r w:rsidR="003E18B6">
        <w:t>of</w:t>
      </w:r>
      <w:r w:rsidR="003E18B6" w:rsidRPr="00C9026A">
        <w:t xml:space="preserve"> </w:t>
      </w:r>
      <w:r w:rsidRPr="00C9026A">
        <w:t xml:space="preserve">humans </w:t>
      </w:r>
      <w:r w:rsidR="008B3C0F" w:rsidRPr="00C9026A">
        <w:t xml:space="preserve">for normal operation </w:t>
      </w:r>
      <w:r w:rsidRPr="00C9026A">
        <w:t xml:space="preserve">in Section 5 in this Safety Guide, </w:t>
      </w:r>
      <w:r w:rsidR="00DF542E">
        <w:t>ensuring</w:t>
      </w:r>
      <w:r w:rsidR="003E18B6" w:rsidRPr="00C9026A">
        <w:t xml:space="preserve"> </w:t>
      </w:r>
      <w:r w:rsidRPr="00C9026A">
        <w:t xml:space="preserve">that the environmental media considered are relevant </w:t>
      </w:r>
      <w:r w:rsidR="002C2551">
        <w:t>for</w:t>
      </w:r>
      <w:r w:rsidR="002C2551" w:rsidRPr="00C9026A">
        <w:t xml:space="preserve"> </w:t>
      </w:r>
      <w:r w:rsidRPr="00C9026A">
        <w:t>estimat</w:t>
      </w:r>
      <w:r w:rsidR="002C2551">
        <w:t>ing</w:t>
      </w:r>
      <w:r w:rsidRPr="00C9026A">
        <w:t xml:space="preserve"> exposures </w:t>
      </w:r>
      <w:r w:rsidR="003E18B6">
        <w:t>of</w:t>
      </w:r>
      <w:r w:rsidR="003E18B6" w:rsidRPr="00C9026A">
        <w:t xml:space="preserve"> </w:t>
      </w:r>
      <w:r w:rsidRPr="00C9026A">
        <w:t xml:space="preserve">flora and fauna. For </w:t>
      </w:r>
      <w:r w:rsidR="00E44B82" w:rsidRPr="00C9026A">
        <w:t>instance</w:t>
      </w:r>
      <w:r w:rsidRPr="00C9026A">
        <w:t xml:space="preserve">, the models </w:t>
      </w:r>
      <w:r w:rsidR="003E18B6">
        <w:t>would need to</w:t>
      </w:r>
      <w:r w:rsidR="003E18B6" w:rsidRPr="00C9026A">
        <w:t xml:space="preserve"> </w:t>
      </w:r>
      <w:r w:rsidRPr="00C9026A">
        <w:t xml:space="preserve">be </w:t>
      </w:r>
      <w:r w:rsidR="00270FD7">
        <w:t>suit</w:t>
      </w:r>
      <w:r w:rsidRPr="00C9026A">
        <w:t xml:space="preserve">able </w:t>
      </w:r>
      <w:r w:rsidR="002C2551">
        <w:t xml:space="preserve">for </w:t>
      </w:r>
      <w:r w:rsidRPr="00C9026A">
        <w:t>predict</w:t>
      </w:r>
      <w:r w:rsidR="00292B0D">
        <w:t>ing</w:t>
      </w:r>
      <w:r w:rsidRPr="00C9026A">
        <w:t xml:space="preserve"> the activity concentrations in the environmental media</w:t>
      </w:r>
      <w:r w:rsidR="003E18B6">
        <w:t>,</w:t>
      </w:r>
      <w:r w:rsidRPr="00C9026A">
        <w:t xml:space="preserve"> such as air, </w:t>
      </w:r>
      <w:r w:rsidR="00E44B82" w:rsidRPr="00C9026A">
        <w:t>freshwater</w:t>
      </w:r>
      <w:r w:rsidRPr="00C9026A">
        <w:t xml:space="preserve">, seawater, </w:t>
      </w:r>
      <w:r w:rsidR="00E44B82" w:rsidRPr="00C9026A">
        <w:t xml:space="preserve">aquatic </w:t>
      </w:r>
      <w:r w:rsidRPr="00C9026A">
        <w:t>sediments and soil</w:t>
      </w:r>
      <w:r w:rsidR="00E44B82" w:rsidRPr="00C9026A">
        <w:t>,</w:t>
      </w:r>
      <w:r w:rsidRPr="00C9026A">
        <w:t xml:space="preserve"> and the </w:t>
      </w:r>
      <w:r w:rsidR="00E44B82" w:rsidRPr="00C9026A">
        <w:t xml:space="preserve">environmental </w:t>
      </w:r>
      <w:r w:rsidRPr="00C9026A">
        <w:t xml:space="preserve">transfer parameters </w:t>
      </w:r>
      <w:r w:rsidR="003E18B6">
        <w:t xml:space="preserve">would need to </w:t>
      </w:r>
      <w:r w:rsidRPr="00C9026A">
        <w:t xml:space="preserve">be relevant for </w:t>
      </w:r>
      <w:r w:rsidR="00A96C5A">
        <w:t xml:space="preserve">assessment of the exposures </w:t>
      </w:r>
      <w:r w:rsidR="00DF542E">
        <w:t>of</w:t>
      </w:r>
      <w:r w:rsidR="00A96C5A">
        <w:t xml:space="preserve"> </w:t>
      </w:r>
      <w:r w:rsidRPr="00C9026A">
        <w:t>flora and fauna</w:t>
      </w:r>
      <w:r w:rsidR="00F75091">
        <w:rPr>
          <w:rStyle w:val="FootnoteReference"/>
        </w:rPr>
        <w:footnoteReference w:id="39"/>
      </w:r>
      <w:r w:rsidRPr="00C9026A">
        <w:t xml:space="preserve">. </w:t>
      </w:r>
      <w:r w:rsidR="003E18B6">
        <w:t>Reference [I-9]</w:t>
      </w:r>
      <w:r w:rsidR="003E18B6" w:rsidRPr="00C9026A">
        <w:t xml:space="preserve"> </w:t>
      </w:r>
      <w:r w:rsidRPr="00C9026A">
        <w:t>provide</w:t>
      </w:r>
      <w:r w:rsidR="00CE39A6">
        <w:t>s</w:t>
      </w:r>
      <w:r w:rsidRPr="00C9026A">
        <w:t xml:space="preserve"> models and data </w:t>
      </w:r>
      <w:r w:rsidR="002C2551">
        <w:t>for</w:t>
      </w:r>
      <w:r w:rsidR="00783DFC">
        <w:t xml:space="preserve"> estimat</w:t>
      </w:r>
      <w:r w:rsidR="002C2551">
        <w:t>ing</w:t>
      </w:r>
      <w:r w:rsidR="00783DFC">
        <w:t xml:space="preserve"> </w:t>
      </w:r>
      <w:r w:rsidR="002C2551">
        <w:t xml:space="preserve">the </w:t>
      </w:r>
      <w:r w:rsidR="00783DFC">
        <w:t>environmental dispersion</w:t>
      </w:r>
      <w:r w:rsidR="00CE39A6">
        <w:rPr>
          <w:rStyle w:val="FootnoteReference"/>
        </w:rPr>
        <w:footnoteReference w:id="40"/>
      </w:r>
      <w:r w:rsidR="00CE39A6">
        <w:t xml:space="preserve"> of radionuclides.</w:t>
      </w:r>
      <w:r w:rsidR="00783DFC">
        <w:t xml:space="preserve"> </w:t>
      </w:r>
      <w:r w:rsidR="00CE39A6">
        <w:t xml:space="preserve">References [I-10] and [I-11] provide </w:t>
      </w:r>
      <w:r w:rsidR="00783DFC">
        <w:t xml:space="preserve">transfer </w:t>
      </w:r>
      <w:r w:rsidR="00F75091">
        <w:t xml:space="preserve">parameters </w:t>
      </w:r>
      <w:r w:rsidR="00DF542E">
        <w:t xml:space="preserve">for </w:t>
      </w:r>
      <w:r w:rsidR="002C2551">
        <w:t xml:space="preserve">radionuclides </w:t>
      </w:r>
      <w:r w:rsidRPr="00C9026A">
        <w:t>applicable for flora and fauna</w:t>
      </w:r>
      <w:r w:rsidR="00783DFC">
        <w:t>.</w:t>
      </w:r>
    </w:p>
    <w:p w:rsidR="004E26EC" w:rsidRPr="00C9026A" w:rsidRDefault="00A4244F" w:rsidP="00A57A35">
      <w:pPr>
        <w:pStyle w:val="AnnexHeading4"/>
      </w:pPr>
      <w:bookmarkStart w:id="99" w:name="_Toc323306525"/>
      <w:r>
        <w:t>Identification of e</w:t>
      </w:r>
      <w:r w:rsidR="004E26EC" w:rsidRPr="00C9026A">
        <w:t>xposure pathways</w:t>
      </w:r>
      <w:bookmarkEnd w:id="99"/>
    </w:p>
    <w:p w:rsidR="004E26EC" w:rsidRPr="00C9026A" w:rsidRDefault="004E26EC" w:rsidP="00A57A35">
      <w:pPr>
        <w:pStyle w:val="AnnexHeading3"/>
      </w:pPr>
      <w:r w:rsidRPr="00C9026A">
        <w:t xml:space="preserve">The exposure pathways that </w:t>
      </w:r>
      <w:r w:rsidR="003E18B6">
        <w:t>need to</w:t>
      </w:r>
      <w:r w:rsidR="003E18B6" w:rsidRPr="00C9026A">
        <w:t xml:space="preserve"> </w:t>
      </w:r>
      <w:r w:rsidRPr="00C9026A">
        <w:t xml:space="preserve">be considered when assessing doses to </w:t>
      </w:r>
      <w:r w:rsidR="004516C4">
        <w:t xml:space="preserve">populations of </w:t>
      </w:r>
      <w:r w:rsidRPr="00C9026A">
        <w:t>flora and fauna are:</w:t>
      </w:r>
    </w:p>
    <w:p w:rsidR="004E26EC" w:rsidRPr="00C9026A" w:rsidRDefault="004E26EC" w:rsidP="003E18B6">
      <w:pPr>
        <w:pStyle w:val="BodyTextList"/>
        <w:numPr>
          <w:ilvl w:val="0"/>
          <w:numId w:val="8"/>
        </w:numPr>
        <w:spacing w:after="120"/>
        <w:ind w:left="0" w:firstLine="0"/>
        <w:rPr>
          <w:noProof w:val="0"/>
        </w:rPr>
      </w:pPr>
      <w:r w:rsidRPr="00C9026A">
        <w:rPr>
          <w:noProof w:val="0"/>
        </w:rPr>
        <w:t xml:space="preserve">External exposure due to radioactive material in the atmosphere, water, soil and sediments; </w:t>
      </w:r>
    </w:p>
    <w:p w:rsidR="004E26EC" w:rsidRPr="00C9026A" w:rsidRDefault="004E26EC" w:rsidP="003E18B6">
      <w:pPr>
        <w:pStyle w:val="BodyTextList"/>
        <w:numPr>
          <w:ilvl w:val="0"/>
          <w:numId w:val="8"/>
        </w:numPr>
        <w:spacing w:after="240" w:line="240" w:lineRule="auto"/>
        <w:ind w:left="0" w:firstLine="0"/>
        <w:rPr>
          <w:noProof w:val="0"/>
        </w:rPr>
      </w:pPr>
      <w:r w:rsidRPr="00C9026A">
        <w:rPr>
          <w:noProof w:val="0"/>
        </w:rPr>
        <w:t>Internal exposure from radioactive material</w:t>
      </w:r>
      <w:r w:rsidR="003E18B6">
        <w:rPr>
          <w:noProof w:val="0"/>
        </w:rPr>
        <w:t xml:space="preserve"> absorbed by plants or ingested or inhaled by animals</w:t>
      </w:r>
      <w:r w:rsidRPr="00C9026A">
        <w:rPr>
          <w:noProof w:val="0"/>
        </w:rPr>
        <w:t>.</w:t>
      </w:r>
    </w:p>
    <w:p w:rsidR="004E26EC" w:rsidRPr="00C9026A" w:rsidRDefault="004E26EC" w:rsidP="00A57A35">
      <w:pPr>
        <w:pStyle w:val="AnnexHeading4"/>
      </w:pPr>
      <w:bookmarkStart w:id="100" w:name="_Toc323306526"/>
      <w:r w:rsidRPr="00C9026A">
        <w:t xml:space="preserve">Selection of </w:t>
      </w:r>
      <w:r w:rsidR="009F712F" w:rsidRPr="00C9026A">
        <w:t>the reference a</w:t>
      </w:r>
      <w:r w:rsidR="00863C16" w:rsidRPr="00C9026A">
        <w:t xml:space="preserve">nimals and </w:t>
      </w:r>
      <w:r w:rsidR="005F35A4" w:rsidRPr="00C9026A">
        <w:t>plants</w:t>
      </w:r>
      <w:r w:rsidR="005F35A4">
        <w:t xml:space="preserve"> </w:t>
      </w:r>
    </w:p>
    <w:p w:rsidR="004E26EC" w:rsidRPr="00C9026A" w:rsidRDefault="00F30CB1" w:rsidP="00A57A35">
      <w:pPr>
        <w:pStyle w:val="AnnexHeading3"/>
      </w:pPr>
      <w:r>
        <w:t>The representative organisms in a</w:t>
      </w:r>
      <w:r w:rsidR="004E26EC" w:rsidRPr="00C9026A">
        <w:t xml:space="preserve"> generic assessment </w:t>
      </w:r>
      <w:r w:rsidR="003E18B6">
        <w:t>are</w:t>
      </w:r>
      <w:r>
        <w:t xml:space="preserve"> selected from the</w:t>
      </w:r>
      <w:r w:rsidR="004E26EC" w:rsidRPr="00C9026A">
        <w:t xml:space="preserve"> types of animals and plants for major ecosystems (terrestrial, freshwater and marine) </w:t>
      </w:r>
      <w:r w:rsidR="002C2551">
        <w:t>that</w:t>
      </w:r>
      <w:r w:rsidR="002C2551" w:rsidRPr="00C9026A">
        <w:t xml:space="preserve"> </w:t>
      </w:r>
      <w:r w:rsidR="004E26EC" w:rsidRPr="00C9026A">
        <w:t>are relevant</w:t>
      </w:r>
      <w:r w:rsidR="0047596D">
        <w:t xml:space="preserve"> to the location being assessed</w:t>
      </w:r>
      <w:r w:rsidR="004E26EC" w:rsidRPr="00C9026A">
        <w:t xml:space="preserve">. These types of animals and plants for the different ecosystems </w:t>
      </w:r>
      <w:r w:rsidR="003522C0" w:rsidRPr="00C9026A">
        <w:t>and the related reference animals and plants defined by</w:t>
      </w:r>
      <w:r w:rsidR="003E18B6">
        <w:t xml:space="preserve"> the</w:t>
      </w:r>
      <w:r w:rsidR="003522C0" w:rsidRPr="00C9026A">
        <w:t xml:space="preserve"> ICRP </w:t>
      </w:r>
      <w:r w:rsidR="0033409C" w:rsidRPr="00C9026A">
        <w:t>[</w:t>
      </w:r>
      <w:r w:rsidR="00F46702" w:rsidRPr="00C9026A">
        <w:t>I-1</w:t>
      </w:r>
      <w:r w:rsidR="0033409C" w:rsidRPr="00C9026A">
        <w:t xml:space="preserve">] </w:t>
      </w:r>
      <w:r w:rsidR="004E26EC" w:rsidRPr="00C9026A">
        <w:t xml:space="preserve">are presented in Table </w:t>
      </w:r>
      <w:r w:rsidR="0004749B" w:rsidRPr="00C9026A">
        <w:t>I-1</w:t>
      </w:r>
      <w:r w:rsidR="0033409C" w:rsidRPr="00C9026A">
        <w:rPr>
          <w:rStyle w:val="FootnoteReference"/>
        </w:rPr>
        <w:footnoteReference w:id="41"/>
      </w:r>
      <w:r w:rsidR="004E26EC" w:rsidRPr="00C9026A">
        <w:t>.</w:t>
      </w:r>
    </w:p>
    <w:p w:rsidR="004E26EC" w:rsidRPr="00C9026A" w:rsidDel="0041204E" w:rsidRDefault="004E26EC" w:rsidP="00A57A35">
      <w:pPr>
        <w:pStyle w:val="IAEATableHeading"/>
        <w:rPr>
          <w:lang w:val="en-GB"/>
        </w:rPr>
      </w:pPr>
      <w:proofErr w:type="gramStart"/>
      <w:r w:rsidRPr="00C9026A">
        <w:rPr>
          <w:lang w:val="en-GB"/>
        </w:rPr>
        <w:t xml:space="preserve">TABLE </w:t>
      </w:r>
      <w:r w:rsidR="00805D6F" w:rsidRPr="00C9026A">
        <w:rPr>
          <w:lang w:val="en-GB"/>
        </w:rPr>
        <w:t>I-1</w:t>
      </w:r>
      <w:r w:rsidRPr="00C9026A">
        <w:rPr>
          <w:lang w:val="en-GB"/>
        </w:rPr>
        <w:t>.</w:t>
      </w:r>
      <w:proofErr w:type="gramEnd"/>
      <w:r w:rsidRPr="00C9026A">
        <w:rPr>
          <w:lang w:val="en-GB"/>
        </w:rPr>
        <w:t xml:space="preserve"> TYPES OF </w:t>
      </w:r>
      <w:r w:rsidR="00F31CDE" w:rsidRPr="00C9026A">
        <w:rPr>
          <w:lang w:val="en-GB"/>
        </w:rPr>
        <w:t xml:space="preserve">ANIMALS AND </w:t>
      </w:r>
      <w:r w:rsidRPr="00C9026A">
        <w:rPr>
          <w:lang w:val="en-GB"/>
        </w:rPr>
        <w:t xml:space="preserve">PLANTS FOR THREE MAJOR ECOSYSTEMS TO BE USED IN GENERIC ASSESSMENTS OF RADIOLOGICAL IMPACT </w:t>
      </w:r>
      <w:r w:rsidR="003E18B6">
        <w:rPr>
          <w:lang w:val="en-GB"/>
        </w:rPr>
        <w:t>ON</w:t>
      </w:r>
      <w:r w:rsidR="003E18B6" w:rsidRPr="00C9026A">
        <w:rPr>
          <w:lang w:val="en-GB"/>
        </w:rPr>
        <w:t xml:space="preserve"> </w:t>
      </w:r>
      <w:r w:rsidRPr="00C9026A">
        <w:rPr>
          <w:lang w:val="en-GB"/>
        </w:rPr>
        <w:t>FLORA AND FAUNA AND RELEVANT DERIVED CONSIDERATION REFERENCE LEVELS [</w:t>
      </w:r>
      <w:r w:rsidR="00F46702" w:rsidRPr="00C9026A">
        <w:rPr>
          <w:lang w:val="en-GB"/>
        </w:rPr>
        <w:t>I-1</w:t>
      </w:r>
      <w:r w:rsidRPr="00C9026A">
        <w:rPr>
          <w:lang w:val="en-GB"/>
        </w:rPr>
        <w:t>]</w:t>
      </w:r>
    </w:p>
    <w:tbl>
      <w:tblPr>
        <w:tblStyle w:val="TableGrid1"/>
        <w:tblW w:w="47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2125"/>
        <w:gridCol w:w="2750"/>
        <w:gridCol w:w="1929"/>
      </w:tblGrid>
      <w:tr w:rsidR="004E26EC" w:rsidRPr="00C9026A" w:rsidTr="00A63189">
        <w:tc>
          <w:tcPr>
            <w:tcW w:w="2095" w:type="dxa"/>
            <w:tcBorders>
              <w:top w:val="single" w:sz="4" w:space="0" w:color="auto"/>
              <w:bottom w:val="single" w:sz="4" w:space="0" w:color="auto"/>
            </w:tcBorders>
            <w:vAlign w:val="center"/>
          </w:tcPr>
          <w:p w:rsidR="004E26EC" w:rsidRPr="00C9026A" w:rsidRDefault="004E26EC" w:rsidP="00A57A35">
            <w:pPr>
              <w:pStyle w:val="BodyText"/>
              <w:spacing w:after="0"/>
              <w:jc w:val="left"/>
              <w:rPr>
                <w:rFonts w:ascii="Times New Roman" w:hAnsi="Times New Roman" w:cs="Times New Roman"/>
                <w:b/>
                <w:sz w:val="20"/>
                <w:szCs w:val="20"/>
                <w:lang w:val="en-GB"/>
              </w:rPr>
            </w:pPr>
            <w:r w:rsidRPr="00C9026A">
              <w:rPr>
                <w:rFonts w:ascii="Times New Roman" w:hAnsi="Times New Roman" w:cs="Times New Roman"/>
                <w:b/>
                <w:sz w:val="20"/>
                <w:szCs w:val="20"/>
                <w:lang w:val="en-GB"/>
              </w:rPr>
              <w:t>Ecosystem of interest</w:t>
            </w:r>
          </w:p>
        </w:tc>
        <w:tc>
          <w:tcPr>
            <w:tcW w:w="2125" w:type="dxa"/>
            <w:tcBorders>
              <w:top w:val="single" w:sz="4" w:space="0" w:color="auto"/>
              <w:bottom w:val="single" w:sz="4" w:space="0" w:color="auto"/>
            </w:tcBorders>
            <w:vAlign w:val="center"/>
          </w:tcPr>
          <w:p w:rsidR="004E26EC" w:rsidRPr="00C9026A" w:rsidRDefault="004E26EC" w:rsidP="002C2551">
            <w:pPr>
              <w:pStyle w:val="BodyText"/>
              <w:spacing w:after="0"/>
              <w:jc w:val="left"/>
              <w:rPr>
                <w:rFonts w:ascii="Times New Roman" w:hAnsi="Times New Roman" w:cs="Times New Roman"/>
                <w:b/>
                <w:sz w:val="20"/>
                <w:szCs w:val="20"/>
                <w:lang w:val="en-GB"/>
              </w:rPr>
            </w:pPr>
            <w:r w:rsidRPr="00C9026A">
              <w:rPr>
                <w:rFonts w:ascii="Times New Roman" w:hAnsi="Times New Roman" w:cs="Times New Roman"/>
                <w:b/>
                <w:sz w:val="20"/>
                <w:szCs w:val="20"/>
                <w:lang w:val="en-GB"/>
              </w:rPr>
              <w:t xml:space="preserve">Type of animal </w:t>
            </w:r>
            <w:r w:rsidR="002C2551">
              <w:rPr>
                <w:rFonts w:ascii="Times New Roman" w:hAnsi="Times New Roman" w:cs="Times New Roman"/>
                <w:b/>
                <w:sz w:val="20"/>
                <w:szCs w:val="20"/>
                <w:lang w:val="en-GB"/>
              </w:rPr>
              <w:t>or</w:t>
            </w:r>
            <w:r w:rsidR="002C2551" w:rsidRPr="00C9026A">
              <w:rPr>
                <w:rFonts w:ascii="Times New Roman" w:hAnsi="Times New Roman" w:cs="Times New Roman"/>
                <w:b/>
                <w:sz w:val="20"/>
                <w:szCs w:val="20"/>
                <w:lang w:val="en-GB"/>
              </w:rPr>
              <w:t xml:space="preserve"> </w:t>
            </w:r>
            <w:r w:rsidRPr="00C9026A">
              <w:rPr>
                <w:rFonts w:ascii="Times New Roman" w:hAnsi="Times New Roman" w:cs="Times New Roman"/>
                <w:b/>
                <w:sz w:val="20"/>
                <w:szCs w:val="20"/>
                <w:lang w:val="en-GB"/>
              </w:rPr>
              <w:t>plant</w:t>
            </w:r>
          </w:p>
        </w:tc>
        <w:tc>
          <w:tcPr>
            <w:tcW w:w="2750" w:type="dxa"/>
            <w:tcBorders>
              <w:top w:val="single" w:sz="4" w:space="0" w:color="auto"/>
              <w:bottom w:val="single" w:sz="4" w:space="0" w:color="auto"/>
            </w:tcBorders>
            <w:vAlign w:val="center"/>
          </w:tcPr>
          <w:p w:rsidR="004E26EC" w:rsidRPr="00C9026A" w:rsidRDefault="004E26EC" w:rsidP="002C2551">
            <w:pPr>
              <w:pStyle w:val="BodyText"/>
              <w:spacing w:after="0"/>
              <w:jc w:val="left"/>
              <w:rPr>
                <w:rFonts w:ascii="Times New Roman" w:hAnsi="Times New Roman" w:cs="Times New Roman"/>
                <w:b/>
                <w:sz w:val="20"/>
                <w:szCs w:val="20"/>
                <w:lang w:val="en-GB"/>
              </w:rPr>
            </w:pPr>
            <w:r w:rsidRPr="00C9026A">
              <w:rPr>
                <w:rFonts w:ascii="Times New Roman" w:hAnsi="Times New Roman" w:cs="Times New Roman"/>
                <w:b/>
                <w:sz w:val="20"/>
                <w:szCs w:val="20"/>
                <w:lang w:val="en-GB"/>
              </w:rPr>
              <w:t>ICRP reference animal</w:t>
            </w:r>
            <w:r w:rsidR="003522C0" w:rsidRPr="00C9026A">
              <w:rPr>
                <w:rFonts w:ascii="Times New Roman" w:hAnsi="Times New Roman" w:cs="Times New Roman"/>
                <w:b/>
                <w:sz w:val="20"/>
                <w:szCs w:val="20"/>
                <w:lang w:val="en-GB"/>
              </w:rPr>
              <w:t>s</w:t>
            </w:r>
            <w:r w:rsidRPr="00C9026A">
              <w:rPr>
                <w:rFonts w:ascii="Times New Roman" w:hAnsi="Times New Roman" w:cs="Times New Roman"/>
                <w:b/>
                <w:sz w:val="20"/>
                <w:szCs w:val="20"/>
                <w:lang w:val="en-GB"/>
              </w:rPr>
              <w:t xml:space="preserve"> and plant</w:t>
            </w:r>
            <w:r w:rsidR="003522C0" w:rsidRPr="00C9026A">
              <w:rPr>
                <w:rFonts w:ascii="Times New Roman" w:hAnsi="Times New Roman" w:cs="Times New Roman"/>
                <w:b/>
                <w:sz w:val="20"/>
                <w:szCs w:val="20"/>
                <w:lang w:val="en-GB"/>
              </w:rPr>
              <w:t>s</w:t>
            </w:r>
          </w:p>
        </w:tc>
        <w:tc>
          <w:tcPr>
            <w:tcW w:w="1929" w:type="dxa"/>
            <w:tcBorders>
              <w:top w:val="single" w:sz="4" w:space="0" w:color="auto"/>
              <w:bottom w:val="single" w:sz="4" w:space="0" w:color="auto"/>
            </w:tcBorders>
            <w:vAlign w:val="center"/>
          </w:tcPr>
          <w:p w:rsidR="004E26EC" w:rsidRPr="00C9026A" w:rsidRDefault="003E18B6" w:rsidP="00A57A35">
            <w:pPr>
              <w:pStyle w:val="BodyText"/>
              <w:spacing w:after="0"/>
              <w:jc w:val="center"/>
              <w:rPr>
                <w:rFonts w:ascii="Times New Roman" w:hAnsi="Times New Roman" w:cs="Times New Roman"/>
                <w:b/>
                <w:sz w:val="20"/>
                <w:szCs w:val="20"/>
                <w:lang w:val="en-GB"/>
              </w:rPr>
            </w:pPr>
            <w:r>
              <w:rPr>
                <w:rFonts w:ascii="Times New Roman" w:hAnsi="Times New Roman" w:cs="Times New Roman"/>
                <w:b/>
                <w:sz w:val="20"/>
                <w:szCs w:val="20"/>
                <w:lang w:val="en-GB"/>
              </w:rPr>
              <w:t>Derived consideration reference level</w:t>
            </w:r>
            <w:r w:rsidR="00F30CB1">
              <w:rPr>
                <w:rFonts w:ascii="Times New Roman" w:hAnsi="Times New Roman" w:cs="Times New Roman"/>
                <w:b/>
                <w:sz w:val="20"/>
                <w:szCs w:val="20"/>
                <w:lang w:val="en-GB"/>
              </w:rPr>
              <w:t>,</w:t>
            </w:r>
            <w:r w:rsidR="004E26EC" w:rsidRPr="00C9026A">
              <w:rPr>
                <w:rFonts w:ascii="Times New Roman" w:hAnsi="Times New Roman" w:cs="Times New Roman"/>
                <w:b/>
                <w:sz w:val="20"/>
                <w:szCs w:val="20"/>
                <w:lang w:val="en-GB"/>
              </w:rPr>
              <w:t xml:space="preserve"> </w:t>
            </w:r>
            <w:proofErr w:type="spellStart"/>
            <w:r w:rsidR="004E26EC" w:rsidRPr="00C9026A">
              <w:rPr>
                <w:rFonts w:ascii="Times New Roman" w:hAnsi="Times New Roman" w:cs="Times New Roman"/>
                <w:b/>
                <w:sz w:val="20"/>
                <w:szCs w:val="20"/>
                <w:lang w:val="en-GB"/>
              </w:rPr>
              <w:t>mGy</w:t>
            </w:r>
            <w:proofErr w:type="spellEnd"/>
            <w:r w:rsidR="00F30CB1">
              <w:rPr>
                <w:rFonts w:ascii="Times New Roman" w:hAnsi="Times New Roman" w:cs="Times New Roman"/>
                <w:b/>
                <w:sz w:val="20"/>
                <w:szCs w:val="20"/>
                <w:lang w:val="en-GB"/>
              </w:rPr>
              <w:t>/</w:t>
            </w:r>
            <w:r w:rsidR="004E26EC" w:rsidRPr="00C9026A">
              <w:rPr>
                <w:rFonts w:ascii="Times New Roman" w:hAnsi="Times New Roman" w:cs="Times New Roman"/>
                <w:b/>
                <w:sz w:val="20"/>
                <w:szCs w:val="20"/>
                <w:lang w:val="en-GB"/>
              </w:rPr>
              <w:t>d</w:t>
            </w:r>
          </w:p>
        </w:tc>
      </w:tr>
      <w:tr w:rsidR="004E26EC" w:rsidRPr="00C9026A" w:rsidTr="00A63189">
        <w:tc>
          <w:tcPr>
            <w:tcW w:w="2095" w:type="dxa"/>
            <w:vMerge w:val="restart"/>
            <w:tcBorders>
              <w:top w:val="single" w:sz="4" w:space="0" w:color="auto"/>
            </w:tcBorders>
            <w:vAlign w:val="center"/>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Terrestrial</w:t>
            </w:r>
          </w:p>
        </w:tc>
        <w:tc>
          <w:tcPr>
            <w:tcW w:w="2125" w:type="dxa"/>
            <w:tcBorders>
              <w:top w:val="single" w:sz="4" w:space="0" w:color="auto"/>
            </w:tcBorders>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Large plant</w:t>
            </w:r>
          </w:p>
        </w:tc>
        <w:tc>
          <w:tcPr>
            <w:tcW w:w="2750" w:type="dxa"/>
            <w:tcBorders>
              <w:top w:val="single" w:sz="4" w:space="0" w:color="auto"/>
            </w:tcBorders>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 xml:space="preserve">Reference </w:t>
            </w:r>
            <w:r w:rsidR="00BD49A3" w:rsidRPr="00C9026A">
              <w:rPr>
                <w:rFonts w:ascii="Times New Roman" w:hAnsi="Times New Roman" w:cs="Times New Roman"/>
                <w:sz w:val="20"/>
                <w:szCs w:val="20"/>
                <w:lang w:val="en-GB"/>
              </w:rPr>
              <w:t xml:space="preserve">pine </w:t>
            </w:r>
            <w:r w:rsidRPr="00C9026A">
              <w:rPr>
                <w:rFonts w:ascii="Times New Roman" w:hAnsi="Times New Roman" w:cs="Times New Roman"/>
                <w:sz w:val="20"/>
                <w:szCs w:val="20"/>
                <w:lang w:val="en-GB"/>
              </w:rPr>
              <w:t>tree</w:t>
            </w:r>
          </w:p>
        </w:tc>
        <w:tc>
          <w:tcPr>
            <w:tcW w:w="1929" w:type="dxa"/>
            <w:tcBorders>
              <w:top w:val="single" w:sz="4" w:space="0" w:color="auto"/>
            </w:tcBorders>
            <w:vAlign w:val="center"/>
          </w:tcPr>
          <w:p w:rsidR="004E26EC" w:rsidRPr="00C9026A" w:rsidRDefault="004E26EC" w:rsidP="00A57A35">
            <w:pPr>
              <w:pStyle w:val="BodyText"/>
              <w:spacing w:after="0"/>
              <w:jc w:val="center"/>
              <w:rPr>
                <w:rFonts w:ascii="Times New Roman" w:hAnsi="Times New Roman" w:cs="Times New Roman"/>
                <w:sz w:val="20"/>
                <w:szCs w:val="20"/>
                <w:lang w:val="en-GB"/>
              </w:rPr>
            </w:pPr>
            <w:r w:rsidRPr="00C9026A">
              <w:rPr>
                <w:rFonts w:ascii="Times New Roman" w:hAnsi="Times New Roman" w:cs="Times New Roman"/>
                <w:sz w:val="20"/>
                <w:szCs w:val="20"/>
                <w:lang w:val="en-GB"/>
              </w:rPr>
              <w:t>0.1–1</w:t>
            </w:r>
          </w:p>
        </w:tc>
      </w:tr>
      <w:tr w:rsidR="004E26EC" w:rsidRPr="00C9026A" w:rsidTr="00A63189">
        <w:tc>
          <w:tcPr>
            <w:tcW w:w="2095" w:type="dxa"/>
            <w:vMerge/>
          </w:tcPr>
          <w:p w:rsidR="004E26EC" w:rsidRPr="00C9026A" w:rsidRDefault="004E26EC" w:rsidP="00A57A35">
            <w:pPr>
              <w:pStyle w:val="BodyText"/>
              <w:spacing w:after="0"/>
              <w:jc w:val="left"/>
              <w:rPr>
                <w:rFonts w:ascii="Times New Roman" w:hAnsi="Times New Roman" w:cs="Times New Roman"/>
                <w:sz w:val="20"/>
                <w:szCs w:val="20"/>
                <w:lang w:val="en-GB"/>
              </w:rPr>
            </w:pPr>
          </w:p>
        </w:tc>
        <w:tc>
          <w:tcPr>
            <w:tcW w:w="2125" w:type="dxa"/>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 xml:space="preserve">Small plant </w:t>
            </w:r>
          </w:p>
        </w:tc>
        <w:tc>
          <w:tcPr>
            <w:tcW w:w="2750" w:type="dxa"/>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 xml:space="preserve">Reference </w:t>
            </w:r>
            <w:r w:rsidR="00BD49A3" w:rsidRPr="00C9026A">
              <w:rPr>
                <w:rFonts w:ascii="Times New Roman" w:hAnsi="Times New Roman" w:cs="Times New Roman"/>
                <w:sz w:val="20"/>
                <w:szCs w:val="20"/>
                <w:lang w:val="en-GB"/>
              </w:rPr>
              <w:t xml:space="preserve">wild </w:t>
            </w:r>
            <w:r w:rsidRPr="00C9026A">
              <w:rPr>
                <w:rFonts w:ascii="Times New Roman" w:hAnsi="Times New Roman" w:cs="Times New Roman"/>
                <w:sz w:val="20"/>
                <w:szCs w:val="20"/>
                <w:lang w:val="en-GB"/>
              </w:rPr>
              <w:t>grass</w:t>
            </w:r>
          </w:p>
        </w:tc>
        <w:tc>
          <w:tcPr>
            <w:tcW w:w="1929" w:type="dxa"/>
            <w:vAlign w:val="center"/>
          </w:tcPr>
          <w:p w:rsidR="004E26EC" w:rsidRPr="00C9026A" w:rsidRDefault="004E26EC" w:rsidP="00A57A35">
            <w:pPr>
              <w:pStyle w:val="BodyText"/>
              <w:spacing w:after="0"/>
              <w:jc w:val="center"/>
              <w:rPr>
                <w:rFonts w:ascii="Times New Roman" w:hAnsi="Times New Roman" w:cs="Times New Roman"/>
                <w:sz w:val="20"/>
                <w:szCs w:val="20"/>
                <w:lang w:val="en-GB"/>
              </w:rPr>
            </w:pPr>
            <w:r w:rsidRPr="00C9026A">
              <w:rPr>
                <w:rFonts w:ascii="Times New Roman" w:hAnsi="Times New Roman" w:cs="Times New Roman"/>
                <w:sz w:val="20"/>
                <w:szCs w:val="20"/>
                <w:lang w:val="en-GB"/>
              </w:rPr>
              <w:t>1–10</w:t>
            </w:r>
          </w:p>
        </w:tc>
      </w:tr>
      <w:tr w:rsidR="004E26EC" w:rsidRPr="00C9026A" w:rsidTr="00A63189">
        <w:tc>
          <w:tcPr>
            <w:tcW w:w="2095" w:type="dxa"/>
            <w:vMerge/>
          </w:tcPr>
          <w:p w:rsidR="004E26EC" w:rsidRPr="00C9026A" w:rsidRDefault="004E26EC" w:rsidP="00A57A35">
            <w:pPr>
              <w:pStyle w:val="BodyText"/>
              <w:spacing w:after="0"/>
              <w:jc w:val="left"/>
              <w:rPr>
                <w:rFonts w:ascii="Times New Roman" w:hAnsi="Times New Roman" w:cs="Times New Roman"/>
                <w:sz w:val="20"/>
                <w:szCs w:val="20"/>
                <w:lang w:val="en-GB"/>
              </w:rPr>
            </w:pPr>
          </w:p>
        </w:tc>
        <w:tc>
          <w:tcPr>
            <w:tcW w:w="2125" w:type="dxa"/>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Insect</w:t>
            </w:r>
          </w:p>
        </w:tc>
        <w:tc>
          <w:tcPr>
            <w:tcW w:w="2750" w:type="dxa"/>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 xml:space="preserve">Reference </w:t>
            </w:r>
            <w:r w:rsidR="00BD49A3" w:rsidRPr="00C9026A">
              <w:rPr>
                <w:rFonts w:ascii="Times New Roman" w:hAnsi="Times New Roman" w:cs="Times New Roman"/>
                <w:sz w:val="20"/>
                <w:szCs w:val="20"/>
                <w:lang w:val="en-GB"/>
              </w:rPr>
              <w:t>bee</w:t>
            </w:r>
          </w:p>
        </w:tc>
        <w:tc>
          <w:tcPr>
            <w:tcW w:w="1929" w:type="dxa"/>
            <w:vAlign w:val="center"/>
          </w:tcPr>
          <w:p w:rsidR="004E26EC" w:rsidRPr="00C9026A" w:rsidRDefault="004E26EC" w:rsidP="00A57A35">
            <w:pPr>
              <w:pStyle w:val="BodyText"/>
              <w:spacing w:after="0"/>
              <w:jc w:val="center"/>
              <w:rPr>
                <w:rFonts w:ascii="Times New Roman" w:hAnsi="Times New Roman" w:cs="Times New Roman"/>
                <w:sz w:val="20"/>
                <w:szCs w:val="20"/>
                <w:lang w:val="en-GB"/>
              </w:rPr>
            </w:pPr>
            <w:r w:rsidRPr="00C9026A">
              <w:rPr>
                <w:rFonts w:ascii="Times New Roman" w:hAnsi="Times New Roman" w:cs="Times New Roman"/>
                <w:sz w:val="20"/>
                <w:szCs w:val="20"/>
                <w:lang w:val="en-GB"/>
              </w:rPr>
              <w:t>10–100</w:t>
            </w:r>
          </w:p>
        </w:tc>
      </w:tr>
      <w:tr w:rsidR="004E26EC" w:rsidRPr="00C9026A" w:rsidTr="00A63189">
        <w:tc>
          <w:tcPr>
            <w:tcW w:w="2095" w:type="dxa"/>
            <w:vMerge/>
          </w:tcPr>
          <w:p w:rsidR="004E26EC" w:rsidRPr="00C9026A" w:rsidRDefault="004E26EC" w:rsidP="00A57A35">
            <w:pPr>
              <w:pStyle w:val="BodyText"/>
              <w:spacing w:after="0"/>
              <w:jc w:val="left"/>
              <w:rPr>
                <w:rFonts w:ascii="Times New Roman" w:hAnsi="Times New Roman" w:cs="Times New Roman"/>
                <w:sz w:val="20"/>
                <w:szCs w:val="20"/>
                <w:lang w:val="en-GB"/>
              </w:rPr>
            </w:pPr>
          </w:p>
        </w:tc>
        <w:tc>
          <w:tcPr>
            <w:tcW w:w="2125" w:type="dxa"/>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Annelid</w:t>
            </w:r>
          </w:p>
        </w:tc>
        <w:tc>
          <w:tcPr>
            <w:tcW w:w="2750" w:type="dxa"/>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 xml:space="preserve">Reference </w:t>
            </w:r>
            <w:r w:rsidR="00BD49A3" w:rsidRPr="00C9026A">
              <w:rPr>
                <w:rFonts w:ascii="Times New Roman" w:hAnsi="Times New Roman" w:cs="Times New Roman"/>
                <w:sz w:val="20"/>
                <w:szCs w:val="20"/>
                <w:lang w:val="en-GB"/>
              </w:rPr>
              <w:t>earthworm</w:t>
            </w:r>
          </w:p>
        </w:tc>
        <w:tc>
          <w:tcPr>
            <w:tcW w:w="1929" w:type="dxa"/>
            <w:vAlign w:val="center"/>
          </w:tcPr>
          <w:p w:rsidR="004E26EC" w:rsidRPr="00C9026A" w:rsidRDefault="00935F0E" w:rsidP="00A57A35">
            <w:pPr>
              <w:pStyle w:val="BodyText"/>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10-100</w:t>
            </w:r>
          </w:p>
        </w:tc>
      </w:tr>
      <w:tr w:rsidR="004E26EC" w:rsidRPr="00C9026A" w:rsidTr="00A63189">
        <w:tc>
          <w:tcPr>
            <w:tcW w:w="2095" w:type="dxa"/>
            <w:vMerge/>
          </w:tcPr>
          <w:p w:rsidR="004E26EC" w:rsidRPr="00C9026A" w:rsidRDefault="004E26EC" w:rsidP="00A57A35">
            <w:pPr>
              <w:pStyle w:val="BodyText"/>
              <w:spacing w:after="0"/>
              <w:jc w:val="left"/>
              <w:rPr>
                <w:rFonts w:ascii="Times New Roman" w:hAnsi="Times New Roman" w:cs="Times New Roman"/>
                <w:sz w:val="20"/>
                <w:szCs w:val="20"/>
                <w:lang w:val="en-GB"/>
              </w:rPr>
            </w:pPr>
          </w:p>
        </w:tc>
        <w:tc>
          <w:tcPr>
            <w:tcW w:w="2125" w:type="dxa"/>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Large mammal</w:t>
            </w:r>
          </w:p>
        </w:tc>
        <w:tc>
          <w:tcPr>
            <w:tcW w:w="2750" w:type="dxa"/>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 xml:space="preserve">Reference </w:t>
            </w:r>
            <w:r w:rsidR="00BD49A3" w:rsidRPr="00C9026A">
              <w:rPr>
                <w:rFonts w:ascii="Times New Roman" w:hAnsi="Times New Roman" w:cs="Times New Roman"/>
                <w:sz w:val="20"/>
                <w:szCs w:val="20"/>
                <w:lang w:val="en-GB"/>
              </w:rPr>
              <w:t>deer</w:t>
            </w:r>
          </w:p>
        </w:tc>
        <w:tc>
          <w:tcPr>
            <w:tcW w:w="1929" w:type="dxa"/>
            <w:vAlign w:val="center"/>
          </w:tcPr>
          <w:p w:rsidR="004E26EC" w:rsidRPr="00C9026A" w:rsidRDefault="004E26EC" w:rsidP="00A57A35">
            <w:pPr>
              <w:pStyle w:val="BodyText"/>
              <w:spacing w:after="0"/>
              <w:jc w:val="center"/>
              <w:rPr>
                <w:rFonts w:ascii="Times New Roman" w:hAnsi="Times New Roman" w:cs="Times New Roman"/>
                <w:sz w:val="20"/>
                <w:szCs w:val="20"/>
                <w:lang w:val="en-GB"/>
              </w:rPr>
            </w:pPr>
            <w:r w:rsidRPr="00C9026A">
              <w:rPr>
                <w:rFonts w:ascii="Times New Roman" w:hAnsi="Times New Roman" w:cs="Times New Roman"/>
                <w:sz w:val="20"/>
                <w:szCs w:val="20"/>
                <w:lang w:val="en-GB"/>
              </w:rPr>
              <w:t>0.1–1</w:t>
            </w:r>
          </w:p>
        </w:tc>
      </w:tr>
      <w:tr w:rsidR="004E26EC" w:rsidRPr="00C9026A" w:rsidTr="00A63189">
        <w:tc>
          <w:tcPr>
            <w:tcW w:w="2095" w:type="dxa"/>
            <w:vMerge/>
            <w:tcBorders>
              <w:bottom w:val="single" w:sz="4" w:space="0" w:color="auto"/>
            </w:tcBorders>
          </w:tcPr>
          <w:p w:rsidR="004E26EC" w:rsidRPr="00C9026A" w:rsidRDefault="004E26EC" w:rsidP="00A57A35">
            <w:pPr>
              <w:pStyle w:val="BodyText"/>
              <w:spacing w:after="0"/>
              <w:jc w:val="left"/>
              <w:rPr>
                <w:rFonts w:ascii="Times New Roman" w:hAnsi="Times New Roman" w:cs="Times New Roman"/>
                <w:sz w:val="20"/>
                <w:szCs w:val="20"/>
                <w:lang w:val="en-GB"/>
              </w:rPr>
            </w:pPr>
          </w:p>
        </w:tc>
        <w:tc>
          <w:tcPr>
            <w:tcW w:w="2125" w:type="dxa"/>
            <w:tcBorders>
              <w:bottom w:val="single" w:sz="4" w:space="0" w:color="auto"/>
            </w:tcBorders>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Small mammal</w:t>
            </w:r>
          </w:p>
        </w:tc>
        <w:tc>
          <w:tcPr>
            <w:tcW w:w="2750" w:type="dxa"/>
            <w:tcBorders>
              <w:bottom w:val="single" w:sz="4" w:space="0" w:color="auto"/>
            </w:tcBorders>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 xml:space="preserve">Reference </w:t>
            </w:r>
            <w:r w:rsidR="00BD49A3" w:rsidRPr="00C9026A">
              <w:rPr>
                <w:rFonts w:ascii="Times New Roman" w:hAnsi="Times New Roman" w:cs="Times New Roman"/>
                <w:sz w:val="20"/>
                <w:szCs w:val="20"/>
                <w:lang w:val="en-GB"/>
              </w:rPr>
              <w:t>rat</w:t>
            </w:r>
          </w:p>
        </w:tc>
        <w:tc>
          <w:tcPr>
            <w:tcW w:w="1929" w:type="dxa"/>
            <w:tcBorders>
              <w:bottom w:val="single" w:sz="4" w:space="0" w:color="auto"/>
            </w:tcBorders>
            <w:vAlign w:val="center"/>
          </w:tcPr>
          <w:p w:rsidR="004E26EC" w:rsidRPr="00C9026A" w:rsidRDefault="004E26EC" w:rsidP="00A57A35">
            <w:pPr>
              <w:pStyle w:val="BodyText"/>
              <w:spacing w:after="0"/>
              <w:jc w:val="center"/>
              <w:rPr>
                <w:rFonts w:ascii="Times New Roman" w:hAnsi="Times New Roman" w:cs="Times New Roman"/>
                <w:sz w:val="20"/>
                <w:szCs w:val="20"/>
                <w:lang w:val="en-GB"/>
              </w:rPr>
            </w:pPr>
            <w:r w:rsidRPr="00C9026A">
              <w:rPr>
                <w:rFonts w:ascii="Times New Roman" w:hAnsi="Times New Roman" w:cs="Times New Roman"/>
                <w:sz w:val="20"/>
                <w:szCs w:val="20"/>
                <w:lang w:val="en-GB"/>
              </w:rPr>
              <w:t>0.1–1</w:t>
            </w:r>
          </w:p>
        </w:tc>
      </w:tr>
      <w:tr w:rsidR="004E26EC" w:rsidRPr="00C9026A" w:rsidTr="00A63189">
        <w:tc>
          <w:tcPr>
            <w:tcW w:w="2095" w:type="dxa"/>
            <w:vMerge w:val="restart"/>
            <w:tcBorders>
              <w:top w:val="single" w:sz="4" w:space="0" w:color="auto"/>
            </w:tcBorders>
            <w:vAlign w:val="center"/>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Freshwater</w:t>
            </w:r>
          </w:p>
        </w:tc>
        <w:tc>
          <w:tcPr>
            <w:tcW w:w="2125" w:type="dxa"/>
            <w:tcBorders>
              <w:top w:val="single" w:sz="4" w:space="0" w:color="auto"/>
            </w:tcBorders>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 xml:space="preserve">Aquatic </w:t>
            </w:r>
            <w:r w:rsidR="003E18B6">
              <w:rPr>
                <w:rFonts w:ascii="Times New Roman" w:hAnsi="Times New Roman" w:cs="Times New Roman"/>
                <w:sz w:val="20"/>
                <w:szCs w:val="20"/>
                <w:lang w:val="en-GB"/>
              </w:rPr>
              <w:t>b</w:t>
            </w:r>
            <w:r w:rsidRPr="00C9026A">
              <w:rPr>
                <w:rFonts w:ascii="Times New Roman" w:hAnsi="Times New Roman" w:cs="Times New Roman"/>
                <w:sz w:val="20"/>
                <w:szCs w:val="20"/>
                <w:lang w:val="en-GB"/>
              </w:rPr>
              <w:t>ird</w:t>
            </w:r>
          </w:p>
        </w:tc>
        <w:tc>
          <w:tcPr>
            <w:tcW w:w="2750" w:type="dxa"/>
            <w:tcBorders>
              <w:top w:val="single" w:sz="4" w:space="0" w:color="auto"/>
            </w:tcBorders>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 xml:space="preserve">Reference </w:t>
            </w:r>
            <w:r w:rsidR="00BD49A3" w:rsidRPr="00C9026A">
              <w:rPr>
                <w:rFonts w:ascii="Times New Roman" w:hAnsi="Times New Roman" w:cs="Times New Roman"/>
                <w:sz w:val="20"/>
                <w:szCs w:val="20"/>
                <w:lang w:val="en-GB"/>
              </w:rPr>
              <w:t>duck</w:t>
            </w:r>
          </w:p>
        </w:tc>
        <w:tc>
          <w:tcPr>
            <w:tcW w:w="1929" w:type="dxa"/>
            <w:tcBorders>
              <w:top w:val="single" w:sz="4" w:space="0" w:color="auto"/>
            </w:tcBorders>
            <w:vAlign w:val="center"/>
          </w:tcPr>
          <w:p w:rsidR="004E26EC" w:rsidRPr="00C9026A" w:rsidRDefault="004E26EC" w:rsidP="00A57A35">
            <w:pPr>
              <w:pStyle w:val="BodyText"/>
              <w:spacing w:after="0"/>
              <w:jc w:val="center"/>
              <w:rPr>
                <w:rFonts w:ascii="Times New Roman" w:hAnsi="Times New Roman" w:cs="Times New Roman"/>
                <w:sz w:val="20"/>
                <w:szCs w:val="20"/>
                <w:lang w:val="en-GB"/>
              </w:rPr>
            </w:pPr>
            <w:r w:rsidRPr="00C9026A">
              <w:rPr>
                <w:rFonts w:ascii="Times New Roman" w:hAnsi="Times New Roman" w:cs="Times New Roman"/>
                <w:sz w:val="20"/>
                <w:szCs w:val="20"/>
                <w:lang w:val="en-GB"/>
              </w:rPr>
              <w:t>0.1–1</w:t>
            </w:r>
          </w:p>
        </w:tc>
      </w:tr>
      <w:tr w:rsidR="004E26EC" w:rsidRPr="00C9026A" w:rsidTr="00A63189">
        <w:tc>
          <w:tcPr>
            <w:tcW w:w="2095" w:type="dxa"/>
            <w:vMerge/>
          </w:tcPr>
          <w:p w:rsidR="004E26EC" w:rsidRPr="00C9026A" w:rsidRDefault="004E26EC" w:rsidP="00A57A35">
            <w:pPr>
              <w:pStyle w:val="BodyText"/>
              <w:spacing w:after="0"/>
              <w:jc w:val="left"/>
              <w:rPr>
                <w:rFonts w:ascii="Times New Roman" w:hAnsi="Times New Roman" w:cs="Times New Roman"/>
                <w:sz w:val="20"/>
                <w:szCs w:val="20"/>
                <w:lang w:val="en-GB"/>
              </w:rPr>
            </w:pPr>
          </w:p>
        </w:tc>
        <w:tc>
          <w:tcPr>
            <w:tcW w:w="2125" w:type="dxa"/>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Amphibian</w:t>
            </w:r>
          </w:p>
        </w:tc>
        <w:tc>
          <w:tcPr>
            <w:tcW w:w="2750" w:type="dxa"/>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 xml:space="preserve">Reference </w:t>
            </w:r>
            <w:r w:rsidR="00BD49A3" w:rsidRPr="00C9026A">
              <w:rPr>
                <w:rFonts w:ascii="Times New Roman" w:hAnsi="Times New Roman" w:cs="Times New Roman"/>
                <w:sz w:val="20"/>
                <w:szCs w:val="20"/>
                <w:lang w:val="en-GB"/>
              </w:rPr>
              <w:t>frog</w:t>
            </w:r>
          </w:p>
        </w:tc>
        <w:tc>
          <w:tcPr>
            <w:tcW w:w="1929" w:type="dxa"/>
            <w:vAlign w:val="center"/>
          </w:tcPr>
          <w:p w:rsidR="004E26EC" w:rsidRPr="00C9026A" w:rsidRDefault="004E26EC" w:rsidP="00A57A35">
            <w:pPr>
              <w:pStyle w:val="BodyText"/>
              <w:spacing w:after="0"/>
              <w:jc w:val="center"/>
              <w:rPr>
                <w:rFonts w:ascii="Times New Roman" w:hAnsi="Times New Roman" w:cs="Times New Roman"/>
                <w:sz w:val="20"/>
                <w:szCs w:val="20"/>
                <w:lang w:val="en-GB"/>
              </w:rPr>
            </w:pPr>
            <w:r w:rsidRPr="00C9026A">
              <w:rPr>
                <w:rFonts w:ascii="Times New Roman" w:hAnsi="Times New Roman" w:cs="Times New Roman"/>
                <w:sz w:val="20"/>
                <w:szCs w:val="20"/>
                <w:lang w:val="en-GB"/>
              </w:rPr>
              <w:t>1–10</w:t>
            </w:r>
          </w:p>
        </w:tc>
      </w:tr>
      <w:tr w:rsidR="004E26EC" w:rsidRPr="00C9026A" w:rsidTr="00A63189">
        <w:tc>
          <w:tcPr>
            <w:tcW w:w="2095" w:type="dxa"/>
            <w:vMerge/>
            <w:tcBorders>
              <w:bottom w:val="single" w:sz="4" w:space="0" w:color="auto"/>
            </w:tcBorders>
          </w:tcPr>
          <w:p w:rsidR="004E26EC" w:rsidRPr="00C9026A" w:rsidRDefault="004E26EC" w:rsidP="00A57A35">
            <w:pPr>
              <w:pStyle w:val="BodyText"/>
              <w:spacing w:after="0"/>
              <w:jc w:val="left"/>
              <w:rPr>
                <w:rFonts w:ascii="Times New Roman" w:hAnsi="Times New Roman" w:cs="Times New Roman"/>
                <w:sz w:val="20"/>
                <w:szCs w:val="20"/>
                <w:lang w:val="en-GB"/>
              </w:rPr>
            </w:pPr>
          </w:p>
        </w:tc>
        <w:tc>
          <w:tcPr>
            <w:tcW w:w="2125" w:type="dxa"/>
            <w:tcBorders>
              <w:bottom w:val="single" w:sz="4" w:space="0" w:color="auto"/>
            </w:tcBorders>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Fish</w:t>
            </w:r>
          </w:p>
        </w:tc>
        <w:tc>
          <w:tcPr>
            <w:tcW w:w="2750" w:type="dxa"/>
            <w:tcBorders>
              <w:bottom w:val="single" w:sz="4" w:space="0" w:color="auto"/>
            </w:tcBorders>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 xml:space="preserve">Reference </w:t>
            </w:r>
            <w:r w:rsidR="00BD49A3" w:rsidRPr="00C9026A">
              <w:rPr>
                <w:rFonts w:ascii="Times New Roman" w:hAnsi="Times New Roman" w:cs="Times New Roman"/>
                <w:sz w:val="20"/>
                <w:szCs w:val="20"/>
                <w:lang w:val="en-GB"/>
              </w:rPr>
              <w:t>trout</w:t>
            </w:r>
          </w:p>
        </w:tc>
        <w:tc>
          <w:tcPr>
            <w:tcW w:w="1929" w:type="dxa"/>
            <w:tcBorders>
              <w:bottom w:val="single" w:sz="4" w:space="0" w:color="auto"/>
            </w:tcBorders>
            <w:vAlign w:val="center"/>
          </w:tcPr>
          <w:p w:rsidR="004E26EC" w:rsidRPr="00C9026A" w:rsidRDefault="004E26EC" w:rsidP="00A57A35">
            <w:pPr>
              <w:pStyle w:val="BodyText"/>
              <w:spacing w:after="0"/>
              <w:jc w:val="center"/>
              <w:rPr>
                <w:rFonts w:ascii="Times New Roman" w:hAnsi="Times New Roman" w:cs="Times New Roman"/>
                <w:sz w:val="20"/>
                <w:szCs w:val="20"/>
                <w:lang w:val="en-GB"/>
              </w:rPr>
            </w:pPr>
            <w:r w:rsidRPr="00C9026A">
              <w:rPr>
                <w:rFonts w:ascii="Times New Roman" w:hAnsi="Times New Roman" w:cs="Times New Roman"/>
                <w:sz w:val="20"/>
                <w:szCs w:val="20"/>
                <w:lang w:val="en-GB"/>
              </w:rPr>
              <w:t>1–10</w:t>
            </w:r>
          </w:p>
        </w:tc>
      </w:tr>
      <w:tr w:rsidR="004E26EC" w:rsidRPr="00C9026A" w:rsidTr="00A63189">
        <w:tc>
          <w:tcPr>
            <w:tcW w:w="2095" w:type="dxa"/>
            <w:vMerge w:val="restart"/>
            <w:tcBorders>
              <w:top w:val="single" w:sz="4" w:space="0" w:color="auto"/>
            </w:tcBorders>
            <w:vAlign w:val="center"/>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Marine</w:t>
            </w:r>
          </w:p>
        </w:tc>
        <w:tc>
          <w:tcPr>
            <w:tcW w:w="2125" w:type="dxa"/>
            <w:tcBorders>
              <w:top w:val="single" w:sz="4" w:space="0" w:color="auto"/>
            </w:tcBorders>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Seaweed</w:t>
            </w:r>
          </w:p>
        </w:tc>
        <w:tc>
          <w:tcPr>
            <w:tcW w:w="2750" w:type="dxa"/>
            <w:tcBorders>
              <w:top w:val="single" w:sz="4" w:space="0" w:color="auto"/>
            </w:tcBorders>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 xml:space="preserve">Reference </w:t>
            </w:r>
            <w:r w:rsidR="00BD49A3" w:rsidRPr="00C9026A">
              <w:rPr>
                <w:rFonts w:ascii="Times New Roman" w:hAnsi="Times New Roman" w:cs="Times New Roman"/>
                <w:sz w:val="20"/>
                <w:szCs w:val="20"/>
                <w:lang w:val="en-GB"/>
              </w:rPr>
              <w:t xml:space="preserve">brown </w:t>
            </w:r>
            <w:r w:rsidRPr="00C9026A">
              <w:rPr>
                <w:rFonts w:ascii="Times New Roman" w:hAnsi="Times New Roman" w:cs="Times New Roman"/>
                <w:sz w:val="20"/>
                <w:szCs w:val="20"/>
                <w:lang w:val="en-GB"/>
              </w:rPr>
              <w:t>seaweed</w:t>
            </w:r>
          </w:p>
        </w:tc>
        <w:tc>
          <w:tcPr>
            <w:tcW w:w="1929" w:type="dxa"/>
            <w:tcBorders>
              <w:top w:val="single" w:sz="4" w:space="0" w:color="auto"/>
            </w:tcBorders>
            <w:vAlign w:val="center"/>
          </w:tcPr>
          <w:p w:rsidR="004E26EC" w:rsidRPr="00C9026A" w:rsidRDefault="004E26EC" w:rsidP="00A57A35">
            <w:pPr>
              <w:pStyle w:val="BodyText"/>
              <w:spacing w:after="0"/>
              <w:jc w:val="center"/>
              <w:rPr>
                <w:rFonts w:ascii="Times New Roman" w:hAnsi="Times New Roman" w:cs="Times New Roman"/>
                <w:sz w:val="20"/>
                <w:szCs w:val="20"/>
                <w:lang w:val="en-GB"/>
              </w:rPr>
            </w:pPr>
            <w:r w:rsidRPr="00C9026A">
              <w:rPr>
                <w:rFonts w:ascii="Times New Roman" w:hAnsi="Times New Roman" w:cs="Times New Roman"/>
                <w:sz w:val="20"/>
                <w:szCs w:val="20"/>
                <w:lang w:val="en-GB"/>
              </w:rPr>
              <w:t>1–10</w:t>
            </w:r>
          </w:p>
        </w:tc>
      </w:tr>
      <w:tr w:rsidR="004E26EC" w:rsidRPr="00C9026A" w:rsidTr="00A63189">
        <w:tc>
          <w:tcPr>
            <w:tcW w:w="2095" w:type="dxa"/>
            <w:vMerge/>
          </w:tcPr>
          <w:p w:rsidR="004E26EC" w:rsidRPr="00C9026A" w:rsidRDefault="004E26EC" w:rsidP="00A57A35">
            <w:pPr>
              <w:pStyle w:val="BodyText"/>
              <w:spacing w:after="0"/>
              <w:jc w:val="left"/>
              <w:rPr>
                <w:rFonts w:ascii="Times New Roman" w:hAnsi="Times New Roman" w:cs="Times New Roman"/>
                <w:sz w:val="20"/>
                <w:szCs w:val="20"/>
                <w:lang w:val="en-GB"/>
              </w:rPr>
            </w:pPr>
          </w:p>
        </w:tc>
        <w:tc>
          <w:tcPr>
            <w:tcW w:w="2125" w:type="dxa"/>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Crustacean</w:t>
            </w:r>
          </w:p>
        </w:tc>
        <w:tc>
          <w:tcPr>
            <w:tcW w:w="2750" w:type="dxa"/>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 xml:space="preserve">Reference </w:t>
            </w:r>
            <w:r w:rsidR="00BD49A3" w:rsidRPr="00C9026A">
              <w:rPr>
                <w:rFonts w:ascii="Times New Roman" w:hAnsi="Times New Roman" w:cs="Times New Roman"/>
                <w:sz w:val="20"/>
                <w:szCs w:val="20"/>
                <w:lang w:val="en-GB"/>
              </w:rPr>
              <w:t>crab</w:t>
            </w:r>
          </w:p>
        </w:tc>
        <w:tc>
          <w:tcPr>
            <w:tcW w:w="1929" w:type="dxa"/>
            <w:vAlign w:val="center"/>
          </w:tcPr>
          <w:p w:rsidR="004E26EC" w:rsidRPr="00C9026A" w:rsidRDefault="004E26EC" w:rsidP="00A57A35">
            <w:pPr>
              <w:pStyle w:val="BodyText"/>
              <w:spacing w:after="0"/>
              <w:jc w:val="center"/>
              <w:rPr>
                <w:rFonts w:ascii="Times New Roman" w:hAnsi="Times New Roman" w:cs="Times New Roman"/>
                <w:sz w:val="20"/>
                <w:szCs w:val="20"/>
                <w:lang w:val="en-GB"/>
              </w:rPr>
            </w:pPr>
            <w:r w:rsidRPr="00C9026A">
              <w:rPr>
                <w:rFonts w:ascii="Times New Roman" w:hAnsi="Times New Roman" w:cs="Times New Roman"/>
                <w:sz w:val="20"/>
                <w:szCs w:val="20"/>
                <w:lang w:val="en-GB"/>
              </w:rPr>
              <w:t>10–100</w:t>
            </w:r>
          </w:p>
        </w:tc>
      </w:tr>
      <w:tr w:rsidR="004E26EC" w:rsidRPr="00C9026A" w:rsidTr="00A63189">
        <w:tc>
          <w:tcPr>
            <w:tcW w:w="2095" w:type="dxa"/>
            <w:vMerge/>
            <w:tcBorders>
              <w:bottom w:val="single" w:sz="4" w:space="0" w:color="auto"/>
            </w:tcBorders>
          </w:tcPr>
          <w:p w:rsidR="004E26EC" w:rsidRPr="00C9026A" w:rsidRDefault="004E26EC" w:rsidP="00A57A35">
            <w:pPr>
              <w:pStyle w:val="BodyText"/>
              <w:spacing w:after="0"/>
              <w:jc w:val="left"/>
              <w:rPr>
                <w:rFonts w:ascii="Times New Roman" w:hAnsi="Times New Roman" w:cs="Times New Roman"/>
                <w:sz w:val="20"/>
                <w:szCs w:val="20"/>
                <w:lang w:val="en-GB"/>
              </w:rPr>
            </w:pPr>
          </w:p>
        </w:tc>
        <w:tc>
          <w:tcPr>
            <w:tcW w:w="2125" w:type="dxa"/>
            <w:tcBorders>
              <w:bottom w:val="single" w:sz="4" w:space="0" w:color="auto"/>
            </w:tcBorders>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Fish</w:t>
            </w:r>
          </w:p>
        </w:tc>
        <w:tc>
          <w:tcPr>
            <w:tcW w:w="2750" w:type="dxa"/>
            <w:tcBorders>
              <w:bottom w:val="single" w:sz="4" w:space="0" w:color="auto"/>
            </w:tcBorders>
          </w:tcPr>
          <w:p w:rsidR="004E26EC" w:rsidRPr="00C9026A" w:rsidRDefault="004E26EC" w:rsidP="00A57A35">
            <w:pPr>
              <w:pStyle w:val="BodyText"/>
              <w:spacing w:after="0"/>
              <w:jc w:val="left"/>
              <w:rPr>
                <w:rFonts w:ascii="Times New Roman" w:hAnsi="Times New Roman" w:cs="Times New Roman"/>
                <w:sz w:val="20"/>
                <w:szCs w:val="20"/>
                <w:lang w:val="en-GB"/>
              </w:rPr>
            </w:pPr>
            <w:r w:rsidRPr="00C9026A">
              <w:rPr>
                <w:rFonts w:ascii="Times New Roman" w:hAnsi="Times New Roman" w:cs="Times New Roman"/>
                <w:sz w:val="20"/>
                <w:szCs w:val="20"/>
                <w:lang w:val="en-GB"/>
              </w:rPr>
              <w:t xml:space="preserve">Reference </w:t>
            </w:r>
            <w:r w:rsidR="00BD49A3" w:rsidRPr="00C9026A">
              <w:rPr>
                <w:rFonts w:ascii="Times New Roman" w:hAnsi="Times New Roman" w:cs="Times New Roman"/>
                <w:sz w:val="20"/>
                <w:szCs w:val="20"/>
                <w:lang w:val="en-GB"/>
              </w:rPr>
              <w:t>flatfish</w:t>
            </w:r>
          </w:p>
        </w:tc>
        <w:tc>
          <w:tcPr>
            <w:tcW w:w="1929" w:type="dxa"/>
            <w:tcBorders>
              <w:bottom w:val="single" w:sz="4" w:space="0" w:color="auto"/>
            </w:tcBorders>
            <w:vAlign w:val="center"/>
          </w:tcPr>
          <w:p w:rsidR="004E26EC" w:rsidRPr="00C9026A" w:rsidRDefault="004E26EC" w:rsidP="00A57A35">
            <w:pPr>
              <w:pStyle w:val="BodyText"/>
              <w:spacing w:after="0"/>
              <w:jc w:val="center"/>
              <w:rPr>
                <w:rFonts w:ascii="Times New Roman" w:hAnsi="Times New Roman" w:cs="Times New Roman"/>
                <w:sz w:val="20"/>
                <w:szCs w:val="20"/>
                <w:lang w:val="en-GB"/>
              </w:rPr>
            </w:pPr>
            <w:r w:rsidRPr="00C9026A">
              <w:rPr>
                <w:rFonts w:ascii="Times New Roman" w:hAnsi="Times New Roman" w:cs="Times New Roman"/>
                <w:sz w:val="20"/>
                <w:szCs w:val="20"/>
                <w:lang w:val="en-GB"/>
              </w:rPr>
              <w:t>1–10</w:t>
            </w:r>
          </w:p>
        </w:tc>
      </w:tr>
    </w:tbl>
    <w:p w:rsidR="004E26EC" w:rsidRPr="00C9026A" w:rsidRDefault="004E26EC" w:rsidP="00A57A35">
      <w:pPr>
        <w:pStyle w:val="AnnexHeading3"/>
        <w:numPr>
          <w:ilvl w:val="0"/>
          <w:numId w:val="0"/>
        </w:numPr>
      </w:pPr>
    </w:p>
    <w:p w:rsidR="004E26EC" w:rsidRPr="00C9026A" w:rsidRDefault="00863C16" w:rsidP="00A57A35">
      <w:pPr>
        <w:pStyle w:val="AnnexHeading3"/>
      </w:pPr>
      <w:r w:rsidRPr="00C9026A">
        <w:t xml:space="preserve">In order to </w:t>
      </w:r>
      <w:r w:rsidR="005F35A4">
        <w:t>assess</w:t>
      </w:r>
      <w:r w:rsidR="005F35A4" w:rsidRPr="00C9026A">
        <w:t xml:space="preserve"> </w:t>
      </w:r>
      <w:r w:rsidRPr="00C9026A">
        <w:t>the</w:t>
      </w:r>
      <w:r w:rsidR="005F35A4">
        <w:t>ir</w:t>
      </w:r>
      <w:r w:rsidRPr="00C9026A">
        <w:t xml:space="preserve"> exposure conditions, </w:t>
      </w:r>
      <w:r w:rsidR="004E26EC" w:rsidRPr="00C9026A">
        <w:t xml:space="preserve">the </w:t>
      </w:r>
      <w:r w:rsidRPr="00C9026A">
        <w:t xml:space="preserve">selected </w:t>
      </w:r>
      <w:r w:rsidR="004E26EC" w:rsidRPr="00C9026A">
        <w:t xml:space="preserve">reference animals and plants </w:t>
      </w:r>
      <w:r w:rsidR="002C2551">
        <w:t xml:space="preserve">need to be </w:t>
      </w:r>
      <w:r w:rsidR="004E26EC" w:rsidRPr="00C9026A">
        <w:t>located in a reference area around the source</w:t>
      </w:r>
      <w:r w:rsidR="00D24AA8">
        <w:t>,</w:t>
      </w:r>
      <w:r w:rsidR="004E26EC" w:rsidRPr="00C9026A">
        <w:t xml:space="preserve"> normally around the release point</w:t>
      </w:r>
      <w:r w:rsidR="00D24AA8">
        <w:t>,</w:t>
      </w:r>
      <w:r w:rsidR="004E26EC" w:rsidRPr="00C9026A">
        <w:t xml:space="preserve"> where the highest environmental activity concentrations typically occur. The dose rates characteristic for this group </w:t>
      </w:r>
      <w:r w:rsidR="00D24AA8">
        <w:t>are</w:t>
      </w:r>
      <w:r w:rsidR="004E26EC" w:rsidRPr="00C9026A">
        <w:t xml:space="preserve"> estimated using, for example, the average activity concentrations within this </w:t>
      </w:r>
      <w:r w:rsidR="00145055" w:rsidRPr="00C9026A">
        <w:t xml:space="preserve">reference </w:t>
      </w:r>
      <w:r w:rsidR="004E26EC" w:rsidRPr="00C9026A">
        <w:t xml:space="preserve">area. Although ecological characteristics may </w:t>
      </w:r>
      <w:r w:rsidR="00577EF0">
        <w:t>differ</w:t>
      </w:r>
      <w:r w:rsidR="004E26EC" w:rsidRPr="00C9026A">
        <w:t xml:space="preserve">, in general, </w:t>
      </w:r>
      <w:r w:rsidR="00577EF0">
        <w:t xml:space="preserve">an </w:t>
      </w:r>
      <w:r w:rsidR="004E26EC" w:rsidRPr="00C9026A">
        <w:t>area surrounding the effluent release point in the order of 100–400 km</w:t>
      </w:r>
      <w:r w:rsidR="004E26EC" w:rsidRPr="00C9026A">
        <w:rPr>
          <w:vertAlign w:val="superscript"/>
        </w:rPr>
        <w:t>2</w:t>
      </w:r>
      <w:r w:rsidR="004E26EC" w:rsidRPr="00C9026A">
        <w:t xml:space="preserve"> could be </w:t>
      </w:r>
      <w:r w:rsidR="00F30CB1">
        <w:t>used</w:t>
      </w:r>
      <w:r w:rsidR="00F30CB1" w:rsidRPr="00C9026A">
        <w:t xml:space="preserve"> </w:t>
      </w:r>
      <w:r w:rsidR="004E26EC" w:rsidRPr="00C9026A">
        <w:t xml:space="preserve">for most exposure scenarios relating to normal operation of </w:t>
      </w:r>
      <w:r w:rsidR="00BD49A3" w:rsidRPr="00C9026A">
        <w:t>activities or facilities</w:t>
      </w:r>
      <w:r w:rsidR="00F440A5" w:rsidRPr="00C9026A">
        <w:rPr>
          <w:rStyle w:val="FootnoteReference"/>
          <w:lang w:val="en-GB"/>
        </w:rPr>
        <w:footnoteReference w:id="42"/>
      </w:r>
      <w:r w:rsidR="004E26EC" w:rsidRPr="00C9026A">
        <w:t>.</w:t>
      </w:r>
    </w:p>
    <w:p w:rsidR="004E26EC" w:rsidRPr="00C9026A" w:rsidRDefault="004E26EC" w:rsidP="00A57A35">
      <w:pPr>
        <w:pStyle w:val="AnnexHeading4"/>
      </w:pPr>
      <w:r w:rsidRPr="00C9026A">
        <w:t xml:space="preserve">Assessment of dose rates to </w:t>
      </w:r>
      <w:r w:rsidR="000F43B0">
        <w:t>reference</w:t>
      </w:r>
      <w:r w:rsidR="000F43B0" w:rsidRPr="00C9026A">
        <w:t xml:space="preserve"> </w:t>
      </w:r>
      <w:r w:rsidR="009C04D8" w:rsidRPr="00C9026A">
        <w:t xml:space="preserve">animals </w:t>
      </w:r>
      <w:r w:rsidRPr="00C9026A">
        <w:t xml:space="preserve">and </w:t>
      </w:r>
      <w:r w:rsidR="009C04D8" w:rsidRPr="00C9026A">
        <w:t>plants</w:t>
      </w:r>
    </w:p>
    <w:p w:rsidR="004E26EC" w:rsidRPr="00C9026A" w:rsidRDefault="004E26EC" w:rsidP="00A57A35">
      <w:pPr>
        <w:pStyle w:val="AnnexHeading3"/>
        <w:widowControl/>
      </w:pPr>
      <w:r w:rsidRPr="00C9026A">
        <w:t xml:space="preserve">Dose rates due to exposure via internal and external pathways </w:t>
      </w:r>
      <w:r w:rsidR="00577EF0">
        <w:t xml:space="preserve">are </w:t>
      </w:r>
      <w:r w:rsidRPr="00C9026A">
        <w:t xml:space="preserve">calculated for the selected </w:t>
      </w:r>
      <w:r w:rsidR="000F43B0">
        <w:t xml:space="preserve">reference </w:t>
      </w:r>
      <w:r w:rsidR="009C04D8" w:rsidRPr="00C9026A">
        <w:t xml:space="preserve">animals </w:t>
      </w:r>
      <w:r w:rsidRPr="00C9026A">
        <w:t xml:space="preserve">and </w:t>
      </w:r>
      <w:r w:rsidR="009C04D8" w:rsidRPr="00C9026A">
        <w:t xml:space="preserve">plants </w:t>
      </w:r>
      <w:r w:rsidRPr="00C9026A">
        <w:t>located in the reference area around the source</w:t>
      </w:r>
      <w:r w:rsidR="002C2551">
        <w:t>,</w:t>
      </w:r>
      <w:r w:rsidRPr="00C9026A">
        <w:t xml:space="preserve"> </w:t>
      </w:r>
      <w:r w:rsidR="00577EF0">
        <w:t xml:space="preserve">as described in </w:t>
      </w:r>
      <w:r w:rsidR="00577EF0" w:rsidRPr="00F7161F">
        <w:t>para. I-17</w:t>
      </w:r>
      <w:r w:rsidRPr="00F7161F">
        <w:t>.</w:t>
      </w:r>
      <w:r w:rsidRPr="00C9026A">
        <w:t xml:space="preserve"> The absorbed dose rate </w:t>
      </w:r>
      <w:r w:rsidR="002C2551">
        <w:t>can</w:t>
      </w:r>
      <w:r w:rsidR="002C2551" w:rsidRPr="00C9026A">
        <w:t xml:space="preserve"> </w:t>
      </w:r>
      <w:r w:rsidRPr="00C9026A">
        <w:t xml:space="preserve">generally be estimated by using environmental transfer models based on concentration factors </w:t>
      </w:r>
      <w:r w:rsidR="00F30CB1">
        <w:t xml:space="preserve">from an environmental </w:t>
      </w:r>
      <w:r w:rsidRPr="00C9026A">
        <w:t xml:space="preserve">medium to biota and the corresponding </w:t>
      </w:r>
      <w:proofErr w:type="spellStart"/>
      <w:r w:rsidRPr="00C9026A">
        <w:t>dosimetric</w:t>
      </w:r>
      <w:proofErr w:type="spellEnd"/>
      <w:r w:rsidRPr="00C9026A">
        <w:t xml:space="preserve"> factors</w:t>
      </w:r>
      <w:r w:rsidR="005C79B6" w:rsidRPr="00C9026A">
        <w:t xml:space="preserve"> for internal and external exposures</w:t>
      </w:r>
      <w:r w:rsidRPr="00C9026A">
        <w:t>.</w:t>
      </w:r>
      <w:r w:rsidR="00272E6D" w:rsidRPr="00C9026A">
        <w:t xml:space="preserve"> </w:t>
      </w:r>
      <w:r w:rsidR="00577EF0">
        <w:t>References</w:t>
      </w:r>
      <w:r w:rsidRPr="00C9026A">
        <w:t xml:space="preserve"> [</w:t>
      </w:r>
      <w:r w:rsidR="00F46702" w:rsidRPr="00C9026A">
        <w:t>I-10</w:t>
      </w:r>
      <w:r w:rsidRPr="00C9026A">
        <w:t>] and [</w:t>
      </w:r>
      <w:r w:rsidR="00F46702" w:rsidRPr="00C9026A">
        <w:t>I-11</w:t>
      </w:r>
      <w:r w:rsidRPr="00C9026A">
        <w:t>] provide environmental media to biota concentration ratios for different flora and fauna</w:t>
      </w:r>
      <w:r w:rsidR="005C79B6" w:rsidRPr="00C9026A">
        <w:t xml:space="preserve"> and </w:t>
      </w:r>
      <w:r w:rsidR="00577EF0">
        <w:t>Ref.</w:t>
      </w:r>
      <w:r w:rsidR="005C79B6" w:rsidRPr="00C9026A">
        <w:t xml:space="preserve"> [</w:t>
      </w:r>
      <w:r w:rsidR="00F46702" w:rsidRPr="00C9026A">
        <w:t>I-1</w:t>
      </w:r>
      <w:r w:rsidR="005C79B6" w:rsidRPr="00C9026A">
        <w:t xml:space="preserve">] provides </w:t>
      </w:r>
      <w:proofErr w:type="spellStart"/>
      <w:r w:rsidR="005C79B6" w:rsidRPr="00C9026A">
        <w:t>dosimetric</w:t>
      </w:r>
      <w:proofErr w:type="spellEnd"/>
      <w:r w:rsidR="005C79B6" w:rsidRPr="00C9026A">
        <w:t xml:space="preserve"> factors f</w:t>
      </w:r>
      <w:r w:rsidRPr="00C9026A">
        <w:t xml:space="preserve">or the estimation of dose rates to </w:t>
      </w:r>
      <w:r w:rsidR="00E21685" w:rsidRPr="00C9026A">
        <w:t>re</w:t>
      </w:r>
      <w:r w:rsidR="001D45C5">
        <w:t>ference</w:t>
      </w:r>
      <w:r w:rsidR="00E21685" w:rsidRPr="00C9026A">
        <w:t xml:space="preserve"> animals and plants</w:t>
      </w:r>
      <w:r w:rsidR="005C79B6" w:rsidRPr="00C9026A">
        <w:rPr>
          <w:rStyle w:val="FootnoteReference"/>
        </w:rPr>
        <w:footnoteReference w:id="43"/>
      </w:r>
      <w:r w:rsidRPr="00C9026A">
        <w:t>.</w:t>
      </w:r>
      <w:r w:rsidR="005F35A4">
        <w:t xml:space="preserve"> </w:t>
      </w:r>
    </w:p>
    <w:p w:rsidR="004E26EC" w:rsidRPr="00C9026A" w:rsidRDefault="004E26EC" w:rsidP="00A57A35">
      <w:pPr>
        <w:pStyle w:val="AnnexHeading4"/>
      </w:pPr>
      <w:r w:rsidRPr="00C9026A">
        <w:t xml:space="preserve">Comparison of </w:t>
      </w:r>
      <w:r w:rsidR="00C0646F">
        <w:t xml:space="preserve">estimated </w:t>
      </w:r>
      <w:r w:rsidRPr="00C9026A">
        <w:t xml:space="preserve">dose rates with </w:t>
      </w:r>
      <w:r w:rsidR="001D45C5">
        <w:t xml:space="preserve">derived consideration </w:t>
      </w:r>
      <w:r w:rsidRPr="00C9026A">
        <w:t>reference levels</w:t>
      </w:r>
    </w:p>
    <w:p w:rsidR="004E26EC" w:rsidRPr="00C9026A" w:rsidRDefault="004E26EC" w:rsidP="00A57A35">
      <w:pPr>
        <w:pStyle w:val="AnnexHeading3"/>
      </w:pPr>
      <w:r w:rsidRPr="00C9026A">
        <w:t xml:space="preserve">In a generic assessment as presented in this </w:t>
      </w:r>
      <w:r w:rsidR="0061079A">
        <w:t>a</w:t>
      </w:r>
      <w:r w:rsidRPr="00C9026A">
        <w:t xml:space="preserve">nnex, if the dose rates to the </w:t>
      </w:r>
      <w:r w:rsidR="005953E0" w:rsidRPr="00C9026A">
        <w:t xml:space="preserve">selected </w:t>
      </w:r>
      <w:r w:rsidR="00145055" w:rsidRPr="00C9026A">
        <w:t xml:space="preserve">representative animals </w:t>
      </w:r>
      <w:r w:rsidR="00863C16" w:rsidRPr="00C9026A">
        <w:t xml:space="preserve">and </w:t>
      </w:r>
      <w:r w:rsidR="00145055" w:rsidRPr="00C9026A">
        <w:t xml:space="preserve">plants </w:t>
      </w:r>
      <w:r w:rsidRPr="00C9026A">
        <w:t>are below the lower boundary of the relevant derived consideration reference level</w:t>
      </w:r>
      <w:r w:rsidR="00577EF0">
        <w:t>s</w:t>
      </w:r>
      <w:r w:rsidRPr="00C9026A">
        <w:t xml:space="preserve">, </w:t>
      </w:r>
      <w:r w:rsidR="00577EF0">
        <w:t>such as those</w:t>
      </w:r>
      <w:r w:rsidR="00577EF0" w:rsidRPr="00C9026A">
        <w:t xml:space="preserve"> presented in Table I-1</w:t>
      </w:r>
      <w:r w:rsidR="00577EF0" w:rsidRPr="00C9026A">
        <w:rPr>
          <w:rStyle w:val="FootnoteReference"/>
        </w:rPr>
        <w:footnoteReference w:id="44"/>
      </w:r>
      <w:r w:rsidR="00577EF0">
        <w:t xml:space="preserve">, </w:t>
      </w:r>
      <w:r w:rsidR="001D45C5">
        <w:t xml:space="preserve">the </w:t>
      </w:r>
      <w:r w:rsidRPr="00C9026A">
        <w:t>impact on population</w:t>
      </w:r>
      <w:r w:rsidR="00577EF0">
        <w:t>s</w:t>
      </w:r>
      <w:r w:rsidRPr="00C9026A">
        <w:t xml:space="preserve"> of flora and fauna c</w:t>
      </w:r>
      <w:r w:rsidR="001D45C5">
        <w:t>an</w:t>
      </w:r>
      <w:r w:rsidRPr="00C9026A">
        <w:t xml:space="preserve"> be considered negligible and the level of protection of </w:t>
      </w:r>
      <w:r w:rsidR="008B1640">
        <w:t>flora and fauna</w:t>
      </w:r>
      <w:r w:rsidR="002C2551" w:rsidRPr="00C9026A">
        <w:t xml:space="preserve"> </w:t>
      </w:r>
      <w:r w:rsidRPr="00C9026A">
        <w:t xml:space="preserve">can be considered adequate. In the case where the estimated dose rates are within the </w:t>
      </w:r>
      <w:r w:rsidR="001D45C5">
        <w:t xml:space="preserve">lower and upper boundary of the </w:t>
      </w:r>
      <w:r w:rsidRPr="00C9026A">
        <w:t>bands</w:t>
      </w:r>
      <w:r w:rsidR="00577EF0">
        <w:t>,</w:t>
      </w:r>
      <w:r w:rsidRPr="00C9026A">
        <w:t xml:space="preserve"> the </w:t>
      </w:r>
      <w:r w:rsidR="001D45C5">
        <w:t xml:space="preserve">level of protection </w:t>
      </w:r>
      <w:r w:rsidRPr="00C9026A">
        <w:t xml:space="preserve">can still be </w:t>
      </w:r>
      <w:r w:rsidR="001D45C5">
        <w:t xml:space="preserve">considered </w:t>
      </w:r>
      <w:r w:rsidRPr="00C9026A">
        <w:t xml:space="preserve">acceptable, but the regulatory body could decide whether additional considerations (i.e. improvement in the level of details of the assessment) or practical </w:t>
      </w:r>
      <w:proofErr w:type="spellStart"/>
      <w:r w:rsidRPr="00C9026A">
        <w:t>mitigat</w:t>
      </w:r>
      <w:r w:rsidR="00577EF0">
        <w:t>ory</w:t>
      </w:r>
      <w:proofErr w:type="spellEnd"/>
      <w:r w:rsidRPr="00C9026A">
        <w:t xml:space="preserve"> measures would be needed, bearing in mind that derived consideration reference levels are reference points, not limits. If the resulting dose rates are above the upper boundary of the relevant derived consideration reference level band, the regulatory body </w:t>
      </w:r>
      <w:r w:rsidR="00577EF0">
        <w:t>would need to</w:t>
      </w:r>
      <w:r w:rsidR="00577EF0" w:rsidRPr="00C9026A">
        <w:t xml:space="preserve"> </w:t>
      </w:r>
      <w:r w:rsidRPr="00C9026A">
        <w:t xml:space="preserve">decide if more control </w:t>
      </w:r>
      <w:r w:rsidR="002C2551">
        <w:t>of</w:t>
      </w:r>
      <w:r w:rsidR="002C2551" w:rsidRPr="00C9026A">
        <w:t xml:space="preserve"> </w:t>
      </w:r>
      <w:r w:rsidRPr="00C9026A">
        <w:t>the source or further protection efforts</w:t>
      </w:r>
      <w:r w:rsidR="001D45C5">
        <w:t xml:space="preserve"> need to be considered</w:t>
      </w:r>
      <w:r w:rsidRPr="00C9026A">
        <w:t>.</w:t>
      </w:r>
      <w:r w:rsidR="00145055" w:rsidRPr="00C9026A">
        <w:t xml:space="preserve"> </w:t>
      </w:r>
    </w:p>
    <w:p w:rsidR="00EE7EF0" w:rsidRPr="00C9026A" w:rsidRDefault="00EE7EF0" w:rsidP="00A57A35">
      <w:pPr>
        <w:pStyle w:val="BodyText"/>
      </w:pPr>
    </w:p>
    <w:bookmarkEnd w:id="100"/>
    <w:p w:rsidR="00E30B41" w:rsidRPr="00C9026A" w:rsidRDefault="00E30B41" w:rsidP="00A57A35">
      <w:pPr>
        <w:pStyle w:val="BodyText"/>
        <w:rPr>
          <w:lang w:val="en-GB"/>
        </w:rPr>
        <w:sectPr w:rsidR="00E30B41" w:rsidRPr="00C9026A" w:rsidSect="00DD1E38">
          <w:type w:val="oddPage"/>
          <w:pgSz w:w="11907" w:h="16840" w:code="9"/>
          <w:pgMar w:top="1134" w:right="1418" w:bottom="1531" w:left="1418" w:header="709" w:footer="709" w:gutter="0"/>
          <w:cols w:space="720"/>
          <w:docGrid w:linePitch="360"/>
        </w:sectPr>
      </w:pPr>
    </w:p>
    <w:p w:rsidR="003465B6" w:rsidRPr="00BD0D6A" w:rsidRDefault="003465B6" w:rsidP="00A57A35">
      <w:pPr>
        <w:pStyle w:val="ReferenceHeading"/>
        <w:spacing w:after="480"/>
        <w:rPr>
          <w:sz w:val="28"/>
          <w:szCs w:val="28"/>
          <w:lang w:val="en-GB"/>
        </w:rPr>
      </w:pPr>
      <w:bookmarkStart w:id="101" w:name="_Toc447613504"/>
      <w:bookmarkStart w:id="102" w:name="_Toc450204027"/>
      <w:r w:rsidRPr="00BD0D6A">
        <w:rPr>
          <w:sz w:val="28"/>
          <w:szCs w:val="28"/>
          <w:lang w:val="en-GB"/>
        </w:rPr>
        <w:lastRenderedPageBreak/>
        <w:t>REFERENCES</w:t>
      </w:r>
      <w:r w:rsidR="0014688D" w:rsidRPr="00BD0D6A">
        <w:rPr>
          <w:sz w:val="28"/>
          <w:szCs w:val="28"/>
          <w:lang w:val="en-GB"/>
        </w:rPr>
        <w:t xml:space="preserve"> TO ANNEX </w:t>
      </w:r>
      <w:proofErr w:type="gramStart"/>
      <w:r w:rsidR="0014688D" w:rsidRPr="00BD0D6A">
        <w:rPr>
          <w:sz w:val="28"/>
          <w:szCs w:val="28"/>
          <w:lang w:val="en-GB"/>
        </w:rPr>
        <w:t>I</w:t>
      </w:r>
      <w:bookmarkEnd w:id="101"/>
      <w:bookmarkEnd w:id="102"/>
      <w:proofErr w:type="gramEnd"/>
    </w:p>
    <w:tbl>
      <w:tblPr>
        <w:tblW w:w="0" w:type="auto"/>
        <w:tblLayout w:type="fixed"/>
        <w:tblLook w:val="0000" w:firstRow="0" w:lastRow="0" w:firstColumn="0" w:lastColumn="0" w:noHBand="0" w:noVBand="0"/>
      </w:tblPr>
      <w:tblGrid>
        <w:gridCol w:w="988"/>
        <w:gridCol w:w="8192"/>
      </w:tblGrid>
      <w:tr w:rsidR="00E30B41" w:rsidRPr="00C9026A" w:rsidTr="00310ADD">
        <w:trPr>
          <w:cantSplit/>
        </w:trPr>
        <w:tc>
          <w:tcPr>
            <w:tcW w:w="988" w:type="dxa"/>
          </w:tcPr>
          <w:p w:rsidR="00E30B41" w:rsidRPr="00C9026A" w:rsidRDefault="00E30B41" w:rsidP="00A57A35">
            <w:pPr>
              <w:pStyle w:val="IAEAReferenceText"/>
              <w:ind w:right="-221"/>
              <w:rPr>
                <w:lang w:val="en-GB"/>
              </w:rPr>
            </w:pPr>
            <w:r w:rsidRPr="00C9026A">
              <w:rPr>
                <w:lang w:val="en-GB"/>
              </w:rPr>
              <w:t>[</w:t>
            </w:r>
            <w:r w:rsidR="00310ADD" w:rsidRPr="00C9026A">
              <w:rPr>
                <w:lang w:val="en-GB"/>
              </w:rPr>
              <w:t>I-1</w:t>
            </w:r>
            <w:r w:rsidRPr="00C9026A">
              <w:rPr>
                <w:lang w:val="en-GB"/>
              </w:rPr>
              <w:t>]</w:t>
            </w:r>
          </w:p>
        </w:tc>
        <w:tc>
          <w:tcPr>
            <w:tcW w:w="8192" w:type="dxa"/>
          </w:tcPr>
          <w:p w:rsidR="00E30B41" w:rsidRPr="00C9026A" w:rsidRDefault="00E30B41" w:rsidP="00A57A35">
            <w:pPr>
              <w:pStyle w:val="IAEAReferenceText"/>
              <w:spacing w:line="276" w:lineRule="auto"/>
              <w:ind w:right="-108"/>
              <w:contextualSpacing/>
              <w:rPr>
                <w:lang w:val="en-GB"/>
              </w:rPr>
            </w:pPr>
            <w:r w:rsidRPr="00C9026A">
              <w:rPr>
                <w:lang w:val="en-GB"/>
              </w:rPr>
              <w:t xml:space="preserve">INTERNATIONAL COMMISSION ON RADIOLOGICAL PROTECTION, Environmental Protection: the Concept and Use of Reference Animals and Plants, </w:t>
            </w:r>
            <w:r w:rsidR="00A656C5" w:rsidRPr="00C9026A">
              <w:rPr>
                <w:lang w:val="en-GB"/>
              </w:rPr>
              <w:t>ICRP</w:t>
            </w:r>
            <w:r w:rsidRPr="00C9026A">
              <w:rPr>
                <w:lang w:val="en-GB"/>
              </w:rPr>
              <w:t xml:space="preserve"> Publication 108, Elsevier (2008).</w:t>
            </w:r>
          </w:p>
        </w:tc>
      </w:tr>
      <w:tr w:rsidR="00E30B41" w:rsidRPr="00C9026A" w:rsidTr="00310ADD">
        <w:trPr>
          <w:cantSplit/>
        </w:trPr>
        <w:tc>
          <w:tcPr>
            <w:tcW w:w="988" w:type="dxa"/>
          </w:tcPr>
          <w:p w:rsidR="00E30B41" w:rsidRPr="00C9026A" w:rsidRDefault="00E30B41" w:rsidP="00A57A35">
            <w:pPr>
              <w:pStyle w:val="IAEAReferenceText"/>
              <w:spacing w:line="276" w:lineRule="auto"/>
              <w:ind w:right="-221"/>
              <w:contextualSpacing/>
              <w:rPr>
                <w:lang w:val="en-GB"/>
              </w:rPr>
            </w:pPr>
            <w:r w:rsidRPr="00C9026A">
              <w:rPr>
                <w:lang w:val="en-GB"/>
              </w:rPr>
              <w:t>[</w:t>
            </w:r>
            <w:r w:rsidR="00310ADD" w:rsidRPr="00C9026A">
              <w:rPr>
                <w:lang w:val="en-GB"/>
              </w:rPr>
              <w:t>I-2</w:t>
            </w:r>
            <w:r w:rsidRPr="00C9026A">
              <w:rPr>
                <w:lang w:val="en-GB"/>
              </w:rPr>
              <w:t>]</w:t>
            </w:r>
          </w:p>
        </w:tc>
        <w:tc>
          <w:tcPr>
            <w:tcW w:w="8192" w:type="dxa"/>
          </w:tcPr>
          <w:p w:rsidR="00E30B41" w:rsidRPr="00C9026A" w:rsidRDefault="00E30B41" w:rsidP="00A57A35">
            <w:pPr>
              <w:pStyle w:val="IAEAReferenceText"/>
              <w:spacing w:line="276" w:lineRule="auto"/>
              <w:ind w:right="-108"/>
              <w:contextualSpacing/>
              <w:rPr>
                <w:lang w:val="en-GB"/>
              </w:rPr>
            </w:pPr>
            <w:r w:rsidRPr="00C9026A">
              <w:rPr>
                <w:lang w:val="en-GB"/>
              </w:rPr>
              <w:t xml:space="preserve">INTERNATIONAL COMMISSION ON RADIOLOGICAL PROTECTION, Protection of the Environment under Different Exposure Situations, </w:t>
            </w:r>
            <w:r w:rsidR="00A656C5" w:rsidRPr="00C9026A">
              <w:rPr>
                <w:lang w:val="en-GB"/>
              </w:rPr>
              <w:t>ICRP</w:t>
            </w:r>
            <w:r w:rsidRPr="00C9026A">
              <w:rPr>
                <w:lang w:val="en-GB"/>
              </w:rPr>
              <w:t xml:space="preserve"> Publication 124,</w:t>
            </w:r>
            <w:r w:rsidR="00D942A3" w:rsidRPr="00C9026A">
              <w:rPr>
                <w:lang w:val="en-GB"/>
              </w:rPr>
              <w:t xml:space="preserve"> Ann. ICRP 43(1)</w:t>
            </w:r>
            <w:r w:rsidRPr="00C9026A">
              <w:rPr>
                <w:lang w:val="en-GB"/>
              </w:rPr>
              <w:t xml:space="preserve"> </w:t>
            </w:r>
            <w:r w:rsidR="00D942A3" w:rsidRPr="00C9026A">
              <w:rPr>
                <w:lang w:val="en-GB"/>
              </w:rPr>
              <w:t>SAGE, UK</w:t>
            </w:r>
            <w:r w:rsidRPr="00C9026A">
              <w:rPr>
                <w:lang w:val="en-GB"/>
              </w:rPr>
              <w:t xml:space="preserve"> (</w:t>
            </w:r>
            <w:r w:rsidR="00D942A3" w:rsidRPr="00C9026A">
              <w:rPr>
                <w:lang w:val="en-GB"/>
              </w:rPr>
              <w:t>2014</w:t>
            </w:r>
            <w:r w:rsidRPr="00C9026A">
              <w:rPr>
                <w:lang w:val="en-GB"/>
              </w:rPr>
              <w:t>).</w:t>
            </w:r>
          </w:p>
        </w:tc>
      </w:tr>
      <w:tr w:rsidR="00AA6B58" w:rsidRPr="00C9026A" w:rsidTr="00310ADD">
        <w:trPr>
          <w:cantSplit/>
        </w:trPr>
        <w:tc>
          <w:tcPr>
            <w:tcW w:w="988" w:type="dxa"/>
          </w:tcPr>
          <w:p w:rsidR="00AA6B58" w:rsidRPr="00C9026A" w:rsidRDefault="00AA6B58" w:rsidP="00A57A35">
            <w:pPr>
              <w:pStyle w:val="IAEAReferenceText"/>
              <w:rPr>
                <w:lang w:val="en-GB"/>
              </w:rPr>
            </w:pPr>
            <w:r w:rsidRPr="00C9026A">
              <w:rPr>
                <w:lang w:val="en-GB"/>
              </w:rPr>
              <w:t>[</w:t>
            </w:r>
            <w:r w:rsidR="00310ADD" w:rsidRPr="00C9026A">
              <w:rPr>
                <w:lang w:val="en-GB"/>
              </w:rPr>
              <w:t>I-3</w:t>
            </w:r>
            <w:r w:rsidRPr="00C9026A">
              <w:rPr>
                <w:lang w:val="en-GB"/>
              </w:rPr>
              <w:t>]</w:t>
            </w:r>
          </w:p>
        </w:tc>
        <w:tc>
          <w:tcPr>
            <w:tcW w:w="8192" w:type="dxa"/>
          </w:tcPr>
          <w:p w:rsidR="00AA6B58" w:rsidRPr="00C9026A" w:rsidRDefault="009628C4" w:rsidP="00A57A35">
            <w:pPr>
              <w:pStyle w:val="BodyText"/>
              <w:spacing w:after="0"/>
              <w:ind w:right="-108"/>
            </w:pPr>
            <w:r w:rsidRPr="00C9026A">
              <w:t xml:space="preserve">UNITED STATES DEPARTMENT OF ENERGY, </w:t>
            </w:r>
            <w:r w:rsidR="00AA6B58" w:rsidRPr="00C9026A">
              <w:rPr>
                <w:iCs/>
              </w:rPr>
              <w:t>A graded approach for evaluating radiation doses to aquatic and terrestrial biota</w:t>
            </w:r>
            <w:r w:rsidR="00AA6B58" w:rsidRPr="00C9026A">
              <w:t>, DOE Standard, DOE-STD-1153-2002</w:t>
            </w:r>
            <w:r w:rsidR="007B0B12">
              <w:t>,</w:t>
            </w:r>
            <w:r w:rsidRPr="00C9026A">
              <w:t xml:space="preserve"> US DoE (2002)</w:t>
            </w:r>
            <w:r w:rsidR="00AA6B58" w:rsidRPr="00C9026A">
              <w:t>.</w:t>
            </w:r>
          </w:p>
        </w:tc>
      </w:tr>
      <w:tr w:rsidR="00AA6B58" w:rsidRPr="00C9026A" w:rsidTr="00310ADD">
        <w:trPr>
          <w:cantSplit/>
        </w:trPr>
        <w:tc>
          <w:tcPr>
            <w:tcW w:w="988" w:type="dxa"/>
          </w:tcPr>
          <w:p w:rsidR="00AA6B58" w:rsidRPr="00C9026A" w:rsidRDefault="00AA6B58" w:rsidP="00A57A35">
            <w:pPr>
              <w:pStyle w:val="IAEAReferenceText"/>
              <w:rPr>
                <w:lang w:val="en-GB"/>
              </w:rPr>
            </w:pPr>
            <w:r w:rsidRPr="00C9026A">
              <w:rPr>
                <w:lang w:val="en-GB"/>
              </w:rPr>
              <w:t>[</w:t>
            </w:r>
            <w:r w:rsidR="00310ADD" w:rsidRPr="00C9026A">
              <w:rPr>
                <w:lang w:val="en-GB"/>
              </w:rPr>
              <w:t>I-4</w:t>
            </w:r>
            <w:r w:rsidRPr="00C9026A">
              <w:rPr>
                <w:lang w:val="en-GB"/>
              </w:rPr>
              <w:t>]</w:t>
            </w:r>
          </w:p>
        </w:tc>
        <w:tc>
          <w:tcPr>
            <w:tcW w:w="8192" w:type="dxa"/>
          </w:tcPr>
          <w:p w:rsidR="00AA6B58" w:rsidRPr="00C9026A" w:rsidRDefault="00093152" w:rsidP="00A57A35">
            <w:pPr>
              <w:pStyle w:val="BodyText"/>
              <w:spacing w:after="0"/>
              <w:ind w:right="-108"/>
            </w:pPr>
            <w:r w:rsidRPr="00C9026A">
              <w:t xml:space="preserve">EUROPEAN COMMISSION, </w:t>
            </w:r>
            <w:r w:rsidR="00AA6B58" w:rsidRPr="00C9026A">
              <w:rPr>
                <w:iCs/>
              </w:rPr>
              <w:t>Integrated approach to the assessment and management of environmental risks from ionizing contaminants</w:t>
            </w:r>
            <w:r w:rsidRPr="00C9026A">
              <w:rPr>
                <w:iCs/>
              </w:rPr>
              <w:t xml:space="preserve"> </w:t>
            </w:r>
            <w:r w:rsidRPr="00C9026A">
              <w:t>EC EURATOM, 2004 ERICA Project</w:t>
            </w:r>
            <w:r w:rsidR="001E390A">
              <w:t xml:space="preserve"> (2004)</w:t>
            </w:r>
            <w:r w:rsidRPr="00C9026A">
              <w:t>.</w:t>
            </w:r>
          </w:p>
        </w:tc>
      </w:tr>
      <w:tr w:rsidR="00AA6B58" w:rsidRPr="00C9026A" w:rsidTr="00310ADD">
        <w:trPr>
          <w:cantSplit/>
        </w:trPr>
        <w:tc>
          <w:tcPr>
            <w:tcW w:w="988" w:type="dxa"/>
          </w:tcPr>
          <w:p w:rsidR="00AA6B58" w:rsidRPr="00C9026A" w:rsidRDefault="00AA6B58" w:rsidP="00A57A35">
            <w:pPr>
              <w:pStyle w:val="IAEAReferenceText"/>
              <w:rPr>
                <w:lang w:val="en-GB"/>
              </w:rPr>
            </w:pPr>
            <w:r w:rsidRPr="00C9026A">
              <w:rPr>
                <w:lang w:val="en-GB"/>
              </w:rPr>
              <w:t>[</w:t>
            </w:r>
            <w:r w:rsidR="00310ADD" w:rsidRPr="00C9026A">
              <w:rPr>
                <w:lang w:val="en-GB"/>
              </w:rPr>
              <w:t>I-5</w:t>
            </w:r>
            <w:r w:rsidRPr="00C9026A">
              <w:rPr>
                <w:lang w:val="en-GB"/>
              </w:rPr>
              <w:t>]</w:t>
            </w:r>
          </w:p>
        </w:tc>
        <w:tc>
          <w:tcPr>
            <w:tcW w:w="8192" w:type="dxa"/>
          </w:tcPr>
          <w:p w:rsidR="00AA6B58" w:rsidRPr="00C9026A" w:rsidRDefault="00093152" w:rsidP="00A57A35">
            <w:pPr>
              <w:pStyle w:val="BodyText"/>
              <w:spacing w:after="0"/>
              <w:ind w:right="-108"/>
            </w:pPr>
            <w:r w:rsidRPr="00C9026A">
              <w:rPr>
                <w:lang w:val="en-GB"/>
              </w:rPr>
              <w:t xml:space="preserve">STANDARDS COUNCIL OF CANADA, </w:t>
            </w:r>
            <w:r w:rsidR="00AA6B58" w:rsidRPr="00C9026A">
              <w:rPr>
                <w:iCs/>
                <w:lang w:val="en-GB"/>
              </w:rPr>
              <w:t xml:space="preserve">Environmental </w:t>
            </w:r>
            <w:r w:rsidR="001E390A" w:rsidRPr="00C9026A">
              <w:rPr>
                <w:iCs/>
                <w:lang w:val="en-GB"/>
              </w:rPr>
              <w:t xml:space="preserve">Risk Assessments at Class </w:t>
            </w:r>
            <w:r w:rsidR="00AA6B58" w:rsidRPr="00C9026A">
              <w:rPr>
                <w:iCs/>
                <w:lang w:val="en-GB"/>
              </w:rPr>
              <w:t xml:space="preserve">I </w:t>
            </w:r>
            <w:r w:rsidR="001E390A" w:rsidRPr="00C9026A">
              <w:rPr>
                <w:iCs/>
                <w:lang w:val="en-GB"/>
              </w:rPr>
              <w:t>Nuclear Facilities and Uranium Mines and Mills</w:t>
            </w:r>
            <w:r w:rsidR="00AA6B58" w:rsidRPr="00C9026A">
              <w:rPr>
                <w:iCs/>
                <w:lang w:val="en-GB"/>
              </w:rPr>
              <w:t xml:space="preserve">, </w:t>
            </w:r>
            <w:r w:rsidR="00AA6B58" w:rsidRPr="00C9026A">
              <w:rPr>
                <w:lang w:val="en-GB"/>
              </w:rPr>
              <w:t>CSA N288.6</w:t>
            </w:r>
            <w:r w:rsidRPr="00C9026A">
              <w:rPr>
                <w:lang w:val="en-GB"/>
              </w:rPr>
              <w:t>, Canada SCC (2012).</w:t>
            </w:r>
          </w:p>
        </w:tc>
      </w:tr>
      <w:tr w:rsidR="00832761" w:rsidRPr="00C9026A" w:rsidTr="00935F0E">
        <w:trPr>
          <w:cantSplit/>
        </w:trPr>
        <w:tc>
          <w:tcPr>
            <w:tcW w:w="988" w:type="dxa"/>
          </w:tcPr>
          <w:p w:rsidR="00832761" w:rsidRPr="00C9026A" w:rsidRDefault="00832761" w:rsidP="00A57A35">
            <w:pPr>
              <w:pStyle w:val="IAEAReferenceText"/>
              <w:overflowPunct w:val="0"/>
              <w:autoSpaceDE w:val="0"/>
              <w:autoSpaceDN w:val="0"/>
              <w:adjustRightInd w:val="0"/>
              <w:textAlignment w:val="baseline"/>
              <w:rPr>
                <w:lang w:val="en-GB"/>
              </w:rPr>
            </w:pPr>
            <w:r w:rsidRPr="00C9026A">
              <w:rPr>
                <w:lang w:val="en-GB"/>
              </w:rPr>
              <w:t>[I-6]</w:t>
            </w:r>
          </w:p>
        </w:tc>
        <w:tc>
          <w:tcPr>
            <w:tcW w:w="8192" w:type="dxa"/>
          </w:tcPr>
          <w:p w:rsidR="00832761" w:rsidRPr="00C9026A" w:rsidRDefault="00832761" w:rsidP="00A57A35">
            <w:pPr>
              <w:pStyle w:val="IAEAReferenceText"/>
              <w:ind w:right="-108"/>
              <w:rPr>
                <w:lang w:val="en-GB"/>
              </w:rPr>
            </w:pPr>
            <w:r w:rsidRPr="00C9026A">
              <w:rPr>
                <w:lang w:val="en-GB"/>
              </w:rPr>
              <w:t>INTERNATIONAL COMMISSION ON RADIOLOGICAL PROTECTION, The 2007 Recommendations of the International Commission on Radiological Protection, ICRP Publication 103, Elsevier (2007).</w:t>
            </w:r>
          </w:p>
        </w:tc>
      </w:tr>
      <w:tr w:rsidR="00832761" w:rsidRPr="00C9026A" w:rsidTr="00935F0E">
        <w:trPr>
          <w:cantSplit/>
        </w:trPr>
        <w:tc>
          <w:tcPr>
            <w:tcW w:w="988" w:type="dxa"/>
          </w:tcPr>
          <w:p w:rsidR="00832761" w:rsidRPr="00C9026A" w:rsidRDefault="00832761" w:rsidP="00A57A35">
            <w:pPr>
              <w:pStyle w:val="IAEAReferenceText"/>
              <w:spacing w:line="276" w:lineRule="auto"/>
              <w:ind w:right="-221"/>
              <w:contextualSpacing/>
              <w:rPr>
                <w:lang w:val="en-GB"/>
              </w:rPr>
            </w:pPr>
            <w:r w:rsidRPr="00C9026A">
              <w:rPr>
                <w:lang w:val="en-GB"/>
              </w:rPr>
              <w:t>[I-7]</w:t>
            </w:r>
          </w:p>
        </w:tc>
        <w:tc>
          <w:tcPr>
            <w:tcW w:w="8192" w:type="dxa"/>
          </w:tcPr>
          <w:p w:rsidR="00832761" w:rsidRPr="00C9026A" w:rsidRDefault="00832761" w:rsidP="00A57A35">
            <w:pPr>
              <w:pStyle w:val="IAEAReferenceText"/>
              <w:spacing w:line="276" w:lineRule="auto"/>
              <w:ind w:right="-108"/>
              <w:contextualSpacing/>
              <w:rPr>
                <w:lang w:val="en-GB"/>
              </w:rPr>
            </w:pPr>
            <w:r w:rsidRPr="00C9026A">
              <w:rPr>
                <w:lang w:val="en-GB"/>
              </w:rPr>
              <w:t>EUROPEAN ATOMIC ENERGY COMMUNITY, FOOD AND AGRICULTURE ORGANIZATION OF THE UNITED NATIONS, INTERNATIONAL ATOMIC ENERGY AGENCY, INTERNATIONAL LABOUR ORGANIZATION, INTERNATIONAL MARITIME ORGANIZATION, OECD NUCLEAR ENERGY AGENCY, PAN AMERICAN HEALTH ORGANIZATION, UNITED NATIONS ENVIRONMENT PROGRAMME, WORLD HEALTH ORGANIZATION, Fundamental Safety Principles, IAEA Safety Standards Series No. SF</w:t>
            </w:r>
            <w:r w:rsidR="00F1392B">
              <w:rPr>
                <w:lang w:val="en-GB"/>
              </w:rPr>
              <w:t>-</w:t>
            </w:r>
            <w:r w:rsidRPr="00C9026A">
              <w:rPr>
                <w:lang w:val="en-GB"/>
              </w:rPr>
              <w:t>1, IAEA, Vienna (2006).</w:t>
            </w:r>
          </w:p>
        </w:tc>
      </w:tr>
      <w:tr w:rsidR="00832761" w:rsidRPr="00C9026A" w:rsidTr="00935F0E">
        <w:trPr>
          <w:cantSplit/>
        </w:trPr>
        <w:tc>
          <w:tcPr>
            <w:tcW w:w="988" w:type="dxa"/>
          </w:tcPr>
          <w:p w:rsidR="00832761" w:rsidRPr="00C9026A" w:rsidRDefault="00832761" w:rsidP="00A57A35">
            <w:pPr>
              <w:pStyle w:val="IAEAReferenceText"/>
              <w:rPr>
                <w:lang w:val="en-GB"/>
              </w:rPr>
            </w:pPr>
            <w:r w:rsidRPr="00C9026A">
              <w:rPr>
                <w:lang w:val="en-GB"/>
              </w:rPr>
              <w:t>[I-8]</w:t>
            </w:r>
          </w:p>
        </w:tc>
        <w:tc>
          <w:tcPr>
            <w:tcW w:w="8192" w:type="dxa"/>
          </w:tcPr>
          <w:p w:rsidR="00832761" w:rsidRPr="00C9026A" w:rsidRDefault="00832761" w:rsidP="00A57A35">
            <w:pPr>
              <w:pStyle w:val="IAEAReferenceText"/>
              <w:ind w:right="-108"/>
              <w:rPr>
                <w:lang w:val="en-GB"/>
              </w:rPr>
            </w:pPr>
            <w:r w:rsidRPr="00C9026A">
              <w:rPr>
                <w:lang w:val="en-GB"/>
              </w:rPr>
              <w:t xml:space="preserve">PROEHL, G., BROWN, J., GOMEZ-ROS, J-M., JONES, S., WOODHEAD, D., VIVES, J., TARANENKO, V., THØRRING, H., </w:t>
            </w:r>
            <w:proofErr w:type="spellStart"/>
            <w:r w:rsidRPr="00C9026A">
              <w:rPr>
                <w:lang w:val="en-GB"/>
              </w:rPr>
              <w:t>Dosimetric</w:t>
            </w:r>
            <w:proofErr w:type="spellEnd"/>
            <w:r w:rsidRPr="00C9026A">
              <w:rPr>
                <w:lang w:val="en-GB"/>
              </w:rPr>
              <w:t xml:space="preserve"> models and data for assessing radiation exposure to biota, Deliverable 3 to the project, “FASSET” Framework for the Assessment of Environmental Impact, Contract No. FIGE-CT-2000-00102, Swedish Radiation Protection Authority (2003).</w:t>
            </w:r>
          </w:p>
        </w:tc>
      </w:tr>
      <w:tr w:rsidR="00AA6B58" w:rsidRPr="00C9026A" w:rsidTr="00310ADD">
        <w:trPr>
          <w:cantSplit/>
        </w:trPr>
        <w:tc>
          <w:tcPr>
            <w:tcW w:w="988" w:type="dxa"/>
          </w:tcPr>
          <w:p w:rsidR="00AA6B58" w:rsidRPr="00C9026A" w:rsidRDefault="00AA6B58" w:rsidP="00A57A35">
            <w:pPr>
              <w:pStyle w:val="IAEAReferenceText"/>
              <w:rPr>
                <w:lang w:val="en-GB"/>
              </w:rPr>
            </w:pPr>
            <w:r w:rsidRPr="00C9026A">
              <w:rPr>
                <w:lang w:val="en-GB"/>
              </w:rPr>
              <w:t>[</w:t>
            </w:r>
            <w:r w:rsidR="00310ADD" w:rsidRPr="00C9026A">
              <w:rPr>
                <w:lang w:val="en-GB"/>
              </w:rPr>
              <w:t>I-9</w:t>
            </w:r>
            <w:r w:rsidRPr="00C9026A">
              <w:rPr>
                <w:lang w:val="en-GB"/>
              </w:rPr>
              <w:t>]</w:t>
            </w:r>
          </w:p>
        </w:tc>
        <w:tc>
          <w:tcPr>
            <w:tcW w:w="8192" w:type="dxa"/>
          </w:tcPr>
          <w:p w:rsidR="00AA6B58" w:rsidRPr="00C9026A" w:rsidRDefault="00AA6B58" w:rsidP="00D77D8D">
            <w:pPr>
              <w:pStyle w:val="BodyText"/>
              <w:spacing w:after="0"/>
              <w:ind w:right="-108"/>
              <w:rPr>
                <w:lang w:val="en-GB"/>
              </w:rPr>
            </w:pPr>
            <w:r w:rsidRPr="00C9026A">
              <w:rPr>
                <w:lang w:val="en-GB"/>
              </w:rPr>
              <w:t>INTERNATIONAL ATOMIC ENERGY AGENCY</w:t>
            </w:r>
            <w:r w:rsidR="001E390A" w:rsidRPr="00C9026A">
              <w:rPr>
                <w:lang w:val="en-GB"/>
              </w:rPr>
              <w:t>, Generic Models for Use in Assessing the Impact of Discharges of Radioactive Substances to the Environment, Safety Report</w:t>
            </w:r>
            <w:r w:rsidR="001E390A">
              <w:rPr>
                <w:lang w:val="en-GB"/>
              </w:rPr>
              <w:t>s</w:t>
            </w:r>
            <w:r w:rsidR="001E390A" w:rsidRPr="00C9026A">
              <w:rPr>
                <w:lang w:val="en-GB"/>
              </w:rPr>
              <w:t xml:space="preserve"> Series No. 19, IAEA, Vienna (2001)</w:t>
            </w:r>
            <w:r w:rsidR="003B61C2">
              <w:t xml:space="preserve"> </w:t>
            </w:r>
            <w:r w:rsidR="003B61C2" w:rsidRPr="003B61C2">
              <w:rPr>
                <w:lang w:val="en-GB"/>
              </w:rPr>
              <w:t>(A revision of this publication is in preparation)</w:t>
            </w:r>
            <w:r w:rsidR="00D77D8D">
              <w:rPr>
                <w:lang w:val="en-GB"/>
              </w:rPr>
              <w:t>.</w:t>
            </w:r>
          </w:p>
        </w:tc>
      </w:tr>
      <w:tr w:rsidR="00AA6B58" w:rsidRPr="00C9026A" w:rsidTr="00310ADD">
        <w:trPr>
          <w:cantSplit/>
        </w:trPr>
        <w:tc>
          <w:tcPr>
            <w:tcW w:w="988" w:type="dxa"/>
          </w:tcPr>
          <w:p w:rsidR="00AA6B58" w:rsidRPr="00C9026A" w:rsidRDefault="00AA6B58" w:rsidP="00A57A35">
            <w:pPr>
              <w:pStyle w:val="IAEAReferenceText"/>
              <w:rPr>
                <w:lang w:val="en-GB"/>
              </w:rPr>
            </w:pPr>
            <w:r w:rsidRPr="00C9026A">
              <w:rPr>
                <w:lang w:val="en-GB"/>
              </w:rPr>
              <w:t>[</w:t>
            </w:r>
            <w:r w:rsidR="00310ADD" w:rsidRPr="00C9026A">
              <w:rPr>
                <w:lang w:val="en-GB"/>
              </w:rPr>
              <w:t>I-10</w:t>
            </w:r>
            <w:r w:rsidRPr="00C9026A">
              <w:rPr>
                <w:lang w:val="en-GB"/>
              </w:rPr>
              <w:t>]</w:t>
            </w:r>
          </w:p>
        </w:tc>
        <w:tc>
          <w:tcPr>
            <w:tcW w:w="8192" w:type="dxa"/>
          </w:tcPr>
          <w:p w:rsidR="00AA6B58" w:rsidRPr="00C9026A" w:rsidRDefault="00AA6B58" w:rsidP="00A57A35">
            <w:pPr>
              <w:pStyle w:val="BodyText"/>
              <w:spacing w:after="0"/>
              <w:ind w:right="-108"/>
              <w:rPr>
                <w:lang w:val="en-GB"/>
              </w:rPr>
            </w:pPr>
            <w:r w:rsidRPr="00C9026A">
              <w:rPr>
                <w:lang w:val="en-GB"/>
              </w:rPr>
              <w:t>INTERNATIONAL ATOMIC ENERGY AGENCY, Handbook of Parameter Values for the Prediction of Radionuclide Transfer to Wildlife, Technical Reports Series No</w:t>
            </w:r>
            <w:r w:rsidR="00F1392B">
              <w:rPr>
                <w:lang w:val="en-GB"/>
              </w:rPr>
              <w:t>.</w:t>
            </w:r>
            <w:r w:rsidRPr="00C9026A">
              <w:rPr>
                <w:lang w:val="en-GB"/>
              </w:rPr>
              <w:t xml:space="preserve"> 479, IAEA, Vienna (2014).</w:t>
            </w:r>
          </w:p>
        </w:tc>
      </w:tr>
      <w:tr w:rsidR="00AA6B58" w:rsidRPr="00C9026A" w:rsidTr="00310ADD">
        <w:trPr>
          <w:cantSplit/>
        </w:trPr>
        <w:tc>
          <w:tcPr>
            <w:tcW w:w="988" w:type="dxa"/>
          </w:tcPr>
          <w:p w:rsidR="00AA6B58" w:rsidRPr="00C9026A" w:rsidRDefault="00AA6B58" w:rsidP="00A57A35">
            <w:pPr>
              <w:pStyle w:val="IAEAReferenceText"/>
              <w:rPr>
                <w:lang w:val="en-GB"/>
              </w:rPr>
            </w:pPr>
            <w:r w:rsidRPr="00C9026A">
              <w:rPr>
                <w:lang w:val="en-GB"/>
              </w:rPr>
              <w:t>[</w:t>
            </w:r>
            <w:r w:rsidR="00310ADD" w:rsidRPr="00C9026A">
              <w:rPr>
                <w:lang w:val="en-GB"/>
              </w:rPr>
              <w:t>I-11</w:t>
            </w:r>
            <w:r w:rsidRPr="00C9026A">
              <w:rPr>
                <w:lang w:val="en-GB"/>
              </w:rPr>
              <w:t>]</w:t>
            </w:r>
          </w:p>
        </w:tc>
        <w:tc>
          <w:tcPr>
            <w:tcW w:w="8192" w:type="dxa"/>
          </w:tcPr>
          <w:p w:rsidR="00AA6B58" w:rsidRPr="00C9026A" w:rsidRDefault="00AA6B58" w:rsidP="00A57A35">
            <w:pPr>
              <w:pStyle w:val="BodyText"/>
              <w:spacing w:after="0"/>
              <w:ind w:right="-108"/>
              <w:rPr>
                <w:lang w:val="en-GB"/>
              </w:rPr>
            </w:pPr>
            <w:r w:rsidRPr="00C9026A">
              <w:rPr>
                <w:lang w:val="en-GB"/>
              </w:rPr>
              <w:t xml:space="preserve">INTERNATIONAL COMMISSION ON RADIOLOGICAL PROTECTION, Environmental Protection: Transfer </w:t>
            </w:r>
            <w:r w:rsidR="001E390A">
              <w:rPr>
                <w:lang w:val="en-GB"/>
              </w:rPr>
              <w:t>P</w:t>
            </w:r>
            <w:r w:rsidRPr="00C9026A">
              <w:rPr>
                <w:lang w:val="en-GB"/>
              </w:rPr>
              <w:t>arameters for Reference Animals and Plants, ICRP Publication 114, Elsevier (20</w:t>
            </w:r>
            <w:r w:rsidR="009C7A4B">
              <w:rPr>
                <w:lang w:val="en-GB"/>
              </w:rPr>
              <w:t>09</w:t>
            </w:r>
            <w:r w:rsidRPr="00C9026A">
              <w:rPr>
                <w:lang w:val="en-GB"/>
              </w:rPr>
              <w:t>).</w:t>
            </w:r>
          </w:p>
        </w:tc>
      </w:tr>
    </w:tbl>
    <w:p w:rsidR="000F12B7" w:rsidRPr="00C9026A" w:rsidRDefault="000F12B7" w:rsidP="00A57A35">
      <w:pPr>
        <w:pStyle w:val="BodyText"/>
        <w:rPr>
          <w:lang w:val="en-GB"/>
        </w:rPr>
      </w:pPr>
    </w:p>
    <w:p w:rsidR="00EC0F3A" w:rsidRPr="00C9026A" w:rsidRDefault="00EC0F3A" w:rsidP="00A57A35">
      <w:pPr>
        <w:pStyle w:val="IAEAReferenceText"/>
        <w:rPr>
          <w:lang w:val="en-GB"/>
        </w:rPr>
        <w:sectPr w:rsidR="00EC0F3A" w:rsidRPr="00C9026A" w:rsidSect="00DD1E38">
          <w:type w:val="oddPage"/>
          <w:pgSz w:w="11907" w:h="16840" w:code="9"/>
          <w:pgMar w:top="1134" w:right="1418" w:bottom="1531" w:left="1418" w:header="709" w:footer="709" w:gutter="0"/>
          <w:cols w:space="720"/>
          <w:docGrid w:linePitch="360"/>
        </w:sectPr>
      </w:pPr>
    </w:p>
    <w:p w:rsidR="00C743BE" w:rsidRPr="00BD0D6A" w:rsidRDefault="00577EF0" w:rsidP="00A57A35">
      <w:pPr>
        <w:pStyle w:val="AnnexHeading1"/>
        <w:tabs>
          <w:tab w:val="clear" w:pos="4536"/>
          <w:tab w:val="left" w:pos="4962"/>
        </w:tabs>
        <w:spacing w:after="360"/>
        <w:ind w:left="0"/>
        <w:rPr>
          <w:szCs w:val="28"/>
          <w:lang w:val="en-GB"/>
        </w:rPr>
      </w:pPr>
      <w:r>
        <w:rPr>
          <w:sz w:val="24"/>
          <w:lang w:val="en-GB"/>
        </w:rPr>
        <w:lastRenderedPageBreak/>
        <w:br/>
      </w:r>
      <w:bookmarkStart w:id="103" w:name="_Toc447613505"/>
      <w:bookmarkStart w:id="104" w:name="_Toc450204028"/>
      <w:r w:rsidR="00A51BE7" w:rsidRPr="00BD0D6A">
        <w:rPr>
          <w:szCs w:val="28"/>
          <w:lang w:val="en-GB"/>
        </w:rPr>
        <w:t xml:space="preserve">CONSIDERATION </w:t>
      </w:r>
      <w:r w:rsidR="00F31CDE" w:rsidRPr="00BD0D6A">
        <w:rPr>
          <w:szCs w:val="28"/>
          <w:lang w:val="en-GB"/>
        </w:rPr>
        <w:t xml:space="preserve">ON </w:t>
      </w:r>
      <w:r w:rsidRPr="00BD0D6A">
        <w:rPr>
          <w:szCs w:val="28"/>
          <w:lang w:val="en-GB"/>
        </w:rPr>
        <w:t xml:space="preserve">THE </w:t>
      </w:r>
      <w:r w:rsidR="00F31CDE" w:rsidRPr="00BD0D6A">
        <w:rPr>
          <w:szCs w:val="28"/>
          <w:lang w:val="en-GB"/>
        </w:rPr>
        <w:t xml:space="preserve">RISK </w:t>
      </w:r>
      <w:r w:rsidRPr="00BD0D6A">
        <w:rPr>
          <w:szCs w:val="28"/>
          <w:lang w:val="en-GB"/>
        </w:rPr>
        <w:t xml:space="preserve">OF HEALTH EFFECTS </w:t>
      </w:r>
      <w:r w:rsidR="000A58F4" w:rsidRPr="00BD0D6A">
        <w:rPr>
          <w:szCs w:val="28"/>
          <w:lang w:val="en-GB"/>
        </w:rPr>
        <w:t xml:space="preserve">and </w:t>
      </w:r>
      <w:r w:rsidR="00595EA6" w:rsidRPr="00BD0D6A">
        <w:rPr>
          <w:szCs w:val="28"/>
          <w:lang w:val="en-GB"/>
        </w:rPr>
        <w:t xml:space="preserve">THE </w:t>
      </w:r>
      <w:r w:rsidR="00A51BE7" w:rsidRPr="00BD0D6A">
        <w:rPr>
          <w:szCs w:val="28"/>
          <w:lang w:val="en-GB"/>
        </w:rPr>
        <w:t>ASSESSMENT OF Potential exposure</w:t>
      </w:r>
      <w:r w:rsidR="000A58F4" w:rsidRPr="00BD0D6A">
        <w:rPr>
          <w:szCs w:val="28"/>
          <w:lang w:val="en-GB"/>
        </w:rPr>
        <w:t>s</w:t>
      </w:r>
      <w:bookmarkEnd w:id="103"/>
      <w:bookmarkEnd w:id="104"/>
    </w:p>
    <w:p w:rsidR="00912609" w:rsidRPr="00A34807" w:rsidRDefault="00912609" w:rsidP="00652C4A">
      <w:pPr>
        <w:pStyle w:val="AnnexHeading3"/>
        <w:rPr>
          <w:lang w:val="en-GB"/>
        </w:rPr>
      </w:pPr>
      <w:r w:rsidRPr="00C9026A">
        <w:rPr>
          <w:lang w:val="en-GB"/>
        </w:rPr>
        <w:t xml:space="preserve">The estimation of potential exposures requires the assessment and quantification of the impact of accidents or events that might happen with very low probability. Generally there </w:t>
      </w:r>
      <w:r w:rsidR="000A50F6">
        <w:rPr>
          <w:lang w:val="en-GB"/>
        </w:rPr>
        <w:t>is</w:t>
      </w:r>
      <w:r w:rsidRPr="00C9026A">
        <w:rPr>
          <w:lang w:val="en-GB"/>
        </w:rPr>
        <w:t xml:space="preserve"> a whole spectrum of possible potential exposure scenarios, ranging from those with little or no impact to those with a very high potential impact</w:t>
      </w:r>
      <w:r w:rsidR="000A50F6">
        <w:rPr>
          <w:lang w:val="en-GB"/>
        </w:rPr>
        <w:t>.</w:t>
      </w:r>
      <w:r w:rsidRPr="00C9026A">
        <w:rPr>
          <w:lang w:val="en-GB"/>
        </w:rPr>
        <w:t xml:space="preserve"> </w:t>
      </w:r>
      <w:r w:rsidR="000A50F6" w:rsidRPr="00584512">
        <w:t xml:space="preserve">A large number of </w:t>
      </w:r>
      <w:r w:rsidR="000A50F6">
        <w:t>facilities and activities</w:t>
      </w:r>
      <w:r w:rsidR="000A50F6" w:rsidRPr="00584512">
        <w:t xml:space="preserve"> have </w:t>
      </w:r>
      <w:r w:rsidR="00620EAB">
        <w:t xml:space="preserve">a </w:t>
      </w:r>
      <w:r w:rsidR="000A50F6" w:rsidRPr="00584512">
        <w:t>potential of only minor or negligible radiological consequences</w:t>
      </w:r>
      <w:r w:rsidR="00620EAB">
        <w:t>,</w:t>
      </w:r>
      <w:r w:rsidR="000A50F6" w:rsidRPr="00584512">
        <w:t xml:space="preserve"> even under accident scenarios</w:t>
      </w:r>
      <w:r w:rsidR="00577EF0">
        <w:t>,</w:t>
      </w:r>
      <w:r w:rsidR="000A50F6" w:rsidRPr="00584512">
        <w:t xml:space="preserve"> owing to </w:t>
      </w:r>
      <w:r w:rsidR="0042605E">
        <w:t xml:space="preserve">their </w:t>
      </w:r>
      <w:r w:rsidR="000A50F6" w:rsidRPr="00584512">
        <w:t xml:space="preserve">very limited inventories </w:t>
      </w:r>
      <w:r w:rsidR="00577EF0">
        <w:t xml:space="preserve">of radioactive material </w:t>
      </w:r>
      <w:r w:rsidR="000A50F6" w:rsidRPr="00584512">
        <w:t xml:space="preserve">or the intrinsically safe characteristics of the </w:t>
      </w:r>
      <w:r w:rsidR="00577EF0">
        <w:t>facility or activity</w:t>
      </w:r>
      <w:r w:rsidR="000A50F6" w:rsidRPr="00584512">
        <w:t>.</w:t>
      </w:r>
      <w:r w:rsidR="000A50F6">
        <w:t xml:space="preserve"> </w:t>
      </w:r>
      <w:r w:rsidR="00620EAB">
        <w:t xml:space="preserve">In accordance with </w:t>
      </w:r>
      <w:r w:rsidR="00A34807">
        <w:t xml:space="preserve">Principle 7 of </w:t>
      </w:r>
      <w:r w:rsidR="00620EAB">
        <w:rPr>
          <w:lang w:val="en-GB"/>
        </w:rPr>
        <w:t>t</w:t>
      </w:r>
      <w:r w:rsidRPr="00C9026A">
        <w:rPr>
          <w:lang w:val="en-GB"/>
        </w:rPr>
        <w:t xml:space="preserve">he </w:t>
      </w:r>
      <w:r w:rsidR="00620EAB">
        <w:rPr>
          <w:lang w:val="en-GB"/>
        </w:rPr>
        <w:t>Fundamental S</w:t>
      </w:r>
      <w:r w:rsidR="00820314">
        <w:rPr>
          <w:lang w:val="en-GB"/>
        </w:rPr>
        <w:t xml:space="preserve">afety </w:t>
      </w:r>
      <w:r w:rsidR="00620EAB">
        <w:rPr>
          <w:lang w:val="en-GB"/>
        </w:rPr>
        <w:t>P</w:t>
      </w:r>
      <w:r w:rsidR="000E0628">
        <w:rPr>
          <w:lang w:val="en-GB"/>
        </w:rPr>
        <w:t>rinciples</w:t>
      </w:r>
      <w:r w:rsidR="00820314">
        <w:rPr>
          <w:lang w:val="en-GB"/>
        </w:rPr>
        <w:t xml:space="preserve"> </w:t>
      </w:r>
      <w:r w:rsidR="00A34807">
        <w:rPr>
          <w:lang w:val="en-GB"/>
        </w:rPr>
        <w:t xml:space="preserve">on </w:t>
      </w:r>
      <w:r w:rsidR="000B5C50">
        <w:rPr>
          <w:lang w:val="en-GB"/>
        </w:rPr>
        <w:t>the prevention of accidents</w:t>
      </w:r>
      <w:r w:rsidR="00620EAB">
        <w:rPr>
          <w:lang w:val="en-GB"/>
        </w:rPr>
        <w:t>,</w:t>
      </w:r>
      <w:r w:rsidR="000B5C50">
        <w:rPr>
          <w:lang w:val="en-GB"/>
        </w:rPr>
        <w:t xml:space="preserve"> </w:t>
      </w:r>
      <w:r w:rsidR="00A34807">
        <w:rPr>
          <w:lang w:val="en-GB"/>
        </w:rPr>
        <w:t>measures have to be taken to</w:t>
      </w:r>
      <w:r w:rsidR="000B5C50">
        <w:rPr>
          <w:lang w:val="en-GB"/>
        </w:rPr>
        <w:t xml:space="preserve"> ensure that the likelihood of an accident having harmful consequences is extremely low</w:t>
      </w:r>
      <w:r w:rsidR="007C230D">
        <w:rPr>
          <w:lang w:val="en-GB"/>
        </w:rPr>
        <w:t> </w:t>
      </w:r>
      <w:r w:rsidR="000B5C50">
        <w:rPr>
          <w:lang w:val="en-GB"/>
        </w:rPr>
        <w:t>[</w:t>
      </w:r>
      <w:r w:rsidR="005624AC">
        <w:rPr>
          <w:lang w:val="en-GB"/>
        </w:rPr>
        <w:t>II</w:t>
      </w:r>
      <w:r w:rsidR="007C230D">
        <w:rPr>
          <w:lang w:val="en-GB"/>
        </w:rPr>
        <w:noBreakHyphen/>
      </w:r>
      <w:r w:rsidR="005624AC">
        <w:rPr>
          <w:lang w:val="en-GB"/>
        </w:rPr>
        <w:t>1</w:t>
      </w:r>
      <w:r w:rsidR="000B5C50">
        <w:rPr>
          <w:lang w:val="en-GB"/>
        </w:rPr>
        <w:t>]. Consequently</w:t>
      </w:r>
      <w:r w:rsidR="00620EAB">
        <w:rPr>
          <w:lang w:val="en-GB"/>
        </w:rPr>
        <w:t>,</w:t>
      </w:r>
      <w:r w:rsidR="000B5C50">
        <w:rPr>
          <w:lang w:val="en-GB"/>
        </w:rPr>
        <w:t xml:space="preserve"> </w:t>
      </w:r>
      <w:r w:rsidRPr="00652C4A">
        <w:rPr>
          <w:lang w:val="en-GB"/>
        </w:rPr>
        <w:t>facilit</w:t>
      </w:r>
      <w:r w:rsidR="000A50F6" w:rsidRPr="00652C4A">
        <w:rPr>
          <w:lang w:val="en-GB"/>
        </w:rPr>
        <w:t>ies</w:t>
      </w:r>
      <w:r w:rsidR="00F31CDE" w:rsidRPr="00A34807">
        <w:rPr>
          <w:lang w:val="en-GB"/>
        </w:rPr>
        <w:t xml:space="preserve"> </w:t>
      </w:r>
      <w:r w:rsidR="00620EAB">
        <w:rPr>
          <w:lang w:val="en-GB"/>
        </w:rPr>
        <w:t>are designed and operated and</w:t>
      </w:r>
      <w:r w:rsidR="00620EAB" w:rsidRPr="00A34807">
        <w:rPr>
          <w:lang w:val="en-GB"/>
        </w:rPr>
        <w:t xml:space="preserve"> </w:t>
      </w:r>
      <w:r w:rsidR="00F31CDE" w:rsidRPr="00A34807">
        <w:rPr>
          <w:lang w:val="en-GB"/>
        </w:rPr>
        <w:t>activit</w:t>
      </w:r>
      <w:r w:rsidR="00743ADB" w:rsidRPr="00A34807">
        <w:rPr>
          <w:lang w:val="en-GB"/>
        </w:rPr>
        <w:t>ies</w:t>
      </w:r>
      <w:r w:rsidRPr="00A34807">
        <w:rPr>
          <w:lang w:val="en-GB"/>
        </w:rPr>
        <w:t xml:space="preserve"> </w:t>
      </w:r>
      <w:r w:rsidR="00743ADB" w:rsidRPr="00A34807">
        <w:rPr>
          <w:lang w:val="en-GB"/>
        </w:rPr>
        <w:t xml:space="preserve">are </w:t>
      </w:r>
      <w:r w:rsidR="00620EAB">
        <w:rPr>
          <w:lang w:val="en-GB"/>
        </w:rPr>
        <w:t xml:space="preserve">conducted </w:t>
      </w:r>
      <w:r w:rsidR="00965D1B" w:rsidRPr="00A34807">
        <w:rPr>
          <w:lang w:val="en-GB"/>
        </w:rPr>
        <w:t>such that</w:t>
      </w:r>
      <w:r w:rsidRPr="00A34807">
        <w:rPr>
          <w:lang w:val="en-GB"/>
        </w:rPr>
        <w:t xml:space="preserve"> accidents with high impact </w:t>
      </w:r>
      <w:r w:rsidR="00577EF0" w:rsidRPr="00A34807">
        <w:rPr>
          <w:lang w:val="en-GB"/>
        </w:rPr>
        <w:t xml:space="preserve">have </w:t>
      </w:r>
      <w:r w:rsidRPr="00A34807">
        <w:rPr>
          <w:lang w:val="en-GB"/>
        </w:rPr>
        <w:t>lower probability than events with minor impact.</w:t>
      </w:r>
    </w:p>
    <w:p w:rsidR="00873C10" w:rsidRPr="0042605E" w:rsidRDefault="00912609" w:rsidP="0042605E">
      <w:pPr>
        <w:pStyle w:val="AnnexHeading3"/>
        <w:rPr>
          <w:lang w:val="en-GB"/>
        </w:rPr>
      </w:pPr>
      <w:r w:rsidRPr="00C9026A">
        <w:rPr>
          <w:lang w:val="en-GB"/>
        </w:rPr>
        <w:t xml:space="preserve">A measure of </w:t>
      </w:r>
      <w:r w:rsidR="000A50F6">
        <w:rPr>
          <w:lang w:val="en-GB"/>
        </w:rPr>
        <w:t xml:space="preserve">the </w:t>
      </w:r>
      <w:r w:rsidRPr="00C9026A">
        <w:rPr>
          <w:lang w:val="en-GB"/>
        </w:rPr>
        <w:t>risk</w:t>
      </w:r>
      <w:r w:rsidR="00577EF0">
        <w:rPr>
          <w:lang w:val="en-GB"/>
        </w:rPr>
        <w:t xml:space="preserve"> of health effects</w:t>
      </w:r>
      <w:r w:rsidR="00873C10" w:rsidRPr="00C9026A">
        <w:rPr>
          <w:lang w:val="en-GB"/>
        </w:rPr>
        <w:t xml:space="preserve"> due to the unplanned or accidental release of radionuclides to the environment from facilities and </w:t>
      </w:r>
      <w:r w:rsidR="00743ADB" w:rsidRPr="00C9026A">
        <w:rPr>
          <w:lang w:val="en-GB"/>
        </w:rPr>
        <w:t>activities is</w:t>
      </w:r>
      <w:r w:rsidR="00873C10" w:rsidRPr="00C9026A">
        <w:rPr>
          <w:lang w:val="en-GB"/>
        </w:rPr>
        <w:t xml:space="preserve"> a </w:t>
      </w:r>
      <w:r w:rsidR="000E0628">
        <w:rPr>
          <w:lang w:val="en-GB"/>
        </w:rPr>
        <w:t>useful indicator</w:t>
      </w:r>
      <w:r w:rsidR="00873C10" w:rsidRPr="00C9026A">
        <w:rPr>
          <w:lang w:val="en-GB"/>
        </w:rPr>
        <w:t xml:space="preserve"> to be considered when assessing potential exposures. </w:t>
      </w:r>
      <w:r w:rsidR="000A50F6">
        <w:rPr>
          <w:lang w:val="en-GB"/>
        </w:rPr>
        <w:t>C</w:t>
      </w:r>
      <w:r w:rsidR="000A50F6" w:rsidRPr="00C9026A">
        <w:rPr>
          <w:lang w:val="en-GB"/>
        </w:rPr>
        <w:t>ontrol</w:t>
      </w:r>
      <w:r w:rsidR="000A50F6">
        <w:rPr>
          <w:lang w:val="en-GB"/>
        </w:rPr>
        <w:t xml:space="preserve"> of t</w:t>
      </w:r>
      <w:r w:rsidR="00873C10" w:rsidRPr="00C9026A">
        <w:rPr>
          <w:lang w:val="en-GB"/>
        </w:rPr>
        <w:t>he risk</w:t>
      </w:r>
      <w:r w:rsidR="00577EF0" w:rsidRPr="0042605E">
        <w:rPr>
          <w:lang w:val="en-GB"/>
        </w:rPr>
        <w:t xml:space="preserve"> of health effects</w:t>
      </w:r>
      <w:r w:rsidR="00873C10" w:rsidRPr="0042605E">
        <w:rPr>
          <w:lang w:val="en-GB"/>
        </w:rPr>
        <w:t xml:space="preserve"> due to potential </w:t>
      </w:r>
      <w:r w:rsidR="00743ADB" w:rsidRPr="0042605E">
        <w:rPr>
          <w:lang w:val="en-GB"/>
        </w:rPr>
        <w:t>exposures starts</w:t>
      </w:r>
      <w:r w:rsidR="00873C10" w:rsidRPr="0042605E">
        <w:rPr>
          <w:lang w:val="en-GB"/>
        </w:rPr>
        <w:t xml:space="preserve"> </w:t>
      </w:r>
      <w:r w:rsidR="0042605E">
        <w:rPr>
          <w:lang w:val="en-GB"/>
        </w:rPr>
        <w:t>at</w:t>
      </w:r>
      <w:r w:rsidR="0042605E" w:rsidRPr="0042605E">
        <w:rPr>
          <w:lang w:val="en-GB"/>
        </w:rPr>
        <w:t xml:space="preserve"> </w:t>
      </w:r>
      <w:r w:rsidR="00873C10" w:rsidRPr="0042605E">
        <w:rPr>
          <w:lang w:val="en-GB"/>
        </w:rPr>
        <w:t xml:space="preserve">the design </w:t>
      </w:r>
      <w:r w:rsidR="000A50F6" w:rsidRPr="0042605E">
        <w:rPr>
          <w:lang w:val="en-GB"/>
        </w:rPr>
        <w:t xml:space="preserve">stage </w:t>
      </w:r>
      <w:r w:rsidR="00873C10" w:rsidRPr="0042605E">
        <w:rPr>
          <w:lang w:val="en-GB"/>
        </w:rPr>
        <w:t xml:space="preserve">of facilities and activities by </w:t>
      </w:r>
      <w:r w:rsidR="0042605E">
        <w:rPr>
          <w:lang w:val="en-GB"/>
        </w:rPr>
        <w:t>the adoption of</w:t>
      </w:r>
      <w:r w:rsidR="0042605E" w:rsidRPr="0042605E">
        <w:rPr>
          <w:lang w:val="en-GB"/>
        </w:rPr>
        <w:t xml:space="preserve"> </w:t>
      </w:r>
      <w:r w:rsidR="00873C10" w:rsidRPr="0042605E">
        <w:rPr>
          <w:lang w:val="en-GB"/>
        </w:rPr>
        <w:t xml:space="preserve">provisions for protection and safety (e.g. defence in depth) that </w:t>
      </w:r>
      <w:r w:rsidR="000A50F6" w:rsidRPr="0042605E">
        <w:rPr>
          <w:lang w:val="en-GB"/>
        </w:rPr>
        <w:t xml:space="preserve">are </w:t>
      </w:r>
      <w:r w:rsidR="00873C10" w:rsidRPr="0042605E">
        <w:rPr>
          <w:lang w:val="en-GB"/>
        </w:rPr>
        <w:t>commensurate with the likelihood and the magnitude of the potential exposures [</w:t>
      </w:r>
      <w:r w:rsidR="00093152" w:rsidRPr="0042605E">
        <w:rPr>
          <w:lang w:val="en-GB"/>
        </w:rPr>
        <w:t>II-</w:t>
      </w:r>
      <w:r w:rsidR="005624AC">
        <w:rPr>
          <w:lang w:val="en-GB"/>
        </w:rPr>
        <w:t>2</w:t>
      </w:r>
      <w:r w:rsidR="00873C10" w:rsidRPr="0042605E">
        <w:rPr>
          <w:lang w:val="en-GB"/>
        </w:rPr>
        <w:t>].</w:t>
      </w:r>
    </w:p>
    <w:p w:rsidR="007F3C65" w:rsidRPr="00C9026A" w:rsidRDefault="00873C10" w:rsidP="00A57A35">
      <w:pPr>
        <w:pStyle w:val="AnnexHeading4"/>
        <w:rPr>
          <w:b w:val="0"/>
          <w:lang w:val="en-GB"/>
        </w:rPr>
      </w:pPr>
      <w:r w:rsidRPr="00C9026A">
        <w:rPr>
          <w:b w:val="0"/>
          <w:lang w:val="en-GB"/>
        </w:rPr>
        <w:t>PROBABILITY OF HEALTH EFFECTS</w:t>
      </w:r>
      <w:r w:rsidR="00912609" w:rsidRPr="00C9026A">
        <w:rPr>
          <w:b w:val="0"/>
          <w:lang w:val="en-GB"/>
        </w:rPr>
        <w:t xml:space="preserve"> FOR </w:t>
      </w:r>
      <w:r w:rsidR="000217D7">
        <w:rPr>
          <w:b w:val="0"/>
          <w:lang w:val="en-GB"/>
        </w:rPr>
        <w:t xml:space="preserve">USE IN </w:t>
      </w:r>
      <w:r w:rsidR="00912609" w:rsidRPr="00C9026A">
        <w:rPr>
          <w:b w:val="0"/>
          <w:lang w:val="en-GB"/>
        </w:rPr>
        <w:t>PROSPECTIVE ASSESSMENTS</w:t>
      </w:r>
    </w:p>
    <w:p w:rsidR="0073212D" w:rsidRPr="00A75EC6" w:rsidRDefault="0073212D" w:rsidP="00A75EC6">
      <w:pPr>
        <w:pStyle w:val="AnnexHeading3"/>
      </w:pPr>
      <w:r w:rsidRPr="00C9026A">
        <w:t xml:space="preserve">The </w:t>
      </w:r>
      <w:r w:rsidR="00501E1C" w:rsidRPr="00C9026A">
        <w:t xml:space="preserve">estimation of </w:t>
      </w:r>
      <w:r w:rsidRPr="00C9026A">
        <w:t xml:space="preserve">radiation dose </w:t>
      </w:r>
      <w:r w:rsidR="00501E1C" w:rsidRPr="00C9026A">
        <w:t xml:space="preserve">to </w:t>
      </w:r>
      <w:r w:rsidR="0006268C" w:rsidRPr="00C9026A">
        <w:t xml:space="preserve">the </w:t>
      </w:r>
      <w:r w:rsidR="00501E1C" w:rsidRPr="00C9026A">
        <w:t>public</w:t>
      </w:r>
      <w:r w:rsidR="007B056A" w:rsidRPr="00C9026A">
        <w:t xml:space="preserve"> resulting from postulated accidents,</w:t>
      </w:r>
      <w:r w:rsidR="00501E1C" w:rsidRPr="00C9026A">
        <w:t xml:space="preserve"> </w:t>
      </w:r>
      <w:r w:rsidR="007B056A" w:rsidRPr="00C9026A">
        <w:t xml:space="preserve">in terms of the effective doses, </w:t>
      </w:r>
      <w:r w:rsidR="007D7E04" w:rsidRPr="00C9026A">
        <w:t xml:space="preserve">combined with a </w:t>
      </w:r>
      <w:r w:rsidR="007B056A" w:rsidRPr="00C9026A">
        <w:t>health</w:t>
      </w:r>
      <w:r w:rsidR="0033504F" w:rsidRPr="00C9026A">
        <w:t>-</w:t>
      </w:r>
      <w:r w:rsidR="007D7E04" w:rsidRPr="00C9026A">
        <w:t xml:space="preserve">risk </w:t>
      </w:r>
      <w:r w:rsidR="0006268C" w:rsidRPr="00C9026A">
        <w:t>coefficient</w:t>
      </w:r>
      <w:r w:rsidR="00A75EC6">
        <w:t>,</w:t>
      </w:r>
      <w:r w:rsidR="0006268C" w:rsidRPr="00C9026A">
        <w:t xml:space="preserve"> </w:t>
      </w:r>
      <w:r w:rsidRPr="00C9026A">
        <w:t>can be interpreted</w:t>
      </w:r>
      <w:r w:rsidR="00643998" w:rsidRPr="00C9026A">
        <w:t xml:space="preserve">, in the framework of </w:t>
      </w:r>
      <w:r w:rsidR="00A75EC6">
        <w:t xml:space="preserve">a </w:t>
      </w:r>
      <w:r w:rsidR="00643998" w:rsidRPr="00C9026A">
        <w:t>prospective assessment,</w:t>
      </w:r>
      <w:r w:rsidRPr="00C9026A">
        <w:t xml:space="preserve"> as </w:t>
      </w:r>
      <w:r w:rsidR="00643998" w:rsidRPr="00C9026A">
        <w:t xml:space="preserve">an indication of </w:t>
      </w:r>
      <w:r w:rsidRPr="00C9026A">
        <w:t xml:space="preserve">the </w:t>
      </w:r>
      <w:r w:rsidR="00A75EC6">
        <w:t>risk</w:t>
      </w:r>
      <w:r w:rsidR="00A75EC6" w:rsidRPr="00C9026A">
        <w:t xml:space="preserve"> </w:t>
      </w:r>
      <w:r w:rsidRPr="00C9026A">
        <w:t xml:space="preserve">that detrimental </w:t>
      </w:r>
      <w:r w:rsidR="007B056A" w:rsidRPr="00C9026A">
        <w:t xml:space="preserve">health </w:t>
      </w:r>
      <w:r w:rsidRPr="00C9026A">
        <w:t xml:space="preserve">effects will materialize. </w:t>
      </w:r>
      <w:r w:rsidR="00A75EC6">
        <w:rPr>
          <w:lang w:val="en-GB"/>
        </w:rPr>
        <w:t>I</w:t>
      </w:r>
      <w:r w:rsidR="0042605E">
        <w:rPr>
          <w:lang w:val="en-GB"/>
        </w:rPr>
        <w:t>n this model i</w:t>
      </w:r>
      <w:r w:rsidR="00A75EC6" w:rsidRPr="00A75EC6">
        <w:rPr>
          <w:lang w:val="en-GB"/>
        </w:rPr>
        <w:t>t is assumed that the probability of the eventual occurrence</w:t>
      </w:r>
      <w:r w:rsidR="00A75EC6">
        <w:rPr>
          <w:lang w:val="en-GB"/>
        </w:rPr>
        <w:t xml:space="preserve"> </w:t>
      </w:r>
      <w:r w:rsidR="00A75EC6" w:rsidRPr="00A75EC6">
        <w:rPr>
          <w:lang w:val="en-GB"/>
        </w:rPr>
        <w:t>of a stochastic effect is proportional to the dose received, with no threshold</w:t>
      </w:r>
      <w:r w:rsidR="00A75EC6">
        <w:rPr>
          <w:lang w:val="en-GB"/>
        </w:rPr>
        <w:t>.</w:t>
      </w:r>
      <w:r w:rsidR="00AB39DB">
        <w:rPr>
          <w:lang w:val="en-GB"/>
        </w:rPr>
        <w:t xml:space="preserve"> </w:t>
      </w:r>
      <w:r w:rsidR="00572196" w:rsidRPr="00C9026A">
        <w:t>A</w:t>
      </w:r>
      <w:r w:rsidRPr="00C9026A">
        <w:t xml:space="preserve"> </w:t>
      </w:r>
      <w:r w:rsidR="00572196" w:rsidRPr="00C9026A">
        <w:t xml:space="preserve">generic </w:t>
      </w:r>
      <w:r w:rsidRPr="00C9026A">
        <w:t xml:space="preserve">risk coefficient for </w:t>
      </w:r>
      <w:r w:rsidRPr="00A75EC6">
        <w:t>stochastic effects</w:t>
      </w:r>
      <w:r w:rsidR="00501E1C" w:rsidRPr="00A75EC6">
        <w:t xml:space="preserve"> on humans</w:t>
      </w:r>
      <w:r w:rsidR="00A75EC6">
        <w:t>,</w:t>
      </w:r>
      <w:r w:rsidRPr="00A75EC6">
        <w:t xml:space="preserve"> </w:t>
      </w:r>
      <w:r w:rsidR="00572196" w:rsidRPr="00A75EC6">
        <w:t xml:space="preserve">which can be used in </w:t>
      </w:r>
      <w:r w:rsidR="0033504F" w:rsidRPr="00A75EC6">
        <w:t xml:space="preserve">prospective radiological environmental impact </w:t>
      </w:r>
      <w:r w:rsidR="00572196" w:rsidRPr="00A75EC6">
        <w:t>assessments</w:t>
      </w:r>
      <w:r w:rsidR="00A75EC6">
        <w:t>,</w:t>
      </w:r>
      <w:r w:rsidR="00572196" w:rsidRPr="00A75EC6">
        <w:t xml:space="preserve"> is</w:t>
      </w:r>
      <w:r w:rsidRPr="00A75EC6">
        <w:t xml:space="preserve"> 5</w:t>
      </w:r>
      <w:r w:rsidR="0025483E" w:rsidRPr="00A75EC6">
        <w:t> </w:t>
      </w:r>
      <w:r w:rsidRPr="00A75EC6">
        <w:t>×</w:t>
      </w:r>
      <w:r w:rsidR="0033504F" w:rsidRPr="00A75EC6">
        <w:t> </w:t>
      </w:r>
      <w:r w:rsidRPr="00A75EC6">
        <w:t>10</w:t>
      </w:r>
      <w:r w:rsidRPr="00A75EC6">
        <w:rPr>
          <w:vertAlign w:val="superscript"/>
        </w:rPr>
        <w:t>-2</w:t>
      </w:r>
      <w:r w:rsidRPr="00A75EC6">
        <w:t xml:space="preserve"> Sv</w:t>
      </w:r>
      <w:r w:rsidRPr="00A75EC6">
        <w:rPr>
          <w:vertAlign w:val="superscript"/>
        </w:rPr>
        <w:t>-1</w:t>
      </w:r>
      <w:r w:rsidR="00572196" w:rsidRPr="00A75EC6">
        <w:rPr>
          <w:vertAlign w:val="superscript"/>
        </w:rPr>
        <w:t xml:space="preserve"> </w:t>
      </w:r>
      <w:r w:rsidR="00572196" w:rsidRPr="00A75EC6">
        <w:t>[</w:t>
      </w:r>
      <w:r w:rsidR="00093152" w:rsidRPr="00A75EC6">
        <w:t>II-</w:t>
      </w:r>
      <w:r w:rsidR="005624AC">
        <w:t>2</w:t>
      </w:r>
      <w:r w:rsidR="00572196" w:rsidRPr="00A75EC6">
        <w:t>]</w:t>
      </w:r>
      <w:r w:rsidRPr="00A75EC6">
        <w:t>.</w:t>
      </w:r>
    </w:p>
    <w:p w:rsidR="0073212D" w:rsidRPr="00C9026A" w:rsidRDefault="0014688D" w:rsidP="00A57A35">
      <w:pPr>
        <w:pStyle w:val="AnnexHeading4"/>
        <w:rPr>
          <w:b w:val="0"/>
          <w:lang w:val="en-GB"/>
        </w:rPr>
      </w:pPr>
      <w:r w:rsidRPr="00C9026A">
        <w:rPr>
          <w:b w:val="0"/>
          <w:lang w:val="en-GB"/>
        </w:rPr>
        <w:t xml:space="preserve">DEFINITION OF A MEASURE OF </w:t>
      </w:r>
      <w:r w:rsidR="000217D7">
        <w:rPr>
          <w:b w:val="0"/>
          <w:lang w:val="en-GB"/>
        </w:rPr>
        <w:t xml:space="preserve">THE </w:t>
      </w:r>
      <w:r w:rsidRPr="00C9026A">
        <w:rPr>
          <w:b w:val="0"/>
          <w:lang w:val="en-GB"/>
        </w:rPr>
        <w:t>RIS</w:t>
      </w:r>
      <w:r w:rsidR="00873C10" w:rsidRPr="00C9026A">
        <w:rPr>
          <w:b w:val="0"/>
          <w:lang w:val="en-GB"/>
        </w:rPr>
        <w:t xml:space="preserve">K </w:t>
      </w:r>
    </w:p>
    <w:p w:rsidR="002C5150" w:rsidRPr="00C9026A" w:rsidRDefault="00A75EC6" w:rsidP="00A57A35">
      <w:pPr>
        <w:pStyle w:val="AnnexHeading3"/>
        <w:rPr>
          <w:lang w:val="en-GB"/>
        </w:rPr>
      </w:pPr>
      <w:r>
        <w:rPr>
          <w:lang w:val="en-GB"/>
        </w:rPr>
        <w:t>The</w:t>
      </w:r>
      <w:r w:rsidRPr="00C9026A">
        <w:rPr>
          <w:lang w:val="en-GB"/>
        </w:rPr>
        <w:t xml:space="preserve"> </w:t>
      </w:r>
      <w:r w:rsidR="002C5150" w:rsidRPr="00C9026A">
        <w:rPr>
          <w:lang w:val="en-GB"/>
        </w:rPr>
        <w:t>term</w:t>
      </w:r>
      <w:r>
        <w:rPr>
          <w:lang w:val="en-GB"/>
        </w:rPr>
        <w:t xml:space="preserve"> ‘risk’</w:t>
      </w:r>
      <w:r w:rsidR="002C5150" w:rsidRPr="00C9026A">
        <w:rPr>
          <w:lang w:val="en-GB"/>
        </w:rPr>
        <w:t xml:space="preserve"> is often introduced to express a combination of an impact of an event or scenario and the likelihood of that impact. </w:t>
      </w:r>
      <w:r w:rsidR="00AB39DB">
        <w:rPr>
          <w:lang w:val="en-GB"/>
        </w:rPr>
        <w:t>GSR Part 3</w:t>
      </w:r>
      <w:r w:rsidR="00AB39DB" w:rsidRPr="00C9026A">
        <w:rPr>
          <w:lang w:val="en-GB"/>
        </w:rPr>
        <w:t xml:space="preserve"> [II-</w:t>
      </w:r>
      <w:r w:rsidR="005624AC">
        <w:rPr>
          <w:lang w:val="en-GB"/>
        </w:rPr>
        <w:t>2</w:t>
      </w:r>
      <w:r w:rsidR="00AB39DB" w:rsidRPr="00C9026A">
        <w:rPr>
          <w:lang w:val="en-GB"/>
        </w:rPr>
        <w:t>] defines ‘risk’ as</w:t>
      </w:r>
      <w:r w:rsidR="00AB39DB">
        <w:rPr>
          <w:lang w:val="en-GB"/>
        </w:rPr>
        <w:t xml:space="preserve"> </w:t>
      </w:r>
      <w:r w:rsidR="00AB39DB" w:rsidRPr="00C9026A">
        <w:rPr>
          <w:lang w:val="en-GB"/>
        </w:rPr>
        <w:t>“</w:t>
      </w:r>
      <w:r w:rsidR="00AB39DB">
        <w:rPr>
          <w:lang w:val="en-GB"/>
        </w:rPr>
        <w:t xml:space="preserve">A </w:t>
      </w:r>
      <w:r w:rsidR="00AB39DB" w:rsidRPr="00C9026A">
        <w:rPr>
          <w:lang w:val="en-GB"/>
        </w:rPr>
        <w:t>multi</w:t>
      </w:r>
      <w:r w:rsidR="00FC4AEA">
        <w:rPr>
          <w:lang w:val="en-GB"/>
        </w:rPr>
        <w:noBreakHyphen/>
      </w:r>
      <w:r w:rsidR="00AB39DB" w:rsidRPr="00C9026A">
        <w:rPr>
          <w:lang w:val="en-GB"/>
        </w:rPr>
        <w:t>attribute quantity expressing hazard, danger or chance of harmful or injurious consequences associated with actual or potential exposures. It relates to quantities such as the probability that specific deleterious consequences may arise and the magnitude and character of such consequences.</w:t>
      </w:r>
      <w:r w:rsidR="00AB39DB">
        <w:rPr>
          <w:lang w:val="en-GB"/>
        </w:rPr>
        <w:t xml:space="preserve">” </w:t>
      </w:r>
      <w:r w:rsidR="00AB39DB" w:rsidRPr="00C9026A">
        <w:rPr>
          <w:lang w:val="en-GB"/>
        </w:rPr>
        <w:t>Confusion can arise between this term with a defined meaning and mathematical definition, and the everyday meaning of the word ‘risk’</w:t>
      </w:r>
      <w:r w:rsidR="00AB39DB">
        <w:rPr>
          <w:lang w:val="en-GB"/>
        </w:rPr>
        <w:t>,</w:t>
      </w:r>
      <w:r w:rsidR="00AB39DB" w:rsidRPr="00C9026A">
        <w:rPr>
          <w:lang w:val="en-GB"/>
        </w:rPr>
        <w:t xml:space="preserve"> which </w:t>
      </w:r>
      <w:r w:rsidR="00AB39DB">
        <w:rPr>
          <w:lang w:val="en-GB"/>
        </w:rPr>
        <w:t>is sometimes taken to</w:t>
      </w:r>
      <w:r w:rsidR="00AB39DB" w:rsidRPr="00C9026A">
        <w:rPr>
          <w:lang w:val="en-GB"/>
        </w:rPr>
        <w:t xml:space="preserve"> be synonymous </w:t>
      </w:r>
      <w:r w:rsidR="00AB39DB">
        <w:rPr>
          <w:lang w:val="en-GB"/>
        </w:rPr>
        <w:t>with</w:t>
      </w:r>
      <w:r w:rsidR="00AB39DB" w:rsidRPr="00C9026A">
        <w:rPr>
          <w:lang w:val="en-GB"/>
        </w:rPr>
        <w:t xml:space="preserve"> hazard.</w:t>
      </w:r>
      <w:r w:rsidR="00AB39DB">
        <w:rPr>
          <w:lang w:val="en-GB"/>
        </w:rPr>
        <w:t xml:space="preserve"> </w:t>
      </w:r>
      <w:r w:rsidR="002C5150" w:rsidRPr="00C9026A">
        <w:rPr>
          <w:lang w:val="en-GB"/>
        </w:rPr>
        <w:t xml:space="preserve">Various schemes have been developed to quantify </w:t>
      </w:r>
      <w:r w:rsidR="00AB39DB">
        <w:rPr>
          <w:lang w:val="en-GB"/>
        </w:rPr>
        <w:t>the risk associated with an event or scenario</w:t>
      </w:r>
      <w:r w:rsidR="002C5150" w:rsidRPr="00C9026A">
        <w:rPr>
          <w:lang w:val="en-GB"/>
        </w:rPr>
        <w:t xml:space="preserve"> and thus, </w:t>
      </w:r>
      <w:r w:rsidR="00AB39DB">
        <w:rPr>
          <w:lang w:val="en-GB"/>
        </w:rPr>
        <w:t xml:space="preserve">to </w:t>
      </w:r>
      <w:r w:rsidR="002C5150" w:rsidRPr="00C9026A">
        <w:rPr>
          <w:lang w:val="en-GB"/>
        </w:rPr>
        <w:t xml:space="preserve">allow the risks </w:t>
      </w:r>
      <w:r w:rsidR="00AB39DB">
        <w:rPr>
          <w:lang w:val="en-GB"/>
        </w:rPr>
        <w:t>associated with</w:t>
      </w:r>
      <w:r w:rsidR="00AB39DB" w:rsidRPr="00C9026A">
        <w:rPr>
          <w:lang w:val="en-GB"/>
        </w:rPr>
        <w:t xml:space="preserve"> </w:t>
      </w:r>
      <w:r w:rsidR="002C5150" w:rsidRPr="00C9026A">
        <w:rPr>
          <w:lang w:val="en-GB"/>
        </w:rPr>
        <w:t xml:space="preserve">various events to be directly compared. </w:t>
      </w:r>
    </w:p>
    <w:p w:rsidR="002C5150" w:rsidRPr="00C9026A" w:rsidRDefault="00AB39DB" w:rsidP="00A57A35">
      <w:pPr>
        <w:pStyle w:val="AnnexHeading3"/>
        <w:rPr>
          <w:lang w:val="en-GB"/>
        </w:rPr>
      </w:pPr>
      <w:r>
        <w:rPr>
          <w:lang w:val="en-GB"/>
        </w:rPr>
        <w:t xml:space="preserve"> </w:t>
      </w:r>
      <w:r w:rsidR="002C5150" w:rsidRPr="00C9026A">
        <w:rPr>
          <w:lang w:val="en-GB"/>
        </w:rPr>
        <w:t xml:space="preserve">As explained in the </w:t>
      </w:r>
      <w:r w:rsidR="001078D5">
        <w:rPr>
          <w:lang w:val="en-GB"/>
        </w:rPr>
        <w:t>Section 5</w:t>
      </w:r>
      <w:r w:rsidR="0042605E" w:rsidRPr="0042605E">
        <w:rPr>
          <w:lang w:val="en-GB"/>
        </w:rPr>
        <w:t xml:space="preserve"> </w:t>
      </w:r>
      <w:r w:rsidR="0042605E" w:rsidRPr="00C9026A">
        <w:rPr>
          <w:lang w:val="en-GB"/>
        </w:rPr>
        <w:t>of this Safety Guide</w:t>
      </w:r>
      <w:r w:rsidR="00743ADB">
        <w:rPr>
          <w:lang w:val="en-GB"/>
        </w:rPr>
        <w:t>, para</w:t>
      </w:r>
      <w:r>
        <w:rPr>
          <w:lang w:val="en-GB"/>
        </w:rPr>
        <w:t>s</w:t>
      </w:r>
      <w:r w:rsidR="00743ADB">
        <w:rPr>
          <w:lang w:val="en-GB"/>
        </w:rPr>
        <w:t xml:space="preserve"> 5.4</w:t>
      </w:r>
      <w:r>
        <w:rPr>
          <w:lang w:val="en-GB"/>
        </w:rPr>
        <w:t>3</w:t>
      </w:r>
      <w:r w:rsidR="00743ADB">
        <w:rPr>
          <w:lang w:val="en-GB"/>
        </w:rPr>
        <w:t xml:space="preserve"> to 5.7</w:t>
      </w:r>
      <w:r w:rsidR="007C230D">
        <w:rPr>
          <w:lang w:val="en-GB"/>
        </w:rPr>
        <w:t>5</w:t>
      </w:r>
      <w:r w:rsidR="002C5150" w:rsidRPr="00C9026A">
        <w:rPr>
          <w:lang w:val="en-GB"/>
        </w:rPr>
        <w:t xml:space="preserve">, </w:t>
      </w:r>
      <w:r w:rsidR="00AB2110" w:rsidRPr="00C9026A">
        <w:rPr>
          <w:lang w:val="en-GB"/>
        </w:rPr>
        <w:t>w</w:t>
      </w:r>
      <w:r w:rsidR="00AB2110">
        <w:rPr>
          <w:lang w:val="en-GB"/>
        </w:rPr>
        <w:t>h</w:t>
      </w:r>
      <w:r w:rsidR="00AB2110" w:rsidRPr="00C9026A">
        <w:rPr>
          <w:lang w:val="en-GB"/>
        </w:rPr>
        <w:t>en</w:t>
      </w:r>
      <w:r w:rsidR="002C5150" w:rsidRPr="00C9026A">
        <w:rPr>
          <w:lang w:val="en-GB"/>
        </w:rPr>
        <w:t xml:space="preserve"> using a</w:t>
      </w:r>
      <w:r w:rsidR="00F5185C">
        <w:rPr>
          <w:lang w:val="en-GB"/>
        </w:rPr>
        <w:t>n</w:t>
      </w:r>
      <w:r w:rsidR="002C5150" w:rsidRPr="00C9026A">
        <w:rPr>
          <w:lang w:val="en-GB"/>
        </w:rPr>
        <w:t xml:space="preserve"> approach for assessing </w:t>
      </w:r>
      <w:r w:rsidR="00A53CC8" w:rsidRPr="00C9026A">
        <w:rPr>
          <w:lang w:val="en-GB"/>
        </w:rPr>
        <w:t xml:space="preserve">prospectively </w:t>
      </w:r>
      <w:r w:rsidR="002C5150" w:rsidRPr="00C9026A">
        <w:rPr>
          <w:lang w:val="en-GB"/>
        </w:rPr>
        <w:t xml:space="preserve">the impact of potential exposures, for each </w:t>
      </w:r>
      <w:r w:rsidR="00743ADB">
        <w:rPr>
          <w:lang w:val="en-GB"/>
        </w:rPr>
        <w:t xml:space="preserve">accident </w:t>
      </w:r>
      <w:r w:rsidR="002D7BAD" w:rsidRPr="00C9026A">
        <w:rPr>
          <w:lang w:val="en-GB"/>
        </w:rPr>
        <w:t xml:space="preserve"> </w:t>
      </w:r>
      <w:r w:rsidR="002C5150" w:rsidRPr="00C9026A">
        <w:rPr>
          <w:lang w:val="en-GB"/>
        </w:rPr>
        <w:t xml:space="preserve">scenario, a consequence (e.g. a dose to </w:t>
      </w:r>
      <w:r w:rsidR="0042605E">
        <w:rPr>
          <w:lang w:val="en-GB"/>
        </w:rPr>
        <w:t xml:space="preserve">the </w:t>
      </w:r>
      <w:r w:rsidR="002C5150" w:rsidRPr="00C9026A">
        <w:rPr>
          <w:lang w:val="en-GB"/>
        </w:rPr>
        <w:t xml:space="preserve">representative person) and the associated probability of that consequence </w:t>
      </w:r>
      <w:r>
        <w:rPr>
          <w:lang w:val="en-GB"/>
        </w:rPr>
        <w:t>is</w:t>
      </w:r>
      <w:r w:rsidR="002C5150" w:rsidRPr="00C9026A">
        <w:rPr>
          <w:lang w:val="en-GB"/>
        </w:rPr>
        <w:t xml:space="preserve"> determined.</w:t>
      </w:r>
    </w:p>
    <w:p w:rsidR="002C5150" w:rsidRPr="00C9026A" w:rsidRDefault="002C5150" w:rsidP="00A57A35">
      <w:pPr>
        <w:pStyle w:val="AnnexHeading3"/>
        <w:rPr>
          <w:lang w:val="en-GB"/>
        </w:rPr>
      </w:pPr>
      <w:r w:rsidRPr="00C9026A">
        <w:rPr>
          <w:lang w:val="en-GB"/>
        </w:rPr>
        <w:lastRenderedPageBreak/>
        <w:t xml:space="preserve">For </w:t>
      </w:r>
      <w:r w:rsidR="00A53CC8" w:rsidRPr="00C9026A">
        <w:rPr>
          <w:lang w:val="en-GB"/>
        </w:rPr>
        <w:t xml:space="preserve">assessment </w:t>
      </w:r>
      <w:r w:rsidR="00CE547A" w:rsidRPr="00C9026A">
        <w:rPr>
          <w:lang w:val="en-GB"/>
        </w:rPr>
        <w:t>for</w:t>
      </w:r>
      <w:r w:rsidR="00A53CC8" w:rsidRPr="00C9026A">
        <w:rPr>
          <w:lang w:val="en-GB"/>
        </w:rPr>
        <w:t xml:space="preserve"> </w:t>
      </w:r>
      <w:r w:rsidRPr="00C9026A">
        <w:rPr>
          <w:lang w:val="en-GB"/>
        </w:rPr>
        <w:t xml:space="preserve">radiation </w:t>
      </w:r>
      <w:r w:rsidR="00A53CC8" w:rsidRPr="00C9026A">
        <w:rPr>
          <w:lang w:val="en-GB"/>
        </w:rPr>
        <w:t xml:space="preserve">protection </w:t>
      </w:r>
      <w:r w:rsidRPr="00C9026A">
        <w:rPr>
          <w:lang w:val="en-GB"/>
        </w:rPr>
        <w:t>purposes</w:t>
      </w:r>
      <w:r w:rsidR="00AB39DB">
        <w:rPr>
          <w:lang w:val="en-GB"/>
        </w:rPr>
        <w:t>,</w:t>
      </w:r>
      <w:r w:rsidRPr="00C9026A">
        <w:rPr>
          <w:lang w:val="en-GB"/>
        </w:rPr>
        <w:t xml:space="preserve"> it could be useful to define a single </w:t>
      </w:r>
      <w:r w:rsidR="00F5185C">
        <w:rPr>
          <w:lang w:val="en-GB"/>
        </w:rPr>
        <w:t xml:space="preserve">quantity </w:t>
      </w:r>
      <w:r w:rsidR="00AB39DB">
        <w:rPr>
          <w:lang w:val="en-GB"/>
        </w:rPr>
        <w:t xml:space="preserve">that </w:t>
      </w:r>
      <w:r w:rsidR="00F5185C">
        <w:rPr>
          <w:lang w:val="en-GB"/>
        </w:rPr>
        <w:t>gives</w:t>
      </w:r>
      <w:r w:rsidRPr="00C9026A">
        <w:rPr>
          <w:lang w:val="en-GB"/>
        </w:rPr>
        <w:t xml:space="preserve"> a measure of </w:t>
      </w:r>
      <w:r w:rsidR="00AB39DB">
        <w:rPr>
          <w:lang w:val="en-GB"/>
        </w:rPr>
        <w:t xml:space="preserve">the </w:t>
      </w:r>
      <w:r w:rsidRPr="00C9026A">
        <w:rPr>
          <w:lang w:val="en-GB"/>
        </w:rPr>
        <w:t>individual risk</w:t>
      </w:r>
      <w:r w:rsidR="00AB39DB">
        <w:rPr>
          <w:lang w:val="en-GB"/>
        </w:rPr>
        <w:t xml:space="preserve"> of health effects</w:t>
      </w:r>
      <w:r w:rsidRPr="00C9026A">
        <w:rPr>
          <w:rStyle w:val="FootnoteReference"/>
          <w:lang w:val="en-GB"/>
        </w:rPr>
        <w:footnoteReference w:id="45"/>
      </w:r>
      <w:r w:rsidRPr="00C9026A">
        <w:rPr>
          <w:lang w:val="en-GB"/>
        </w:rPr>
        <w:t xml:space="preserve"> [</w:t>
      </w:r>
      <w:r w:rsidR="00093152" w:rsidRPr="00C9026A">
        <w:rPr>
          <w:lang w:val="en-GB"/>
        </w:rPr>
        <w:t>II-3</w:t>
      </w:r>
      <w:r w:rsidRPr="00C9026A">
        <w:rPr>
          <w:lang w:val="en-GB"/>
        </w:rPr>
        <w:t xml:space="preserve">]. Since the consequence of a radiation dose can be expressed as </w:t>
      </w:r>
      <w:r w:rsidR="0061079A">
        <w:rPr>
          <w:lang w:val="en-GB"/>
        </w:rPr>
        <w:t>an</w:t>
      </w:r>
      <w:r w:rsidR="0061079A" w:rsidRPr="00C9026A">
        <w:rPr>
          <w:lang w:val="en-GB"/>
        </w:rPr>
        <w:t xml:space="preserve"> </w:t>
      </w:r>
      <w:r w:rsidR="00DA3EDD" w:rsidRPr="00C9026A">
        <w:rPr>
          <w:lang w:val="en-GB"/>
        </w:rPr>
        <w:t>increased probability of</w:t>
      </w:r>
      <w:r w:rsidR="0059029A" w:rsidRPr="00C9026A">
        <w:rPr>
          <w:lang w:val="en-GB"/>
        </w:rPr>
        <w:t xml:space="preserve"> </w:t>
      </w:r>
      <w:r w:rsidRPr="00C9026A">
        <w:rPr>
          <w:lang w:val="en-GB"/>
        </w:rPr>
        <w:t>health effects (</w:t>
      </w:r>
      <w:r w:rsidR="00F5185C">
        <w:rPr>
          <w:lang w:val="en-GB"/>
        </w:rPr>
        <w:t>e.g.</w:t>
      </w:r>
      <w:r w:rsidRPr="00C9026A">
        <w:rPr>
          <w:lang w:val="en-GB"/>
        </w:rPr>
        <w:t xml:space="preserve"> death from cancer)</w:t>
      </w:r>
      <w:r w:rsidRPr="00C9026A">
        <w:rPr>
          <w:rStyle w:val="FootnoteReference"/>
          <w:lang w:val="en-GB"/>
        </w:rPr>
        <w:footnoteReference w:id="46"/>
      </w:r>
      <w:r w:rsidRPr="00C9026A">
        <w:rPr>
          <w:lang w:val="en-GB"/>
        </w:rPr>
        <w:t xml:space="preserve">, an indication of the risk can be </w:t>
      </w:r>
      <w:r w:rsidR="00F5185C">
        <w:rPr>
          <w:lang w:val="en-GB"/>
        </w:rPr>
        <w:t>obtain</w:t>
      </w:r>
      <w:r w:rsidRPr="00C9026A">
        <w:rPr>
          <w:lang w:val="en-GB"/>
        </w:rPr>
        <w:t xml:space="preserve">ed by combining the probability </w:t>
      </w:r>
      <w:r w:rsidR="00A53CC8" w:rsidRPr="00C9026A">
        <w:rPr>
          <w:i/>
          <w:lang w:val="en-GB"/>
        </w:rPr>
        <w:t>p</w:t>
      </w:r>
      <w:r w:rsidR="00AB39DB" w:rsidRPr="00AB39DB">
        <w:rPr>
          <w:i/>
          <w:vertAlign w:val="subscript"/>
          <w:lang w:val="en-GB"/>
        </w:rPr>
        <w:t>i</w:t>
      </w:r>
      <w:r w:rsidR="00A53CC8" w:rsidRPr="00C9026A">
        <w:rPr>
          <w:lang w:val="en-GB"/>
        </w:rPr>
        <w:t xml:space="preserve"> </w:t>
      </w:r>
      <w:r w:rsidRPr="00C9026A">
        <w:rPr>
          <w:lang w:val="en-GB"/>
        </w:rPr>
        <w:t xml:space="preserve">of the </w:t>
      </w:r>
      <w:r w:rsidR="00F5185C">
        <w:rPr>
          <w:lang w:val="en-GB"/>
        </w:rPr>
        <w:t>occurrence</w:t>
      </w:r>
      <w:r w:rsidR="00B171D2">
        <w:rPr>
          <w:lang w:val="en-GB"/>
        </w:rPr>
        <w:t xml:space="preserve"> of </w:t>
      </w:r>
      <w:r w:rsidR="00D77D8D">
        <w:rPr>
          <w:lang w:val="en-GB"/>
        </w:rPr>
        <w:t xml:space="preserve">accident </w:t>
      </w:r>
      <w:r w:rsidRPr="00C9026A">
        <w:rPr>
          <w:lang w:val="en-GB"/>
        </w:rPr>
        <w:t xml:space="preserve">scenario </w:t>
      </w:r>
      <w:proofErr w:type="spellStart"/>
      <w:r w:rsidRPr="00C9026A">
        <w:rPr>
          <w:i/>
          <w:lang w:val="en-GB"/>
        </w:rPr>
        <w:t>i</w:t>
      </w:r>
      <w:proofErr w:type="spellEnd"/>
      <w:r w:rsidR="00CA6ACB" w:rsidRPr="00CA6ACB">
        <w:rPr>
          <w:lang w:val="en-GB"/>
        </w:rPr>
        <w:t>,</w:t>
      </w:r>
      <w:r w:rsidRPr="00C9026A">
        <w:rPr>
          <w:lang w:val="en-GB"/>
        </w:rPr>
        <w:t xml:space="preserve"> and the probability of </w:t>
      </w:r>
      <w:r w:rsidR="0061079A">
        <w:rPr>
          <w:lang w:val="en-GB"/>
        </w:rPr>
        <w:t>a</w:t>
      </w:r>
      <w:r w:rsidR="0061079A" w:rsidRPr="00C9026A">
        <w:rPr>
          <w:lang w:val="en-GB"/>
        </w:rPr>
        <w:t xml:space="preserve"> </w:t>
      </w:r>
      <w:r w:rsidR="0061079A">
        <w:rPr>
          <w:lang w:val="en-GB"/>
        </w:rPr>
        <w:t xml:space="preserve">particular </w:t>
      </w:r>
      <w:r w:rsidRPr="00C9026A">
        <w:rPr>
          <w:lang w:val="en-GB"/>
        </w:rPr>
        <w:t xml:space="preserve">health effect if </w:t>
      </w:r>
      <w:r w:rsidR="0061079A">
        <w:rPr>
          <w:lang w:val="en-GB"/>
        </w:rPr>
        <w:t>the</w:t>
      </w:r>
      <w:r w:rsidR="00D77D8D">
        <w:rPr>
          <w:lang w:val="en-GB"/>
        </w:rPr>
        <w:t xml:space="preserve"> accident</w:t>
      </w:r>
      <w:r w:rsidR="0061079A">
        <w:rPr>
          <w:lang w:val="en-GB"/>
        </w:rPr>
        <w:t xml:space="preserve"> scenario </w:t>
      </w:r>
      <w:proofErr w:type="spellStart"/>
      <w:r w:rsidR="0061079A" w:rsidRPr="0061079A">
        <w:rPr>
          <w:i/>
          <w:lang w:val="en-GB"/>
        </w:rPr>
        <w:t>i</w:t>
      </w:r>
      <w:proofErr w:type="spellEnd"/>
      <w:r w:rsidR="0061079A" w:rsidRPr="00C9026A">
        <w:rPr>
          <w:lang w:val="en-GB"/>
        </w:rPr>
        <w:t xml:space="preserve"> </w:t>
      </w:r>
      <w:r w:rsidRPr="00C9026A">
        <w:rPr>
          <w:lang w:val="en-GB"/>
        </w:rPr>
        <w:t xml:space="preserve">occurs </w:t>
      </w:r>
      <w:r w:rsidRPr="00C9026A">
        <w:rPr>
          <w:i/>
          <w:lang w:val="en-GB"/>
        </w:rPr>
        <w:t>C</w:t>
      </w:r>
      <w:r w:rsidRPr="00C9026A">
        <w:rPr>
          <w:i/>
          <w:vertAlign w:val="subscript"/>
          <w:lang w:val="en-GB"/>
        </w:rPr>
        <w:t>i</w:t>
      </w:r>
      <w:r w:rsidR="00AB39DB" w:rsidRPr="00D77D8D">
        <w:rPr>
          <w:lang w:val="en-GB"/>
        </w:rPr>
        <w:t>,</w:t>
      </w:r>
      <w:r w:rsidR="00AB39DB">
        <w:rPr>
          <w:i/>
          <w:lang w:val="en-GB"/>
        </w:rPr>
        <w:t xml:space="preserve"> </w:t>
      </w:r>
      <w:r w:rsidR="00AB39DB" w:rsidRPr="0042605E">
        <w:rPr>
          <w:lang w:val="en-GB"/>
        </w:rPr>
        <w:t>namely</w:t>
      </w:r>
    </w:p>
    <w:p w:rsidR="002C5150" w:rsidRPr="00C9026A" w:rsidRDefault="002C5150" w:rsidP="00A57A35">
      <w:pPr>
        <w:pStyle w:val="BodyText"/>
        <w:tabs>
          <w:tab w:val="center" w:pos="4536"/>
          <w:tab w:val="right" w:pos="9060"/>
        </w:tabs>
        <w:rPr>
          <w:lang w:val="en-GB"/>
        </w:rPr>
      </w:pPr>
      <w:r w:rsidRPr="00C9026A">
        <w:rPr>
          <w:lang w:val="en-GB"/>
        </w:rPr>
        <w:tab/>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oMath>
      <w:r w:rsidRPr="00C9026A">
        <w:rPr>
          <w:lang w:val="en-GB"/>
        </w:rPr>
        <w:tab/>
        <w:t>(</w:t>
      </w:r>
      <w:r w:rsidR="00A51BE7" w:rsidRPr="00C9026A">
        <w:rPr>
          <w:lang w:val="en-GB"/>
        </w:rPr>
        <w:fldChar w:fldCharType="begin"/>
      </w:r>
      <w:r w:rsidRPr="00C9026A">
        <w:rPr>
          <w:lang w:val="en-GB"/>
        </w:rPr>
        <w:instrText xml:space="preserve"> STYLEREF "Annex Heading 1"\l \t \w  </w:instrText>
      </w:r>
      <w:r w:rsidR="00A51BE7" w:rsidRPr="00C9026A">
        <w:rPr>
          <w:lang w:val="en-GB"/>
        </w:rPr>
        <w:fldChar w:fldCharType="separate"/>
      </w:r>
      <w:r w:rsidR="005E3463">
        <w:rPr>
          <w:noProof/>
          <w:lang w:val="en-GB"/>
        </w:rPr>
        <w:t>II</w:t>
      </w:r>
      <w:r w:rsidR="00A51BE7" w:rsidRPr="00C9026A">
        <w:rPr>
          <w:lang w:val="en-GB"/>
        </w:rPr>
        <w:fldChar w:fldCharType="end"/>
      </w:r>
      <w:r w:rsidRPr="00C9026A">
        <w:rPr>
          <w:lang w:val="en-GB"/>
        </w:rPr>
        <w:t>-</w:t>
      </w:r>
      <w:r w:rsidR="00A51BE7" w:rsidRPr="00C9026A">
        <w:rPr>
          <w:lang w:val="en-GB"/>
        </w:rPr>
        <w:fldChar w:fldCharType="begin"/>
      </w:r>
      <w:r w:rsidR="007D76C6" w:rsidRPr="00C9026A">
        <w:rPr>
          <w:lang w:val="en-GB"/>
        </w:rPr>
        <w:instrText xml:space="preserve"> SEQ AnnexIIIEquation\n  \* MERGEFORMAT </w:instrText>
      </w:r>
      <w:r w:rsidR="00A51BE7" w:rsidRPr="00C9026A">
        <w:rPr>
          <w:lang w:val="en-GB"/>
        </w:rPr>
        <w:fldChar w:fldCharType="separate"/>
      </w:r>
      <w:r w:rsidR="005E3463">
        <w:rPr>
          <w:noProof/>
          <w:lang w:val="en-GB"/>
        </w:rPr>
        <w:t>1</w:t>
      </w:r>
      <w:r w:rsidR="00A51BE7" w:rsidRPr="00C9026A">
        <w:rPr>
          <w:lang w:val="en-GB"/>
        </w:rPr>
        <w:fldChar w:fldCharType="end"/>
      </w:r>
      <w:r w:rsidRPr="00C9026A">
        <w:rPr>
          <w:lang w:val="en-GB"/>
        </w:rPr>
        <w:t>)</w:t>
      </w:r>
    </w:p>
    <w:p w:rsidR="002C5150" w:rsidRPr="00C9026A" w:rsidRDefault="00AB39DB" w:rsidP="00A57A35">
      <w:pPr>
        <w:pStyle w:val="BodyText"/>
        <w:rPr>
          <w:lang w:val="en-GB"/>
        </w:rPr>
      </w:pPr>
      <w:proofErr w:type="gramStart"/>
      <w:r>
        <w:rPr>
          <w:lang w:val="en-GB"/>
        </w:rPr>
        <w:t>such</w:t>
      </w:r>
      <w:proofErr w:type="gramEnd"/>
      <w:r>
        <w:rPr>
          <w:lang w:val="en-GB"/>
        </w:rPr>
        <w:t xml:space="preserve"> that</w:t>
      </w:r>
      <w:r w:rsidRPr="00C9026A">
        <w:rPr>
          <w:lang w:val="en-GB"/>
        </w:rPr>
        <w:t xml:space="preserve"> </w:t>
      </w:r>
      <w:proofErr w:type="spellStart"/>
      <w:r w:rsidR="002C5150" w:rsidRPr="00C9026A">
        <w:rPr>
          <w:i/>
          <w:lang w:val="en-GB"/>
        </w:rPr>
        <w:t>R</w:t>
      </w:r>
      <w:r w:rsidR="002C5150" w:rsidRPr="00C9026A">
        <w:rPr>
          <w:i/>
          <w:vertAlign w:val="subscript"/>
          <w:lang w:val="en-GB"/>
        </w:rPr>
        <w:t>i</w:t>
      </w:r>
      <w:proofErr w:type="spellEnd"/>
      <w:r w:rsidR="002C5150" w:rsidRPr="00C9026A">
        <w:rPr>
          <w:lang w:val="en-GB"/>
        </w:rPr>
        <w:t xml:space="preserve"> is the risk of </w:t>
      </w:r>
      <w:r>
        <w:rPr>
          <w:lang w:val="en-GB"/>
        </w:rPr>
        <w:t xml:space="preserve">a particular </w:t>
      </w:r>
      <w:r w:rsidR="002C5150" w:rsidRPr="00C9026A">
        <w:rPr>
          <w:lang w:val="en-GB"/>
        </w:rPr>
        <w:t xml:space="preserve">health effect due to </w:t>
      </w:r>
      <w:r w:rsidR="005E241C" w:rsidRPr="00C9026A">
        <w:rPr>
          <w:lang w:val="en-GB"/>
        </w:rPr>
        <w:t xml:space="preserve">potential exposure </w:t>
      </w:r>
      <w:r w:rsidR="002C5150" w:rsidRPr="00C9026A">
        <w:rPr>
          <w:lang w:val="en-GB"/>
        </w:rPr>
        <w:t xml:space="preserve">scenario </w:t>
      </w:r>
      <w:proofErr w:type="spellStart"/>
      <w:r w:rsidR="002C5150" w:rsidRPr="00C9026A">
        <w:rPr>
          <w:i/>
          <w:lang w:val="en-GB"/>
        </w:rPr>
        <w:t>i</w:t>
      </w:r>
      <w:proofErr w:type="spellEnd"/>
      <w:r w:rsidR="002C5150" w:rsidRPr="00C9026A">
        <w:rPr>
          <w:lang w:val="en-GB"/>
        </w:rPr>
        <w:t>.</w:t>
      </w:r>
    </w:p>
    <w:p w:rsidR="002C5150" w:rsidRPr="00C9026A" w:rsidRDefault="002C5150" w:rsidP="00A57A35">
      <w:pPr>
        <w:pStyle w:val="AnnexHeading3"/>
        <w:rPr>
          <w:lang w:val="en-GB"/>
        </w:rPr>
      </w:pPr>
      <w:r w:rsidRPr="00C9026A">
        <w:rPr>
          <w:lang w:val="en-GB"/>
        </w:rPr>
        <w:t xml:space="preserve">If </w:t>
      </w:r>
      <w:r w:rsidR="00AB39DB">
        <w:rPr>
          <w:lang w:val="en-GB"/>
        </w:rPr>
        <w:t>several mutually independent</w:t>
      </w:r>
      <w:r w:rsidRPr="00C9026A">
        <w:rPr>
          <w:lang w:val="en-GB"/>
        </w:rPr>
        <w:t xml:space="preserve"> events are </w:t>
      </w:r>
      <w:r w:rsidR="00AB39DB">
        <w:rPr>
          <w:lang w:val="en-GB"/>
        </w:rPr>
        <w:t>to be considered</w:t>
      </w:r>
      <w:r w:rsidRPr="00C9026A">
        <w:rPr>
          <w:lang w:val="en-GB"/>
        </w:rPr>
        <w:t xml:space="preserve"> and the probabilities of the events are low, the risks of </w:t>
      </w:r>
      <w:r w:rsidR="00AB39DB">
        <w:rPr>
          <w:lang w:val="en-GB"/>
        </w:rPr>
        <w:t>health effect</w:t>
      </w:r>
      <w:r w:rsidR="004757CE">
        <w:rPr>
          <w:lang w:val="en-GB"/>
        </w:rPr>
        <w:t>s</w:t>
      </w:r>
      <w:r w:rsidR="00AB39DB">
        <w:rPr>
          <w:lang w:val="en-GB"/>
        </w:rPr>
        <w:t xml:space="preserve"> due to </w:t>
      </w:r>
      <w:r w:rsidRPr="00C9026A">
        <w:rPr>
          <w:lang w:val="en-GB"/>
        </w:rPr>
        <w:t xml:space="preserve">all potential </w:t>
      </w:r>
      <w:r w:rsidR="002D7BAD" w:rsidRPr="00C9026A">
        <w:rPr>
          <w:lang w:val="en-GB"/>
        </w:rPr>
        <w:t xml:space="preserve">exposure </w:t>
      </w:r>
      <w:r w:rsidRPr="00C9026A">
        <w:rPr>
          <w:lang w:val="en-GB"/>
        </w:rPr>
        <w:t xml:space="preserve">scenarios </w:t>
      </w:r>
      <w:r w:rsidR="00AB39DB">
        <w:rPr>
          <w:lang w:val="en-GB"/>
        </w:rPr>
        <w:t xml:space="preserve">under consideration </w:t>
      </w:r>
      <w:r w:rsidRPr="00C9026A">
        <w:rPr>
          <w:lang w:val="en-GB"/>
        </w:rPr>
        <w:t xml:space="preserve">could then be </w:t>
      </w:r>
      <w:r w:rsidR="00AB39DB">
        <w:rPr>
          <w:lang w:val="en-GB"/>
        </w:rPr>
        <w:t>summed</w:t>
      </w:r>
      <w:r w:rsidR="00F5185C">
        <w:rPr>
          <w:lang w:val="en-GB"/>
        </w:rPr>
        <w:t xml:space="preserve"> </w:t>
      </w:r>
      <w:r w:rsidRPr="00C9026A">
        <w:rPr>
          <w:lang w:val="en-GB"/>
        </w:rPr>
        <w:t>to give the overall probability of health effect</w:t>
      </w:r>
      <w:r w:rsidR="004757CE">
        <w:rPr>
          <w:lang w:val="en-GB"/>
        </w:rPr>
        <w:t>s</w:t>
      </w:r>
      <w:r w:rsidRPr="00C9026A">
        <w:rPr>
          <w:lang w:val="en-GB"/>
        </w:rPr>
        <w:t xml:space="preserve"> </w:t>
      </w:r>
      <w:r w:rsidR="004757CE">
        <w:rPr>
          <w:lang w:val="en-GB"/>
        </w:rPr>
        <w:t>on</w:t>
      </w:r>
      <w:r w:rsidR="004757CE" w:rsidRPr="00C9026A">
        <w:rPr>
          <w:lang w:val="en-GB"/>
        </w:rPr>
        <w:t xml:space="preserve"> </w:t>
      </w:r>
      <w:r w:rsidRPr="00C9026A">
        <w:rPr>
          <w:lang w:val="en-GB"/>
        </w:rPr>
        <w:t>the representative person:</w:t>
      </w:r>
    </w:p>
    <w:p w:rsidR="002C5150" w:rsidRPr="00C9026A" w:rsidRDefault="002C5150" w:rsidP="00A57A35">
      <w:pPr>
        <w:pStyle w:val="BodyText"/>
        <w:tabs>
          <w:tab w:val="center" w:pos="4536"/>
          <w:tab w:val="right" w:pos="9060"/>
        </w:tabs>
        <w:rPr>
          <w:lang w:val="en-GB"/>
        </w:rPr>
      </w:pPr>
      <w:r w:rsidRPr="00C9026A">
        <w:rPr>
          <w:lang w:val="en-GB"/>
        </w:rPr>
        <w:tab/>
      </w:r>
      <m:oMath>
        <m:r>
          <w:rPr>
            <w:rFonts w:ascii="Cambria Math" w:hAnsi="Cambria Math"/>
            <w:lang w:val="en-GB"/>
          </w:rPr>
          <m:t>R=</m:t>
        </m:r>
        <m:nary>
          <m:naryPr>
            <m:chr m:val="∑"/>
            <m:limLoc m:val="undOvr"/>
            <m:ctrlPr>
              <w:rPr>
                <w:rFonts w:ascii="Cambria Math" w:hAnsi="Cambria Math"/>
                <w:i/>
                <w:lang w:val="en-GB"/>
              </w:rPr>
            </m:ctrlPr>
          </m:naryPr>
          <m:sub>
            <m:r>
              <w:rPr>
                <w:rFonts w:ascii="Cambria Math" w:hAnsi="Cambria Math"/>
                <w:lang w:val="en-GB"/>
              </w:rPr>
              <m:t>i</m:t>
            </m:r>
          </m:sub>
          <m:sup/>
          <m:e>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i</m:t>
                </m:r>
              </m:sub>
            </m:sSub>
          </m:e>
        </m:nary>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oMath>
      <w:r w:rsidRPr="00C9026A">
        <w:rPr>
          <w:lang w:val="en-GB"/>
        </w:rPr>
        <w:tab/>
        <w:t>(</w:t>
      </w:r>
      <w:r w:rsidR="00A51BE7" w:rsidRPr="00C9026A">
        <w:rPr>
          <w:lang w:val="en-GB"/>
        </w:rPr>
        <w:fldChar w:fldCharType="begin"/>
      </w:r>
      <w:r w:rsidRPr="00C9026A">
        <w:rPr>
          <w:lang w:val="en-GB"/>
        </w:rPr>
        <w:instrText xml:space="preserve"> STYLEREF "Annex Heading 1"\l \t \w  </w:instrText>
      </w:r>
      <w:r w:rsidR="00A51BE7" w:rsidRPr="00C9026A">
        <w:rPr>
          <w:lang w:val="en-GB"/>
        </w:rPr>
        <w:fldChar w:fldCharType="separate"/>
      </w:r>
      <w:r w:rsidR="005E3463">
        <w:rPr>
          <w:noProof/>
          <w:lang w:val="en-GB"/>
        </w:rPr>
        <w:t>II</w:t>
      </w:r>
      <w:r w:rsidR="00A51BE7" w:rsidRPr="00C9026A">
        <w:rPr>
          <w:lang w:val="en-GB"/>
        </w:rPr>
        <w:fldChar w:fldCharType="end"/>
      </w:r>
      <w:r w:rsidRPr="00C9026A">
        <w:rPr>
          <w:lang w:val="en-GB"/>
        </w:rPr>
        <w:t>-</w:t>
      </w:r>
      <w:r w:rsidR="00A51BE7" w:rsidRPr="00C9026A">
        <w:rPr>
          <w:lang w:val="en-GB"/>
        </w:rPr>
        <w:fldChar w:fldCharType="begin"/>
      </w:r>
      <w:r w:rsidR="007D76C6" w:rsidRPr="00C9026A">
        <w:rPr>
          <w:lang w:val="en-GB"/>
        </w:rPr>
        <w:instrText xml:space="preserve"> SEQ AnnexIIIEquation\n  \* MERGEFORMAT </w:instrText>
      </w:r>
      <w:r w:rsidR="00A51BE7" w:rsidRPr="00C9026A">
        <w:rPr>
          <w:lang w:val="en-GB"/>
        </w:rPr>
        <w:fldChar w:fldCharType="separate"/>
      </w:r>
      <w:r w:rsidR="005E3463">
        <w:rPr>
          <w:noProof/>
          <w:lang w:val="en-GB"/>
        </w:rPr>
        <w:t>2</w:t>
      </w:r>
      <w:r w:rsidR="00A51BE7" w:rsidRPr="00C9026A">
        <w:rPr>
          <w:lang w:val="en-GB"/>
        </w:rPr>
        <w:fldChar w:fldCharType="end"/>
      </w:r>
      <w:r w:rsidRPr="00C9026A">
        <w:rPr>
          <w:lang w:val="en-GB"/>
        </w:rPr>
        <w:t>)</w:t>
      </w:r>
    </w:p>
    <w:p w:rsidR="002C5150" w:rsidRPr="00C9026A" w:rsidRDefault="002C5150" w:rsidP="00A57A35">
      <w:pPr>
        <w:pStyle w:val="AnnexHeading3"/>
        <w:rPr>
          <w:lang w:val="en-GB"/>
        </w:rPr>
      </w:pPr>
      <w:r w:rsidRPr="00C9026A">
        <w:rPr>
          <w:lang w:val="en-GB"/>
        </w:rPr>
        <w:t xml:space="preserve">As </w:t>
      </w:r>
      <w:r w:rsidR="00F469C7">
        <w:rPr>
          <w:lang w:val="en-GB"/>
        </w:rPr>
        <w:t>described</w:t>
      </w:r>
      <w:r w:rsidR="00F469C7" w:rsidRPr="00C9026A">
        <w:rPr>
          <w:lang w:val="en-GB"/>
        </w:rPr>
        <w:t xml:space="preserve"> </w:t>
      </w:r>
      <w:r w:rsidRPr="00C9026A">
        <w:rPr>
          <w:lang w:val="en-GB"/>
        </w:rPr>
        <w:t>in the previous paragraphs, the risk estimated within a</w:t>
      </w:r>
      <w:r w:rsidR="00937789">
        <w:rPr>
          <w:lang w:val="en-GB"/>
        </w:rPr>
        <w:t xml:space="preserve"> prospective radiological environmental impact </w:t>
      </w:r>
      <w:r w:rsidR="007E4B41" w:rsidRPr="00C9026A">
        <w:rPr>
          <w:lang w:val="en-GB"/>
        </w:rPr>
        <w:t xml:space="preserve">assessment as described </w:t>
      </w:r>
      <w:r w:rsidR="009B1F2C" w:rsidRPr="00C9026A">
        <w:rPr>
          <w:lang w:val="en-GB"/>
        </w:rPr>
        <w:t xml:space="preserve">in </w:t>
      </w:r>
      <w:r w:rsidR="007E4B41" w:rsidRPr="00C9026A">
        <w:rPr>
          <w:lang w:val="en-GB"/>
        </w:rPr>
        <w:t xml:space="preserve">this </w:t>
      </w:r>
      <w:r w:rsidR="00AB39DB">
        <w:rPr>
          <w:lang w:val="en-GB"/>
        </w:rPr>
        <w:t>S</w:t>
      </w:r>
      <w:r w:rsidR="007E4B41" w:rsidRPr="00C9026A">
        <w:rPr>
          <w:lang w:val="en-GB"/>
        </w:rPr>
        <w:t xml:space="preserve">afety </w:t>
      </w:r>
      <w:r w:rsidR="00AB39DB">
        <w:rPr>
          <w:lang w:val="en-GB"/>
        </w:rPr>
        <w:t>G</w:t>
      </w:r>
      <w:r w:rsidR="007E4B41" w:rsidRPr="00C9026A">
        <w:rPr>
          <w:lang w:val="en-GB"/>
        </w:rPr>
        <w:t>uide</w:t>
      </w:r>
      <w:r w:rsidRPr="00C9026A">
        <w:rPr>
          <w:lang w:val="en-GB"/>
        </w:rPr>
        <w:t xml:space="preserve"> appl</w:t>
      </w:r>
      <w:r w:rsidR="003D3E11">
        <w:rPr>
          <w:lang w:val="en-GB"/>
        </w:rPr>
        <w:t>ies</w:t>
      </w:r>
      <w:r w:rsidRPr="00C9026A">
        <w:rPr>
          <w:lang w:val="en-GB"/>
        </w:rPr>
        <w:t xml:space="preserve"> </w:t>
      </w:r>
      <w:r w:rsidR="00AB39DB">
        <w:rPr>
          <w:lang w:val="en-GB"/>
        </w:rPr>
        <w:t>for</w:t>
      </w:r>
      <w:r w:rsidR="00AB39DB" w:rsidRPr="00C9026A">
        <w:rPr>
          <w:lang w:val="en-GB"/>
        </w:rPr>
        <w:t xml:space="preserve"> </w:t>
      </w:r>
      <w:r w:rsidR="00320A64" w:rsidRPr="00C9026A">
        <w:rPr>
          <w:lang w:val="en-GB"/>
        </w:rPr>
        <w:t>an individual</w:t>
      </w:r>
      <w:r w:rsidR="00DB781B" w:rsidRPr="00C9026A">
        <w:rPr>
          <w:lang w:val="en-GB"/>
        </w:rPr>
        <w:t xml:space="preserve"> (</w:t>
      </w:r>
      <w:r w:rsidR="00F5185C">
        <w:rPr>
          <w:lang w:val="en-GB"/>
        </w:rPr>
        <w:t xml:space="preserve">i.e. </w:t>
      </w:r>
      <w:r w:rsidR="00DB781B" w:rsidRPr="00C9026A">
        <w:rPr>
          <w:lang w:val="en-GB"/>
        </w:rPr>
        <w:t>the representative person for potential exposures)</w:t>
      </w:r>
      <w:r w:rsidR="009B1F2C" w:rsidRPr="00C9026A">
        <w:rPr>
          <w:lang w:val="en-GB"/>
        </w:rPr>
        <w:t>. F</w:t>
      </w:r>
      <w:r w:rsidRPr="00C9026A">
        <w:rPr>
          <w:lang w:val="en-GB"/>
        </w:rPr>
        <w:t>or large facilities</w:t>
      </w:r>
      <w:r w:rsidR="00AB39DB">
        <w:rPr>
          <w:lang w:val="en-GB"/>
        </w:rPr>
        <w:t>,</w:t>
      </w:r>
      <w:r w:rsidRPr="00C9026A">
        <w:rPr>
          <w:lang w:val="en-GB"/>
        </w:rPr>
        <w:t xml:space="preserve"> such as </w:t>
      </w:r>
      <w:r w:rsidR="00997D7C" w:rsidRPr="00C9026A">
        <w:rPr>
          <w:lang w:val="en-GB"/>
        </w:rPr>
        <w:t>nuclear power plant</w:t>
      </w:r>
      <w:r w:rsidRPr="00C9026A">
        <w:rPr>
          <w:lang w:val="en-GB"/>
        </w:rPr>
        <w:t>s</w:t>
      </w:r>
      <w:r w:rsidR="00AB39DB">
        <w:rPr>
          <w:lang w:val="en-GB"/>
        </w:rPr>
        <w:t>,</w:t>
      </w:r>
      <w:r w:rsidRPr="00C9026A">
        <w:rPr>
          <w:lang w:val="en-GB"/>
        </w:rPr>
        <w:t xml:space="preserve"> which </w:t>
      </w:r>
      <w:r w:rsidR="00E82328" w:rsidRPr="00C9026A">
        <w:rPr>
          <w:lang w:val="en-GB"/>
        </w:rPr>
        <w:t xml:space="preserve">may </w:t>
      </w:r>
      <w:r w:rsidRPr="00C9026A">
        <w:rPr>
          <w:lang w:val="en-GB"/>
        </w:rPr>
        <w:t>potential</w:t>
      </w:r>
      <w:r w:rsidR="00E82328" w:rsidRPr="00C9026A">
        <w:rPr>
          <w:lang w:val="en-GB"/>
        </w:rPr>
        <w:t>ly</w:t>
      </w:r>
      <w:r w:rsidRPr="00C9026A">
        <w:rPr>
          <w:lang w:val="en-GB"/>
        </w:rPr>
        <w:t xml:space="preserve"> affect many individuals and </w:t>
      </w:r>
      <w:r w:rsidR="009B1F2C" w:rsidRPr="00C9026A">
        <w:rPr>
          <w:lang w:val="en-GB"/>
        </w:rPr>
        <w:t xml:space="preserve">which could </w:t>
      </w:r>
      <w:r w:rsidRPr="00C9026A">
        <w:rPr>
          <w:lang w:val="en-GB"/>
        </w:rPr>
        <w:t xml:space="preserve">cause other </w:t>
      </w:r>
      <w:r w:rsidR="00CA6ACB">
        <w:rPr>
          <w:lang w:val="en-GB"/>
        </w:rPr>
        <w:t xml:space="preserve">non-radiological </w:t>
      </w:r>
      <w:r w:rsidRPr="00C9026A">
        <w:rPr>
          <w:lang w:val="en-GB"/>
        </w:rPr>
        <w:t>impacts</w:t>
      </w:r>
      <w:r w:rsidR="00CA6ACB">
        <w:rPr>
          <w:lang w:val="en-GB"/>
        </w:rPr>
        <w:t xml:space="preserve">, such as social stress caused by </w:t>
      </w:r>
      <w:r w:rsidRPr="00C9026A">
        <w:rPr>
          <w:lang w:val="en-GB"/>
        </w:rPr>
        <w:t>evacuation and restriction</w:t>
      </w:r>
      <w:r w:rsidR="009B1F2C" w:rsidRPr="00C9026A">
        <w:rPr>
          <w:lang w:val="en-GB"/>
        </w:rPr>
        <w:t xml:space="preserve"> of </w:t>
      </w:r>
      <w:r w:rsidR="00E82328" w:rsidRPr="00C9026A">
        <w:rPr>
          <w:lang w:val="en-GB"/>
        </w:rPr>
        <w:t>land use</w:t>
      </w:r>
      <w:r w:rsidR="00CA6ACB">
        <w:rPr>
          <w:lang w:val="en-GB"/>
        </w:rPr>
        <w:t xml:space="preserve"> of large areas,</w:t>
      </w:r>
      <w:r w:rsidRPr="00C9026A">
        <w:rPr>
          <w:lang w:val="en-GB"/>
        </w:rPr>
        <w:t xml:space="preserve"> </w:t>
      </w:r>
      <w:r w:rsidR="00E82328" w:rsidRPr="00C9026A">
        <w:rPr>
          <w:lang w:val="en-GB"/>
        </w:rPr>
        <w:t>possible</w:t>
      </w:r>
      <w:r w:rsidRPr="00C9026A">
        <w:rPr>
          <w:lang w:val="en-GB"/>
        </w:rPr>
        <w:t xml:space="preserve"> societal risk could also be quantified and assessed against a criteri</w:t>
      </w:r>
      <w:r w:rsidR="00F5185C">
        <w:rPr>
          <w:lang w:val="en-GB"/>
        </w:rPr>
        <w:t>on</w:t>
      </w:r>
      <w:r w:rsidRPr="00C9026A">
        <w:rPr>
          <w:lang w:val="en-GB"/>
        </w:rPr>
        <w:t>.</w:t>
      </w:r>
      <w:r w:rsidR="00CB250E" w:rsidRPr="00C9026A">
        <w:rPr>
          <w:lang w:val="en-GB"/>
        </w:rPr>
        <w:t xml:space="preserve"> </w:t>
      </w:r>
      <w:r w:rsidR="00F5185C">
        <w:rPr>
          <w:lang w:val="en-GB"/>
        </w:rPr>
        <w:t>T</w:t>
      </w:r>
      <w:r w:rsidR="00CB250E" w:rsidRPr="00C9026A">
        <w:rPr>
          <w:lang w:val="en-GB"/>
        </w:rPr>
        <w:t>he consideration of societal risk is not included in the present guidance</w:t>
      </w:r>
      <w:r w:rsidR="007E4B41" w:rsidRPr="00C9026A">
        <w:rPr>
          <w:lang w:val="en-GB"/>
        </w:rPr>
        <w:t xml:space="preserve"> and is subject to national approaches</w:t>
      </w:r>
      <w:r w:rsidR="00CB250E" w:rsidRPr="00C9026A">
        <w:rPr>
          <w:lang w:val="en-GB"/>
        </w:rPr>
        <w:t>.</w:t>
      </w:r>
    </w:p>
    <w:p w:rsidR="002C5150" w:rsidRPr="00C9026A" w:rsidRDefault="007E4B41" w:rsidP="00A57A35">
      <w:pPr>
        <w:pStyle w:val="AnnexHeading3"/>
        <w:rPr>
          <w:lang w:val="en-GB"/>
        </w:rPr>
      </w:pPr>
      <w:r w:rsidRPr="00C9026A">
        <w:rPr>
          <w:lang w:val="en-GB"/>
        </w:rPr>
        <w:t>C</w:t>
      </w:r>
      <w:r w:rsidR="002C5150" w:rsidRPr="00C9026A">
        <w:rPr>
          <w:lang w:val="en-GB"/>
        </w:rPr>
        <w:t xml:space="preserve">riteria </w:t>
      </w:r>
      <w:r w:rsidR="004757CE">
        <w:rPr>
          <w:lang w:val="en-GB"/>
        </w:rPr>
        <w:t>that</w:t>
      </w:r>
      <w:r w:rsidR="004757CE" w:rsidRPr="00C9026A">
        <w:rPr>
          <w:lang w:val="en-GB"/>
        </w:rPr>
        <w:t xml:space="preserve"> </w:t>
      </w:r>
      <w:r w:rsidR="002C5150" w:rsidRPr="00C9026A">
        <w:rPr>
          <w:lang w:val="en-GB"/>
        </w:rPr>
        <w:t xml:space="preserve">could be used </w:t>
      </w:r>
      <w:r w:rsidR="001339C3" w:rsidRPr="00C9026A">
        <w:rPr>
          <w:lang w:val="en-GB"/>
        </w:rPr>
        <w:t xml:space="preserve">for the </w:t>
      </w:r>
      <w:r w:rsidR="004757CE">
        <w:rPr>
          <w:lang w:val="en-GB"/>
        </w:rPr>
        <w:t>comparison with the</w:t>
      </w:r>
      <w:r w:rsidR="00937789">
        <w:rPr>
          <w:lang w:val="en-GB"/>
        </w:rPr>
        <w:t xml:space="preserve"> estimation of</w:t>
      </w:r>
      <w:r w:rsidR="0061079A">
        <w:rPr>
          <w:lang w:val="en-GB"/>
        </w:rPr>
        <w:t xml:space="preserve"> the</w:t>
      </w:r>
      <w:r w:rsidR="001339C3" w:rsidRPr="00C9026A">
        <w:rPr>
          <w:lang w:val="en-GB"/>
        </w:rPr>
        <w:t xml:space="preserve"> </w:t>
      </w:r>
      <w:r w:rsidR="00A53CC8" w:rsidRPr="00C9026A">
        <w:rPr>
          <w:lang w:val="en-GB"/>
        </w:rPr>
        <w:t xml:space="preserve">risk </w:t>
      </w:r>
      <w:r w:rsidR="004757CE">
        <w:rPr>
          <w:lang w:val="en-GB"/>
        </w:rPr>
        <w:t xml:space="preserve">of health effects </w:t>
      </w:r>
      <w:r w:rsidR="00A53CC8" w:rsidRPr="00C9026A">
        <w:rPr>
          <w:lang w:val="en-GB"/>
        </w:rPr>
        <w:t xml:space="preserve">resulting from </w:t>
      </w:r>
      <w:r w:rsidR="001339C3" w:rsidRPr="00C9026A">
        <w:rPr>
          <w:lang w:val="en-GB"/>
        </w:rPr>
        <w:t xml:space="preserve">potential exposures </w:t>
      </w:r>
      <w:r w:rsidR="002C5150" w:rsidRPr="00C9026A">
        <w:rPr>
          <w:lang w:val="en-GB"/>
        </w:rPr>
        <w:t xml:space="preserve">are presented in </w:t>
      </w:r>
      <w:r w:rsidR="00985967">
        <w:rPr>
          <w:lang w:val="en-GB"/>
        </w:rPr>
        <w:t xml:space="preserve">the </w:t>
      </w:r>
      <w:r w:rsidR="002C5150" w:rsidRPr="00C9026A">
        <w:rPr>
          <w:lang w:val="en-GB"/>
        </w:rPr>
        <w:t>Appendix of this Safety Guide.</w:t>
      </w:r>
    </w:p>
    <w:p w:rsidR="000D2354" w:rsidRPr="00C9026A" w:rsidRDefault="0014688D" w:rsidP="00A57A35">
      <w:pPr>
        <w:pStyle w:val="AnnexHeading4"/>
        <w:rPr>
          <w:b w:val="0"/>
          <w:lang w:val="en-GB"/>
        </w:rPr>
      </w:pPr>
      <w:r w:rsidRPr="00C9026A">
        <w:rPr>
          <w:b w:val="0"/>
          <w:lang w:val="en-GB"/>
        </w:rPr>
        <w:t xml:space="preserve">BASIC ASPECTS OF THE PROBABILISTIC </w:t>
      </w:r>
      <w:r w:rsidR="00164873" w:rsidRPr="00C9026A">
        <w:rPr>
          <w:b w:val="0"/>
          <w:lang w:val="en-GB"/>
        </w:rPr>
        <w:t>A</w:t>
      </w:r>
      <w:r w:rsidR="00AB2110">
        <w:rPr>
          <w:b w:val="0"/>
          <w:lang w:val="en-GB"/>
        </w:rPr>
        <w:t>S</w:t>
      </w:r>
      <w:r w:rsidR="00164873" w:rsidRPr="00C9026A">
        <w:rPr>
          <w:b w:val="0"/>
          <w:lang w:val="en-GB"/>
        </w:rPr>
        <w:t>SESSMENT OF POTENTIAL EXPOSURES</w:t>
      </w:r>
      <w:r w:rsidR="006615B8" w:rsidRPr="00C9026A">
        <w:rPr>
          <w:b w:val="0"/>
          <w:lang w:val="en-GB"/>
        </w:rPr>
        <w:t xml:space="preserve"> </w:t>
      </w:r>
      <w:r w:rsidR="004757CE">
        <w:rPr>
          <w:b w:val="0"/>
          <w:lang w:val="en-GB"/>
        </w:rPr>
        <w:t>OF</w:t>
      </w:r>
      <w:r w:rsidR="004757CE" w:rsidRPr="00C9026A">
        <w:rPr>
          <w:b w:val="0"/>
          <w:lang w:val="en-GB"/>
        </w:rPr>
        <w:t xml:space="preserve"> </w:t>
      </w:r>
      <w:r w:rsidR="006615B8" w:rsidRPr="00C9026A">
        <w:rPr>
          <w:b w:val="0"/>
          <w:lang w:val="en-GB"/>
        </w:rPr>
        <w:t>THE PUBLIC</w:t>
      </w:r>
    </w:p>
    <w:p w:rsidR="00C20BFF" w:rsidRPr="00C9026A" w:rsidRDefault="00C20BFF" w:rsidP="00A57A35">
      <w:pPr>
        <w:pStyle w:val="AnnexHeading3"/>
        <w:rPr>
          <w:lang w:val="en-GB"/>
        </w:rPr>
      </w:pPr>
      <w:r w:rsidRPr="00C9026A">
        <w:rPr>
          <w:lang w:val="en-GB"/>
        </w:rPr>
        <w:t xml:space="preserve">As </w:t>
      </w:r>
      <w:r w:rsidR="00F469C7">
        <w:rPr>
          <w:lang w:val="en-GB"/>
        </w:rPr>
        <w:t>described</w:t>
      </w:r>
      <w:r w:rsidR="00F469C7" w:rsidRPr="00C9026A">
        <w:rPr>
          <w:lang w:val="en-GB"/>
        </w:rPr>
        <w:t xml:space="preserve"> </w:t>
      </w:r>
      <w:r w:rsidRPr="00C9026A">
        <w:rPr>
          <w:lang w:val="en-GB"/>
        </w:rPr>
        <w:t xml:space="preserve">in Section 5 of this </w:t>
      </w:r>
      <w:r w:rsidR="009C7A4B">
        <w:rPr>
          <w:lang w:val="en-GB"/>
        </w:rPr>
        <w:t>S</w:t>
      </w:r>
      <w:r w:rsidRPr="00C9026A">
        <w:rPr>
          <w:lang w:val="en-GB"/>
        </w:rPr>
        <w:t>afety Guide, for facilities having many engineered safety features</w:t>
      </w:r>
      <w:r w:rsidR="00F5185C">
        <w:rPr>
          <w:lang w:val="en-GB"/>
        </w:rPr>
        <w:t xml:space="preserve"> and therefore</w:t>
      </w:r>
      <w:r w:rsidRPr="00C9026A">
        <w:rPr>
          <w:lang w:val="en-GB"/>
        </w:rPr>
        <w:t xml:space="preserve"> necessitating complex assessments to determine the likelihood of events and the magnitude of the source terms and the associated consequences, complex safety assessment techniques may be necessary, combining deterministic and probabilistic methods and, in some cases, expert judgement.</w:t>
      </w:r>
    </w:p>
    <w:p w:rsidR="000D2354" w:rsidRPr="00C9026A" w:rsidRDefault="000D2354" w:rsidP="00A57A35">
      <w:pPr>
        <w:pStyle w:val="AnnexHeading3"/>
        <w:spacing w:after="180"/>
        <w:rPr>
          <w:lang w:val="en-GB"/>
        </w:rPr>
      </w:pPr>
      <w:r w:rsidRPr="00C9026A">
        <w:rPr>
          <w:lang w:val="en-GB"/>
        </w:rPr>
        <w:t xml:space="preserve">In </w:t>
      </w:r>
      <w:r w:rsidR="00164873" w:rsidRPr="00C9026A">
        <w:rPr>
          <w:lang w:val="en-GB"/>
        </w:rPr>
        <w:t xml:space="preserve">a probabilistic assessment of potential exposures, </w:t>
      </w:r>
      <w:r w:rsidRPr="00C9026A">
        <w:rPr>
          <w:lang w:val="en-GB"/>
        </w:rPr>
        <w:t xml:space="preserve">frequencies of </w:t>
      </w:r>
      <w:r w:rsidR="003D3E11">
        <w:rPr>
          <w:lang w:val="en-GB"/>
        </w:rPr>
        <w:t xml:space="preserve">occurrence of </w:t>
      </w:r>
      <w:r w:rsidR="004757CE">
        <w:rPr>
          <w:lang w:val="en-GB"/>
        </w:rPr>
        <w:t xml:space="preserve">postulated </w:t>
      </w:r>
      <w:r w:rsidRPr="00C9026A">
        <w:rPr>
          <w:lang w:val="en-GB"/>
        </w:rPr>
        <w:t xml:space="preserve">initiating events are estimated and the possible fault sequences or a representative </w:t>
      </w:r>
      <w:r w:rsidRPr="00C9026A">
        <w:rPr>
          <w:lang w:val="en-GB"/>
        </w:rPr>
        <w:lastRenderedPageBreak/>
        <w:t>sub-set that encompass</w:t>
      </w:r>
      <w:r w:rsidR="004757CE">
        <w:rPr>
          <w:lang w:val="en-GB"/>
        </w:rPr>
        <w:t>es</w:t>
      </w:r>
      <w:r w:rsidRPr="00C9026A">
        <w:rPr>
          <w:lang w:val="en-GB"/>
        </w:rPr>
        <w:t xml:space="preserve"> the responses of plant and safety systems, including </w:t>
      </w:r>
      <w:r w:rsidR="004757CE">
        <w:rPr>
          <w:lang w:val="en-GB"/>
        </w:rPr>
        <w:t>the actions of</w:t>
      </w:r>
      <w:r w:rsidR="004757CE" w:rsidRPr="00C9026A">
        <w:rPr>
          <w:lang w:val="en-GB"/>
        </w:rPr>
        <w:t xml:space="preserve"> </w:t>
      </w:r>
      <w:r w:rsidRPr="00C9026A">
        <w:rPr>
          <w:lang w:val="en-GB"/>
        </w:rPr>
        <w:t>operators, are determined. The overall probability or frequency of the fault sequence or scenario is calculated by combining the frequency of</w:t>
      </w:r>
      <w:r w:rsidR="004757CE">
        <w:rPr>
          <w:lang w:val="en-GB"/>
        </w:rPr>
        <w:t xml:space="preserve"> occurrence of</w:t>
      </w:r>
      <w:r w:rsidRPr="00C9026A">
        <w:rPr>
          <w:lang w:val="en-GB"/>
        </w:rPr>
        <w:t xml:space="preserve"> the </w:t>
      </w:r>
      <w:r w:rsidR="004757CE">
        <w:rPr>
          <w:lang w:val="en-GB"/>
        </w:rPr>
        <w:t xml:space="preserve">postulated </w:t>
      </w:r>
      <w:r w:rsidRPr="00C9026A">
        <w:rPr>
          <w:lang w:val="en-GB"/>
        </w:rPr>
        <w:t xml:space="preserve">initiating events with probabilities of each </w:t>
      </w:r>
      <w:r w:rsidR="0045797B">
        <w:rPr>
          <w:lang w:val="en-GB"/>
        </w:rPr>
        <w:t xml:space="preserve">system </w:t>
      </w:r>
      <w:r w:rsidRPr="00C9026A">
        <w:rPr>
          <w:lang w:val="en-GB"/>
        </w:rPr>
        <w:t>failure. The use of probabilities and frequencies</w:t>
      </w:r>
      <w:r w:rsidR="004757CE">
        <w:rPr>
          <w:lang w:val="en-GB"/>
        </w:rPr>
        <w:t xml:space="preserve"> of occurrence</w:t>
      </w:r>
      <w:r w:rsidRPr="00C9026A">
        <w:rPr>
          <w:lang w:val="en-GB"/>
        </w:rPr>
        <w:t xml:space="preserve"> implies a definition of a period of time</w:t>
      </w:r>
      <w:r w:rsidR="003D3E11">
        <w:rPr>
          <w:lang w:val="en-GB"/>
        </w:rPr>
        <w:t>,</w:t>
      </w:r>
      <w:r w:rsidRPr="00C9026A">
        <w:rPr>
          <w:lang w:val="en-GB"/>
        </w:rPr>
        <w:t xml:space="preserve"> which can be selected arbitrar</w:t>
      </w:r>
      <w:r w:rsidR="003D3E11">
        <w:rPr>
          <w:lang w:val="en-GB"/>
        </w:rPr>
        <w:t>il</w:t>
      </w:r>
      <w:r w:rsidRPr="00C9026A">
        <w:rPr>
          <w:lang w:val="en-GB"/>
        </w:rPr>
        <w:t>y in order to perform the analysis. A period of one year is usually selected.</w:t>
      </w:r>
    </w:p>
    <w:p w:rsidR="000D2354" w:rsidRPr="00C9026A" w:rsidRDefault="00AB2110" w:rsidP="00A57A35">
      <w:pPr>
        <w:pStyle w:val="AnnexHeading3"/>
        <w:spacing w:after="180"/>
        <w:rPr>
          <w:lang w:val="en-GB"/>
        </w:rPr>
      </w:pPr>
      <w:r>
        <w:rPr>
          <w:lang w:val="en-GB"/>
        </w:rPr>
        <w:t>T</w:t>
      </w:r>
      <w:r w:rsidR="000D2354" w:rsidRPr="00C9026A">
        <w:rPr>
          <w:lang w:val="en-GB"/>
        </w:rPr>
        <w:t xml:space="preserve">he source term for each sequence is </w:t>
      </w:r>
      <w:r>
        <w:rPr>
          <w:lang w:val="en-GB"/>
        </w:rPr>
        <w:t xml:space="preserve">then </w:t>
      </w:r>
      <w:r w:rsidR="000D2354" w:rsidRPr="00C9026A">
        <w:rPr>
          <w:lang w:val="en-GB"/>
        </w:rPr>
        <w:t>calculated. In some cases</w:t>
      </w:r>
      <w:r w:rsidR="00151628" w:rsidRPr="00C9026A">
        <w:rPr>
          <w:lang w:val="en-GB"/>
        </w:rPr>
        <w:t xml:space="preserve"> a</w:t>
      </w:r>
      <w:r w:rsidR="000D2354" w:rsidRPr="00C9026A">
        <w:rPr>
          <w:lang w:val="en-GB"/>
        </w:rPr>
        <w:t xml:space="preserve"> </w:t>
      </w:r>
      <w:r w:rsidR="00077E07" w:rsidRPr="00C9026A">
        <w:rPr>
          <w:lang w:val="en-GB"/>
        </w:rPr>
        <w:t xml:space="preserve">reduced </w:t>
      </w:r>
      <w:r w:rsidR="004757CE">
        <w:rPr>
          <w:lang w:val="en-GB"/>
        </w:rPr>
        <w:t>set</w:t>
      </w:r>
      <w:r w:rsidR="004757CE" w:rsidRPr="00C9026A">
        <w:rPr>
          <w:lang w:val="en-GB"/>
        </w:rPr>
        <w:t xml:space="preserve"> </w:t>
      </w:r>
      <w:r w:rsidR="00077E07" w:rsidRPr="00C9026A">
        <w:rPr>
          <w:lang w:val="en-GB"/>
        </w:rPr>
        <w:t xml:space="preserve">of </w:t>
      </w:r>
      <w:r w:rsidR="000D2354" w:rsidRPr="00C9026A">
        <w:rPr>
          <w:lang w:val="en-GB"/>
        </w:rPr>
        <w:t>source term</w:t>
      </w:r>
      <w:r w:rsidR="00077E07" w:rsidRPr="00C9026A">
        <w:rPr>
          <w:lang w:val="en-GB"/>
        </w:rPr>
        <w:t>s</w:t>
      </w:r>
      <w:r w:rsidR="000D2354" w:rsidRPr="00C9026A">
        <w:rPr>
          <w:lang w:val="en-GB"/>
        </w:rPr>
        <w:t xml:space="preserve"> </w:t>
      </w:r>
      <w:r w:rsidR="00077E07" w:rsidRPr="00C9026A">
        <w:rPr>
          <w:lang w:val="en-GB"/>
        </w:rPr>
        <w:t xml:space="preserve">encompassing similar source terms </w:t>
      </w:r>
      <w:r w:rsidR="000D2354" w:rsidRPr="00C9026A">
        <w:rPr>
          <w:lang w:val="en-GB"/>
        </w:rPr>
        <w:t>may be used for a set of fault sequences</w:t>
      </w:r>
      <w:r w:rsidR="003D3E11">
        <w:rPr>
          <w:lang w:val="en-GB"/>
        </w:rPr>
        <w:t>,</w:t>
      </w:r>
      <w:r w:rsidR="000D2354" w:rsidRPr="00C9026A">
        <w:rPr>
          <w:lang w:val="en-GB"/>
        </w:rPr>
        <w:t xml:space="preserve"> to reduce the calculation </w:t>
      </w:r>
      <w:r w:rsidR="004757CE">
        <w:rPr>
          <w:lang w:val="en-GB"/>
        </w:rPr>
        <w:t xml:space="preserve">effort </w:t>
      </w:r>
      <w:r w:rsidR="000D2354" w:rsidRPr="00C9026A">
        <w:rPr>
          <w:lang w:val="en-GB"/>
        </w:rPr>
        <w:t>required.</w:t>
      </w:r>
    </w:p>
    <w:p w:rsidR="000D2354" w:rsidRPr="00C9026A" w:rsidRDefault="000D2354" w:rsidP="00A57A35">
      <w:pPr>
        <w:pStyle w:val="AnnexHeading3"/>
        <w:spacing w:after="180"/>
        <w:rPr>
          <w:lang w:val="en-GB"/>
        </w:rPr>
      </w:pPr>
      <w:r w:rsidRPr="00C9026A">
        <w:rPr>
          <w:lang w:val="en-GB"/>
        </w:rPr>
        <w:t xml:space="preserve">The dose to the </w:t>
      </w:r>
      <w:r w:rsidR="00E8129C">
        <w:rPr>
          <w:lang w:val="en-GB"/>
        </w:rPr>
        <w:t xml:space="preserve">representative </w:t>
      </w:r>
      <w:r w:rsidR="00AB2110">
        <w:rPr>
          <w:lang w:val="en-GB"/>
        </w:rPr>
        <w:t>person</w:t>
      </w:r>
      <w:r w:rsidR="000A58F4">
        <w:rPr>
          <w:lang w:val="en-GB"/>
        </w:rPr>
        <w:t xml:space="preserve"> for potential exposures</w:t>
      </w:r>
      <w:r w:rsidR="00AB2110">
        <w:rPr>
          <w:lang w:val="en-GB"/>
        </w:rPr>
        <w:t xml:space="preserve"> is</w:t>
      </w:r>
      <w:r w:rsidRPr="00C9026A">
        <w:rPr>
          <w:lang w:val="en-GB"/>
        </w:rPr>
        <w:t xml:space="preserve"> then calculated by using a set of meteorological conditions </w:t>
      </w:r>
      <w:r w:rsidR="00005ED4" w:rsidRPr="00C9026A">
        <w:rPr>
          <w:lang w:val="en-GB"/>
        </w:rPr>
        <w:t>and</w:t>
      </w:r>
      <w:r w:rsidRPr="00C9026A">
        <w:rPr>
          <w:lang w:val="en-GB"/>
        </w:rPr>
        <w:t xml:space="preserve"> other environmental transfer conditions along with the probabilities of these conditions </w:t>
      </w:r>
      <w:r w:rsidR="004757CE">
        <w:rPr>
          <w:lang w:val="en-GB"/>
        </w:rPr>
        <w:t>occurring,</w:t>
      </w:r>
      <w:r w:rsidR="004757CE" w:rsidRPr="00C9026A">
        <w:rPr>
          <w:lang w:val="en-GB"/>
        </w:rPr>
        <w:t xml:space="preserve"> </w:t>
      </w:r>
      <w:r w:rsidRPr="00C9026A">
        <w:rPr>
          <w:lang w:val="en-GB"/>
        </w:rPr>
        <w:t xml:space="preserve">along with </w:t>
      </w:r>
      <w:r w:rsidR="00AB2110">
        <w:rPr>
          <w:lang w:val="en-GB"/>
        </w:rPr>
        <w:t xml:space="preserve">site specific </w:t>
      </w:r>
      <w:r w:rsidRPr="00C9026A">
        <w:rPr>
          <w:lang w:val="en-GB"/>
        </w:rPr>
        <w:t xml:space="preserve">factors that </w:t>
      </w:r>
      <w:r w:rsidR="00AB2110">
        <w:rPr>
          <w:lang w:val="en-GB"/>
        </w:rPr>
        <w:t xml:space="preserve">may </w:t>
      </w:r>
      <w:r w:rsidRPr="00C9026A">
        <w:rPr>
          <w:lang w:val="en-GB"/>
        </w:rPr>
        <w:t>affect the dose and the probabilities</w:t>
      </w:r>
      <w:r w:rsidR="003D3E11">
        <w:rPr>
          <w:lang w:val="en-GB"/>
        </w:rPr>
        <w:t xml:space="preserve"> of the particular conditions occurring</w:t>
      </w:r>
      <w:r w:rsidR="00AB2110">
        <w:rPr>
          <w:lang w:val="en-GB"/>
        </w:rPr>
        <w:t>, such as</w:t>
      </w:r>
      <w:r w:rsidRPr="00C9026A">
        <w:rPr>
          <w:lang w:val="en-GB"/>
        </w:rPr>
        <w:t xml:space="preserve"> the probability that the wind </w:t>
      </w:r>
      <w:r w:rsidR="004757CE">
        <w:rPr>
          <w:lang w:val="en-GB"/>
        </w:rPr>
        <w:t>is</w:t>
      </w:r>
      <w:r w:rsidR="004757CE" w:rsidRPr="00C9026A">
        <w:rPr>
          <w:lang w:val="en-GB"/>
        </w:rPr>
        <w:t xml:space="preserve"> </w:t>
      </w:r>
      <w:r w:rsidRPr="00C9026A">
        <w:rPr>
          <w:lang w:val="en-GB"/>
        </w:rPr>
        <w:t xml:space="preserve">blowing from the source to the target, the probability of other meteorological conditions such as </w:t>
      </w:r>
      <w:proofErr w:type="spellStart"/>
      <w:r w:rsidR="004757CE">
        <w:rPr>
          <w:lang w:val="en-GB"/>
        </w:rPr>
        <w:t>Pasquill</w:t>
      </w:r>
      <w:proofErr w:type="spellEnd"/>
      <w:r w:rsidR="004757CE">
        <w:rPr>
          <w:lang w:val="en-GB"/>
        </w:rPr>
        <w:t xml:space="preserve"> </w:t>
      </w:r>
      <w:r w:rsidRPr="00C9026A">
        <w:rPr>
          <w:lang w:val="en-GB"/>
        </w:rPr>
        <w:t>stability</w:t>
      </w:r>
      <w:r w:rsidR="00F31CDE" w:rsidRPr="00C9026A">
        <w:rPr>
          <w:lang w:val="en-GB"/>
        </w:rPr>
        <w:t xml:space="preserve"> class</w:t>
      </w:r>
      <w:r w:rsidRPr="00C9026A">
        <w:rPr>
          <w:lang w:val="en-GB"/>
        </w:rPr>
        <w:t>, wind speed</w:t>
      </w:r>
      <w:r w:rsidR="00077E07" w:rsidRPr="00C9026A">
        <w:rPr>
          <w:lang w:val="en-GB"/>
        </w:rPr>
        <w:t xml:space="preserve"> and</w:t>
      </w:r>
      <w:r w:rsidRPr="00C9026A">
        <w:rPr>
          <w:lang w:val="en-GB"/>
        </w:rPr>
        <w:t xml:space="preserve"> rainfall, </w:t>
      </w:r>
      <w:r w:rsidR="004757CE">
        <w:rPr>
          <w:lang w:val="en-GB"/>
        </w:rPr>
        <w:t xml:space="preserve">and </w:t>
      </w:r>
      <w:r w:rsidRPr="00C9026A">
        <w:rPr>
          <w:lang w:val="en-GB"/>
        </w:rPr>
        <w:t xml:space="preserve">the probability that the </w:t>
      </w:r>
      <w:r w:rsidR="004757CE">
        <w:rPr>
          <w:lang w:val="en-GB"/>
        </w:rPr>
        <w:t xml:space="preserve">representative </w:t>
      </w:r>
      <w:r w:rsidRPr="00C9026A">
        <w:rPr>
          <w:lang w:val="en-GB"/>
        </w:rPr>
        <w:t>person is outdoors or indoors.</w:t>
      </w:r>
      <w:r w:rsidR="00005ED4" w:rsidRPr="00C9026A">
        <w:rPr>
          <w:lang w:val="en-GB"/>
        </w:rPr>
        <w:t xml:space="preserve"> </w:t>
      </w:r>
    </w:p>
    <w:p w:rsidR="005E3D9D" w:rsidRPr="00C9026A" w:rsidRDefault="005E3D9D" w:rsidP="00A57A35">
      <w:pPr>
        <w:overflowPunct/>
        <w:autoSpaceDE/>
        <w:autoSpaceDN/>
        <w:adjustRightInd/>
        <w:spacing w:after="0"/>
        <w:jc w:val="left"/>
        <w:textAlignment w:val="auto"/>
        <w:sectPr w:rsidR="005E3D9D" w:rsidRPr="00C9026A" w:rsidSect="00A51A8E">
          <w:type w:val="oddPage"/>
          <w:pgSz w:w="11907" w:h="16840" w:code="9"/>
          <w:pgMar w:top="1134" w:right="1418" w:bottom="1531" w:left="1418" w:header="709" w:footer="709" w:gutter="0"/>
          <w:cols w:space="720"/>
          <w:docGrid w:linePitch="360"/>
        </w:sectPr>
      </w:pPr>
    </w:p>
    <w:p w:rsidR="003A07FD" w:rsidRPr="003D7E4C" w:rsidRDefault="003A07FD" w:rsidP="00A57A35">
      <w:pPr>
        <w:pStyle w:val="ReferenceHeading"/>
        <w:rPr>
          <w:sz w:val="28"/>
          <w:szCs w:val="28"/>
          <w:lang w:val="en-GB"/>
        </w:rPr>
      </w:pPr>
      <w:bookmarkStart w:id="105" w:name="_Toc447613506"/>
      <w:bookmarkStart w:id="106" w:name="_Toc450204029"/>
      <w:r w:rsidRPr="003D7E4C">
        <w:rPr>
          <w:sz w:val="28"/>
          <w:szCs w:val="28"/>
          <w:lang w:val="en-GB"/>
        </w:rPr>
        <w:lastRenderedPageBreak/>
        <w:t xml:space="preserve">REFERENCES </w:t>
      </w:r>
      <w:r w:rsidR="0014688D" w:rsidRPr="003D7E4C">
        <w:rPr>
          <w:sz w:val="28"/>
          <w:szCs w:val="28"/>
          <w:lang w:val="en-GB"/>
        </w:rPr>
        <w:t>TO ANNEX II</w:t>
      </w:r>
      <w:bookmarkEnd w:id="105"/>
      <w:bookmarkEnd w:id="106"/>
    </w:p>
    <w:tbl>
      <w:tblPr>
        <w:tblW w:w="0" w:type="auto"/>
        <w:tblLayout w:type="fixed"/>
        <w:tblLook w:val="0000" w:firstRow="0" w:lastRow="0" w:firstColumn="0" w:lastColumn="0" w:noHBand="0" w:noVBand="0"/>
      </w:tblPr>
      <w:tblGrid>
        <w:gridCol w:w="988"/>
        <w:gridCol w:w="8192"/>
      </w:tblGrid>
      <w:tr w:rsidR="00A939C8" w:rsidRPr="00C9026A" w:rsidTr="00E24DCF">
        <w:trPr>
          <w:cantSplit/>
        </w:trPr>
        <w:tc>
          <w:tcPr>
            <w:tcW w:w="988" w:type="dxa"/>
          </w:tcPr>
          <w:p w:rsidR="00A939C8" w:rsidRPr="00C9026A" w:rsidRDefault="00A939C8" w:rsidP="00A57A35">
            <w:pPr>
              <w:pStyle w:val="IAEAReferenceText"/>
              <w:overflowPunct w:val="0"/>
              <w:autoSpaceDE w:val="0"/>
              <w:autoSpaceDN w:val="0"/>
              <w:adjustRightInd w:val="0"/>
              <w:textAlignment w:val="baseline"/>
              <w:rPr>
                <w:lang w:val="en-GB"/>
              </w:rPr>
            </w:pPr>
            <w:r>
              <w:rPr>
                <w:lang w:val="en-GB"/>
              </w:rPr>
              <w:t>[II-1</w:t>
            </w:r>
            <w:r w:rsidRPr="00C9026A">
              <w:rPr>
                <w:lang w:val="en-GB"/>
              </w:rPr>
              <w:t>]</w:t>
            </w:r>
          </w:p>
        </w:tc>
        <w:tc>
          <w:tcPr>
            <w:tcW w:w="8192" w:type="dxa"/>
          </w:tcPr>
          <w:p w:rsidR="00A939C8" w:rsidRPr="00C9026A" w:rsidRDefault="00A939C8" w:rsidP="00A57A35">
            <w:pPr>
              <w:pStyle w:val="IAEAReferenceText"/>
              <w:rPr>
                <w:lang w:val="en-GB"/>
              </w:rPr>
            </w:pPr>
            <w:r w:rsidRPr="00C9026A">
              <w:rPr>
                <w:lang w:val="en-GB"/>
              </w:rPr>
              <w:t>EUROPEAN ATOMIC ENERGY COMMUNITY, FOOD AND AGRICULTURE ORGANIZATION OF THE UNITED NATIONS, INTERNATIONAL ATOMIC ENERGY AGENCY, INTERNATIONAL LABOUR ORGANIZATION, INTERNATIONAL MARITIME ORGANIZATION, OECD NUCLEAR ENERGY AGENCY, PAN AMERICAN HEALTH ORGANIZATION, UNITED NATIONS ENVIRONMENT PROGRAMME, WORLD HEALTH ORGANIZATION, Fundamental Safety Principles, IAEA Safety Standards Series No. SF</w:t>
            </w:r>
            <w:r>
              <w:rPr>
                <w:lang w:val="en-GB"/>
              </w:rPr>
              <w:t>-</w:t>
            </w:r>
            <w:r w:rsidRPr="00C9026A">
              <w:rPr>
                <w:lang w:val="en-GB"/>
              </w:rPr>
              <w:t>1, IAEA, Vienna (2006).</w:t>
            </w:r>
          </w:p>
        </w:tc>
      </w:tr>
      <w:tr w:rsidR="00A939C8" w:rsidRPr="00C9026A" w:rsidTr="00E24DCF">
        <w:trPr>
          <w:cantSplit/>
        </w:trPr>
        <w:tc>
          <w:tcPr>
            <w:tcW w:w="988" w:type="dxa"/>
          </w:tcPr>
          <w:p w:rsidR="00A939C8" w:rsidRPr="00C9026A" w:rsidRDefault="00A939C8" w:rsidP="00A57A35">
            <w:pPr>
              <w:pStyle w:val="IAEAReferenceText"/>
              <w:overflowPunct w:val="0"/>
              <w:autoSpaceDE w:val="0"/>
              <w:autoSpaceDN w:val="0"/>
              <w:adjustRightInd w:val="0"/>
              <w:textAlignment w:val="baseline"/>
              <w:rPr>
                <w:lang w:val="en-GB"/>
              </w:rPr>
            </w:pPr>
            <w:r w:rsidRPr="00C9026A">
              <w:rPr>
                <w:lang w:val="en-GB"/>
              </w:rPr>
              <w:t>[II-</w:t>
            </w:r>
            <w:r>
              <w:rPr>
                <w:lang w:val="en-GB"/>
              </w:rPr>
              <w:t>2</w:t>
            </w:r>
            <w:r w:rsidRPr="00C9026A">
              <w:rPr>
                <w:lang w:val="en-GB"/>
              </w:rPr>
              <w:t>]</w:t>
            </w:r>
          </w:p>
        </w:tc>
        <w:tc>
          <w:tcPr>
            <w:tcW w:w="8192" w:type="dxa"/>
          </w:tcPr>
          <w:p w:rsidR="00A939C8" w:rsidRPr="00C9026A" w:rsidRDefault="00A939C8" w:rsidP="00A57A35">
            <w:pPr>
              <w:pStyle w:val="IAEAReferenceText"/>
              <w:rPr>
                <w:lang w:val="en-GB"/>
              </w:rPr>
            </w:pPr>
            <w:r w:rsidRPr="00C9026A">
              <w:rPr>
                <w:lang w:val="en-GB"/>
              </w:rPr>
              <w:t>EUROPEAN COMMISSION, FOOD AND AGRICULTURE ORGANIZATION OF THE UNITED NATIONS, INTERNATIONAL ATOMIC ENERGY AGENCY, INTERNATIONAL LABOUR ORGANIZATION, OECD NUCLEAR ENERGY AGENCY, PAN AMERICAN HEALTH ORGANIZATION, UNITED NATIONS ENVIRONMENT PROGRAMME, WORLD HEALTH ORGANIZATION, Radiation Protection and Safety of Radiation Sources: International Basic Safety Standards, IAEA Safety Standards Series No. GSR Part 3, IAEA, Vienna (2014).</w:t>
            </w:r>
          </w:p>
        </w:tc>
      </w:tr>
      <w:tr w:rsidR="00A939C8" w:rsidRPr="00C9026A" w:rsidTr="00935F0E">
        <w:trPr>
          <w:cantSplit/>
        </w:trPr>
        <w:tc>
          <w:tcPr>
            <w:tcW w:w="988" w:type="dxa"/>
          </w:tcPr>
          <w:p w:rsidR="00A939C8" w:rsidRPr="00C9026A" w:rsidRDefault="00A939C8" w:rsidP="00A57A35">
            <w:pPr>
              <w:pStyle w:val="IAEAReferenceText"/>
              <w:overflowPunct w:val="0"/>
              <w:autoSpaceDE w:val="0"/>
              <w:autoSpaceDN w:val="0"/>
              <w:adjustRightInd w:val="0"/>
              <w:textAlignment w:val="baseline"/>
              <w:rPr>
                <w:lang w:val="en-GB"/>
              </w:rPr>
            </w:pPr>
            <w:r w:rsidRPr="00C9026A">
              <w:rPr>
                <w:lang w:val="en-GB"/>
              </w:rPr>
              <w:t>[II-3]</w:t>
            </w:r>
          </w:p>
        </w:tc>
        <w:tc>
          <w:tcPr>
            <w:tcW w:w="8192" w:type="dxa"/>
          </w:tcPr>
          <w:p w:rsidR="00A939C8" w:rsidRPr="00C9026A" w:rsidRDefault="00A939C8" w:rsidP="00767FF9">
            <w:pPr>
              <w:pStyle w:val="IAEAReferenceText"/>
              <w:rPr>
                <w:lang w:val="en-GB"/>
              </w:rPr>
            </w:pPr>
            <w:r w:rsidRPr="00C9026A">
              <w:rPr>
                <w:lang w:val="en-GB"/>
              </w:rPr>
              <w:t>INTERNATIONAL ATOMIC ENERGY AGENCY, Extension of the Principles of Radiation Protection to Sources of Potential Exposure, Safety Series No. 104, IAEA, Vienna (199</w:t>
            </w:r>
            <w:r w:rsidRPr="00673717">
              <w:rPr>
                <w:lang w:val="en-GB"/>
              </w:rPr>
              <w:t>0).</w:t>
            </w:r>
          </w:p>
        </w:tc>
      </w:tr>
    </w:tbl>
    <w:p w:rsidR="00F82E0D" w:rsidRPr="00C9026A" w:rsidRDefault="00F82E0D" w:rsidP="00A57A35">
      <w:pPr>
        <w:pStyle w:val="IAEAReferenceText"/>
        <w:rPr>
          <w:lang w:val="en-GB"/>
        </w:rPr>
        <w:sectPr w:rsidR="00F82E0D" w:rsidRPr="00C9026A" w:rsidSect="00A51A8E">
          <w:type w:val="oddPage"/>
          <w:pgSz w:w="11907" w:h="16840" w:code="9"/>
          <w:pgMar w:top="1134" w:right="1418" w:bottom="1531" w:left="1418" w:header="709" w:footer="709" w:gutter="0"/>
          <w:cols w:space="720"/>
          <w:docGrid w:linePitch="360"/>
        </w:sectPr>
      </w:pPr>
    </w:p>
    <w:p w:rsidR="00F82E0D" w:rsidRPr="00C9026A" w:rsidRDefault="00F82E0D" w:rsidP="00A57A35">
      <w:pPr>
        <w:pStyle w:val="Heading"/>
        <w:spacing w:after="480"/>
        <w:ind w:left="0"/>
        <w:rPr>
          <w:lang w:val="en-GB"/>
        </w:rPr>
      </w:pPr>
      <w:bookmarkStart w:id="107" w:name="_Toc447613507"/>
      <w:bookmarkStart w:id="108" w:name="_Toc450204030"/>
      <w:bookmarkStart w:id="109" w:name="_GoBack"/>
      <w:bookmarkEnd w:id="109"/>
      <w:r w:rsidRPr="00C9026A">
        <w:rPr>
          <w:lang w:val="en-GB"/>
        </w:rPr>
        <w:lastRenderedPageBreak/>
        <w:t>CONTRIBUTORS TO DRAFTING AND REVIEW</w:t>
      </w:r>
      <w:bookmarkEnd w:id="107"/>
      <w:bookmarkEnd w:id="108"/>
    </w:p>
    <w:p w:rsidR="003427D2" w:rsidRDefault="003427D2" w:rsidP="008E57B6">
      <w:pPr>
        <w:pStyle w:val="BodyText"/>
        <w:tabs>
          <w:tab w:val="left" w:pos="3119"/>
        </w:tabs>
        <w:spacing w:after="200"/>
        <w:jc w:val="left"/>
        <w:rPr>
          <w:lang w:val="en-GB"/>
        </w:rPr>
      </w:pPr>
      <w:proofErr w:type="spellStart"/>
      <w:r>
        <w:rPr>
          <w:lang w:val="en-GB"/>
        </w:rPr>
        <w:t>Asfaw</w:t>
      </w:r>
      <w:proofErr w:type="spellEnd"/>
      <w:r>
        <w:rPr>
          <w:lang w:val="en-GB"/>
        </w:rPr>
        <w:t>, K.</w:t>
      </w:r>
      <w:r>
        <w:rPr>
          <w:lang w:val="en-GB"/>
        </w:rPr>
        <w:tab/>
      </w:r>
      <w:r w:rsidR="00926EDD" w:rsidRPr="00926EDD">
        <w:rPr>
          <w:lang w:val="en-GB"/>
        </w:rPr>
        <w:t>International Atomic Energy Agency</w:t>
      </w:r>
    </w:p>
    <w:p w:rsidR="00527DD7" w:rsidRPr="00527DD7" w:rsidRDefault="00527DD7" w:rsidP="00527DD7">
      <w:pPr>
        <w:pStyle w:val="BodyText"/>
        <w:tabs>
          <w:tab w:val="left" w:pos="3119"/>
        </w:tabs>
        <w:spacing w:after="200"/>
        <w:jc w:val="left"/>
      </w:pPr>
      <w:r w:rsidRPr="00527DD7">
        <w:t>Boal, T.</w:t>
      </w:r>
      <w:r w:rsidRPr="00527DD7">
        <w:tab/>
        <w:t>International Atomic Energy Agency</w:t>
      </w:r>
    </w:p>
    <w:p w:rsidR="002416E2" w:rsidRPr="00C9026A" w:rsidRDefault="002416E2" w:rsidP="008E57B6">
      <w:pPr>
        <w:pStyle w:val="BodyText"/>
        <w:tabs>
          <w:tab w:val="left" w:pos="3119"/>
        </w:tabs>
        <w:spacing w:after="200"/>
        <w:jc w:val="left"/>
        <w:rPr>
          <w:lang w:val="en-GB"/>
        </w:rPr>
      </w:pPr>
      <w:proofErr w:type="spellStart"/>
      <w:r w:rsidRPr="00C9026A">
        <w:rPr>
          <w:lang w:val="en-GB"/>
        </w:rPr>
        <w:t>Brownless</w:t>
      </w:r>
      <w:proofErr w:type="spellEnd"/>
      <w:r w:rsidRPr="00C9026A">
        <w:rPr>
          <w:lang w:val="en-GB"/>
        </w:rPr>
        <w:t>, G.</w:t>
      </w:r>
      <w:r w:rsidRPr="00C9026A">
        <w:rPr>
          <w:lang w:val="en-GB"/>
        </w:rPr>
        <w:tab/>
        <w:t>Babcock International Group, United Kingdom</w:t>
      </w:r>
    </w:p>
    <w:p w:rsidR="002416E2" w:rsidRPr="00C9026A" w:rsidRDefault="002416E2" w:rsidP="008E57B6">
      <w:pPr>
        <w:pStyle w:val="BodyText"/>
        <w:tabs>
          <w:tab w:val="left" w:pos="3119"/>
        </w:tabs>
        <w:spacing w:after="200"/>
        <w:jc w:val="left"/>
        <w:rPr>
          <w:lang w:val="en-GB"/>
        </w:rPr>
      </w:pPr>
      <w:proofErr w:type="spellStart"/>
      <w:r w:rsidRPr="00C9026A">
        <w:rPr>
          <w:lang w:val="en-GB"/>
        </w:rPr>
        <w:t>Cabianca</w:t>
      </w:r>
      <w:proofErr w:type="spellEnd"/>
      <w:r w:rsidRPr="00C9026A">
        <w:rPr>
          <w:lang w:val="en-GB"/>
        </w:rPr>
        <w:t>, T.</w:t>
      </w:r>
      <w:r w:rsidRPr="00C9026A">
        <w:rPr>
          <w:lang w:val="en-GB"/>
        </w:rPr>
        <w:tab/>
        <w:t>Public Health England, United Kingdom</w:t>
      </w:r>
    </w:p>
    <w:p w:rsidR="00106881" w:rsidRPr="00C9026A" w:rsidRDefault="00106881" w:rsidP="008E57B6">
      <w:pPr>
        <w:pStyle w:val="BodyText"/>
        <w:tabs>
          <w:tab w:val="left" w:pos="3119"/>
        </w:tabs>
        <w:spacing w:after="200"/>
        <w:jc w:val="left"/>
        <w:rPr>
          <w:lang w:val="en-GB"/>
        </w:rPr>
      </w:pPr>
      <w:proofErr w:type="spellStart"/>
      <w:r w:rsidRPr="00C9026A">
        <w:rPr>
          <w:lang w:val="en-GB"/>
        </w:rPr>
        <w:t>Cailes</w:t>
      </w:r>
      <w:proofErr w:type="spellEnd"/>
      <w:r w:rsidRPr="00C9026A">
        <w:rPr>
          <w:lang w:val="en-GB"/>
        </w:rPr>
        <w:t>, C.</w:t>
      </w:r>
      <w:r w:rsidRPr="00C9026A">
        <w:rPr>
          <w:lang w:val="en-GB"/>
        </w:rPr>
        <w:tab/>
        <w:t>The Environment Agency, United Kingdom</w:t>
      </w:r>
    </w:p>
    <w:p w:rsidR="00106881" w:rsidRPr="00C9026A" w:rsidRDefault="00106881" w:rsidP="008E57B6">
      <w:pPr>
        <w:pStyle w:val="BodyText"/>
        <w:tabs>
          <w:tab w:val="left" w:pos="3119"/>
        </w:tabs>
        <w:spacing w:after="200"/>
        <w:jc w:val="left"/>
        <w:rPr>
          <w:lang w:val="en-GB"/>
        </w:rPr>
      </w:pPr>
      <w:r w:rsidRPr="00C9026A">
        <w:rPr>
          <w:lang w:val="en-GB"/>
        </w:rPr>
        <w:t>Cartier, F.</w:t>
      </w:r>
      <w:r w:rsidRPr="00C9026A">
        <w:rPr>
          <w:lang w:val="en-GB"/>
        </w:rPr>
        <w:tab/>
        <w:t>Swiss Federal Nuclear Safety Inspectorate, Switzerland</w:t>
      </w:r>
    </w:p>
    <w:p w:rsidR="00055265" w:rsidRPr="00440AA8" w:rsidRDefault="00055265" w:rsidP="008E57B6">
      <w:pPr>
        <w:pStyle w:val="BodyText"/>
        <w:tabs>
          <w:tab w:val="left" w:pos="3119"/>
        </w:tabs>
        <w:spacing w:after="200"/>
        <w:jc w:val="left"/>
        <w:rPr>
          <w:lang w:val="es-ES"/>
        </w:rPr>
      </w:pPr>
      <w:proofErr w:type="spellStart"/>
      <w:r w:rsidRPr="00440AA8">
        <w:rPr>
          <w:lang w:val="es-ES"/>
        </w:rPr>
        <w:t>Curti</w:t>
      </w:r>
      <w:proofErr w:type="spellEnd"/>
      <w:r w:rsidRPr="00440AA8">
        <w:rPr>
          <w:lang w:val="es-ES"/>
        </w:rPr>
        <w:t>, A.</w:t>
      </w:r>
      <w:r w:rsidRPr="00440AA8">
        <w:rPr>
          <w:lang w:val="es-ES"/>
        </w:rPr>
        <w:tab/>
        <w:t>Autoridad Regulatoria Nuclear, Argentina</w:t>
      </w:r>
    </w:p>
    <w:p w:rsidR="00055265" w:rsidRPr="002E3E2B" w:rsidRDefault="00055265" w:rsidP="008E57B6">
      <w:pPr>
        <w:pStyle w:val="BodyText"/>
        <w:tabs>
          <w:tab w:val="left" w:pos="3119"/>
        </w:tabs>
        <w:spacing w:after="200"/>
        <w:jc w:val="left"/>
        <w:rPr>
          <w:lang w:val="fr-FR"/>
        </w:rPr>
      </w:pPr>
      <w:proofErr w:type="spellStart"/>
      <w:r w:rsidRPr="002E3E2B">
        <w:rPr>
          <w:lang w:val="fr-FR"/>
        </w:rPr>
        <w:t>Daguse</w:t>
      </w:r>
      <w:proofErr w:type="spellEnd"/>
      <w:r w:rsidRPr="002E3E2B">
        <w:rPr>
          <w:lang w:val="fr-FR"/>
        </w:rPr>
        <w:t>, T.</w:t>
      </w:r>
      <w:r w:rsidRPr="002E3E2B">
        <w:rPr>
          <w:lang w:val="fr-FR"/>
        </w:rPr>
        <w:tab/>
        <w:t>Electricité de France, France</w:t>
      </w:r>
    </w:p>
    <w:p w:rsidR="00055265" w:rsidRPr="002E3E2B" w:rsidRDefault="00055265" w:rsidP="008E57B6">
      <w:pPr>
        <w:pStyle w:val="BodyText"/>
        <w:tabs>
          <w:tab w:val="left" w:pos="3119"/>
        </w:tabs>
        <w:spacing w:after="200"/>
        <w:jc w:val="left"/>
        <w:rPr>
          <w:lang w:val="fr-FR"/>
        </w:rPr>
      </w:pPr>
      <w:proofErr w:type="spellStart"/>
      <w:r w:rsidRPr="002E3E2B">
        <w:rPr>
          <w:lang w:val="fr-FR"/>
        </w:rPr>
        <w:t>Deguette</w:t>
      </w:r>
      <w:proofErr w:type="spellEnd"/>
      <w:r w:rsidRPr="002E3E2B">
        <w:rPr>
          <w:lang w:val="fr-FR"/>
        </w:rPr>
        <w:t>, H.</w:t>
      </w:r>
      <w:r w:rsidRPr="002E3E2B">
        <w:rPr>
          <w:lang w:val="fr-FR"/>
        </w:rPr>
        <w:tab/>
        <w:t>AREVA La Hague, France</w:t>
      </w:r>
    </w:p>
    <w:p w:rsidR="00055265" w:rsidRPr="000D5863" w:rsidRDefault="00055265" w:rsidP="008E57B6">
      <w:pPr>
        <w:pStyle w:val="BodyText"/>
        <w:tabs>
          <w:tab w:val="left" w:pos="3119"/>
        </w:tabs>
        <w:spacing w:after="200"/>
        <w:jc w:val="left"/>
        <w:rPr>
          <w:lang w:val="en-GB"/>
        </w:rPr>
      </w:pPr>
      <w:proofErr w:type="spellStart"/>
      <w:r w:rsidRPr="000D5863">
        <w:rPr>
          <w:lang w:val="en-GB"/>
        </w:rPr>
        <w:t>Dolinar</w:t>
      </w:r>
      <w:proofErr w:type="spellEnd"/>
      <w:r w:rsidRPr="000D5863">
        <w:rPr>
          <w:lang w:val="en-GB"/>
        </w:rPr>
        <w:t>, G.</w:t>
      </w:r>
      <w:r w:rsidRPr="000D5863">
        <w:rPr>
          <w:lang w:val="en-GB"/>
        </w:rPr>
        <w:tab/>
        <w:t>Atomic Energy of Canada, Canada</w:t>
      </w:r>
    </w:p>
    <w:p w:rsidR="002416E2" w:rsidRPr="002E3E2B" w:rsidRDefault="002416E2" w:rsidP="008E57B6">
      <w:pPr>
        <w:pStyle w:val="BodyText"/>
        <w:tabs>
          <w:tab w:val="left" w:pos="3119"/>
        </w:tabs>
        <w:spacing w:after="200"/>
        <w:jc w:val="left"/>
        <w:rPr>
          <w:lang w:val="fr-FR"/>
        </w:rPr>
      </w:pPr>
      <w:r w:rsidRPr="002E3E2B">
        <w:rPr>
          <w:lang w:val="fr-FR"/>
        </w:rPr>
        <w:t>Garnier Laplace, J.</w:t>
      </w:r>
      <w:r w:rsidRPr="002E3E2B">
        <w:rPr>
          <w:lang w:val="fr-FR"/>
        </w:rPr>
        <w:tab/>
        <w:t>Institut de Radioprotection et de Sûreté Nucléaire, France</w:t>
      </w:r>
    </w:p>
    <w:p w:rsidR="002416E2" w:rsidRPr="00C9026A" w:rsidRDefault="002416E2" w:rsidP="008E57B6">
      <w:pPr>
        <w:pStyle w:val="BodyText"/>
        <w:tabs>
          <w:tab w:val="left" w:pos="3119"/>
        </w:tabs>
        <w:spacing w:after="200"/>
        <w:jc w:val="left"/>
        <w:rPr>
          <w:lang w:val="en-GB"/>
        </w:rPr>
      </w:pPr>
      <w:r w:rsidRPr="00C9026A">
        <w:rPr>
          <w:lang w:val="en-GB"/>
        </w:rPr>
        <w:t>Harman, N.</w:t>
      </w:r>
      <w:r w:rsidRPr="00C9026A">
        <w:rPr>
          <w:lang w:val="en-GB"/>
        </w:rPr>
        <w:tab/>
      </w:r>
      <w:proofErr w:type="spellStart"/>
      <w:r w:rsidR="0050402B" w:rsidRPr="00C9026A">
        <w:rPr>
          <w:lang w:val="en-GB"/>
        </w:rPr>
        <w:t>Amec</w:t>
      </w:r>
      <w:proofErr w:type="spellEnd"/>
      <w:r w:rsidRPr="00C9026A">
        <w:rPr>
          <w:lang w:val="en-GB"/>
        </w:rPr>
        <w:t>, United Kingdom</w:t>
      </w:r>
    </w:p>
    <w:p w:rsidR="00106881" w:rsidRPr="002E3E2B" w:rsidRDefault="00174817" w:rsidP="008E57B6">
      <w:pPr>
        <w:pStyle w:val="BodyText"/>
        <w:tabs>
          <w:tab w:val="left" w:pos="3119"/>
        </w:tabs>
        <w:spacing w:after="200"/>
        <w:jc w:val="left"/>
        <w:rPr>
          <w:lang w:val="fr-FR"/>
        </w:rPr>
      </w:pPr>
      <w:proofErr w:type="spellStart"/>
      <w:r w:rsidRPr="002E3E2B">
        <w:rPr>
          <w:lang w:val="fr-FR"/>
        </w:rPr>
        <w:t>Hemidy</w:t>
      </w:r>
      <w:proofErr w:type="spellEnd"/>
      <w:r w:rsidRPr="002E3E2B">
        <w:rPr>
          <w:lang w:val="fr-FR"/>
        </w:rPr>
        <w:t>, P.-Y.</w:t>
      </w:r>
      <w:r w:rsidRPr="002E3E2B">
        <w:rPr>
          <w:lang w:val="fr-FR"/>
        </w:rPr>
        <w:tab/>
        <w:t>Electricité de France, France</w:t>
      </w:r>
    </w:p>
    <w:p w:rsidR="00630BDA" w:rsidRPr="00C9026A" w:rsidRDefault="00630BDA" w:rsidP="008E57B6">
      <w:pPr>
        <w:pStyle w:val="BodyText"/>
        <w:tabs>
          <w:tab w:val="left" w:pos="3119"/>
        </w:tabs>
        <w:spacing w:after="200"/>
        <w:jc w:val="left"/>
        <w:rPr>
          <w:lang w:val="en-GB"/>
        </w:rPr>
      </w:pPr>
      <w:r w:rsidRPr="00C9026A">
        <w:rPr>
          <w:lang w:val="en-GB"/>
        </w:rPr>
        <w:t xml:space="preserve">Jones, K. A. </w:t>
      </w:r>
      <w:r w:rsidRPr="00C9026A">
        <w:rPr>
          <w:lang w:val="en-GB"/>
        </w:rPr>
        <w:tab/>
        <w:t>Public Health England, United Kingdom</w:t>
      </w:r>
    </w:p>
    <w:p w:rsidR="00055265" w:rsidRPr="00C9026A" w:rsidRDefault="00055265" w:rsidP="008E57B6">
      <w:pPr>
        <w:pStyle w:val="BodyText"/>
        <w:tabs>
          <w:tab w:val="left" w:pos="3119"/>
        </w:tabs>
        <w:spacing w:after="200"/>
        <w:jc w:val="left"/>
        <w:rPr>
          <w:lang w:val="en-GB"/>
        </w:rPr>
      </w:pPr>
      <w:proofErr w:type="spellStart"/>
      <w:r w:rsidRPr="00C9026A">
        <w:rPr>
          <w:lang w:val="en-GB"/>
        </w:rPr>
        <w:t>Kliaus</w:t>
      </w:r>
      <w:proofErr w:type="spellEnd"/>
      <w:r w:rsidRPr="00C9026A">
        <w:rPr>
          <w:lang w:val="en-GB"/>
        </w:rPr>
        <w:t>, V.</w:t>
      </w:r>
      <w:r w:rsidRPr="00C9026A">
        <w:rPr>
          <w:lang w:val="en-GB"/>
        </w:rPr>
        <w:tab/>
        <w:t>Republican Scientific-Practical Centre of Hygiene, Belarus</w:t>
      </w:r>
    </w:p>
    <w:p w:rsidR="00F82E0D" w:rsidRPr="00C9026A" w:rsidRDefault="002416E2" w:rsidP="008E57B6">
      <w:pPr>
        <w:pStyle w:val="BodyText"/>
        <w:tabs>
          <w:tab w:val="left" w:pos="3119"/>
        </w:tabs>
        <w:spacing w:after="200"/>
        <w:jc w:val="left"/>
        <w:rPr>
          <w:lang w:val="de-DE"/>
        </w:rPr>
      </w:pPr>
      <w:r w:rsidRPr="00C9026A">
        <w:rPr>
          <w:lang w:val="de-DE"/>
        </w:rPr>
        <w:t>Lehmann, K.-H.</w:t>
      </w:r>
      <w:r w:rsidRPr="00C9026A">
        <w:rPr>
          <w:lang w:val="de-DE"/>
        </w:rPr>
        <w:tab/>
        <w:t>Technischer Überwachungsverein Süddeutschland, Germany</w:t>
      </w:r>
    </w:p>
    <w:p w:rsidR="00106881" w:rsidRPr="00C9026A" w:rsidRDefault="00106881" w:rsidP="004757CE">
      <w:pPr>
        <w:pStyle w:val="BodyText"/>
        <w:tabs>
          <w:tab w:val="left" w:pos="3119"/>
        </w:tabs>
        <w:spacing w:after="200"/>
        <w:ind w:left="3119" w:hanging="3119"/>
        <w:jc w:val="left"/>
        <w:rPr>
          <w:lang w:val="en-GB"/>
        </w:rPr>
      </w:pPr>
      <w:r w:rsidRPr="00C9026A">
        <w:rPr>
          <w:lang w:val="en-GB"/>
        </w:rPr>
        <w:t>Moore, J.</w:t>
      </w:r>
      <w:r w:rsidRPr="00C9026A">
        <w:rPr>
          <w:lang w:val="en-GB"/>
        </w:rPr>
        <w:tab/>
        <w:t>US Nuclear Regulatory Commission, United States of America</w:t>
      </w:r>
    </w:p>
    <w:p w:rsidR="00106881" w:rsidRPr="00C9026A" w:rsidRDefault="00106881" w:rsidP="008E57B6">
      <w:pPr>
        <w:pStyle w:val="BodyText"/>
        <w:tabs>
          <w:tab w:val="left" w:pos="3119"/>
        </w:tabs>
        <w:spacing w:after="200"/>
        <w:jc w:val="left"/>
        <w:rPr>
          <w:lang w:val="en-GB"/>
        </w:rPr>
      </w:pPr>
      <w:proofErr w:type="spellStart"/>
      <w:r w:rsidRPr="00C9026A">
        <w:rPr>
          <w:lang w:val="en-GB"/>
        </w:rPr>
        <w:t>Pinak</w:t>
      </w:r>
      <w:proofErr w:type="spellEnd"/>
      <w:r w:rsidRPr="00C9026A">
        <w:rPr>
          <w:lang w:val="en-GB"/>
        </w:rPr>
        <w:t>, M.</w:t>
      </w:r>
      <w:r w:rsidRPr="00C9026A">
        <w:rPr>
          <w:lang w:val="en-GB"/>
        </w:rPr>
        <w:tab/>
        <w:t>International Atomic Energy Agency</w:t>
      </w:r>
    </w:p>
    <w:p w:rsidR="00A82C90" w:rsidRPr="00C9026A" w:rsidRDefault="00A82C90" w:rsidP="008E57B6">
      <w:pPr>
        <w:pStyle w:val="BodyText"/>
        <w:tabs>
          <w:tab w:val="left" w:pos="3119"/>
        </w:tabs>
        <w:spacing w:after="200"/>
        <w:jc w:val="left"/>
        <w:rPr>
          <w:lang w:val="en-GB"/>
        </w:rPr>
      </w:pPr>
      <w:proofErr w:type="spellStart"/>
      <w:r w:rsidRPr="00C9026A">
        <w:rPr>
          <w:lang w:val="en-GB"/>
        </w:rPr>
        <w:t>Proehl</w:t>
      </w:r>
      <w:proofErr w:type="spellEnd"/>
      <w:r w:rsidRPr="00C9026A">
        <w:rPr>
          <w:lang w:val="en-GB"/>
        </w:rPr>
        <w:t>, G.</w:t>
      </w:r>
      <w:r w:rsidRPr="00C9026A">
        <w:rPr>
          <w:lang w:val="en-GB"/>
        </w:rPr>
        <w:tab/>
        <w:t>International Atomic Energy Agency</w:t>
      </w:r>
    </w:p>
    <w:p w:rsidR="00106881" w:rsidRPr="00C9026A" w:rsidRDefault="00106881" w:rsidP="004757CE">
      <w:pPr>
        <w:pStyle w:val="BodyText"/>
        <w:tabs>
          <w:tab w:val="left" w:pos="3119"/>
        </w:tabs>
        <w:spacing w:after="200"/>
        <w:ind w:left="3119" w:hanging="3119"/>
        <w:jc w:val="left"/>
        <w:rPr>
          <w:lang w:val="en-GB"/>
        </w:rPr>
      </w:pPr>
      <w:r w:rsidRPr="00C9026A">
        <w:rPr>
          <w:lang w:val="en-GB"/>
        </w:rPr>
        <w:t>Robinson, C.</w:t>
      </w:r>
      <w:r w:rsidRPr="00C9026A">
        <w:rPr>
          <w:lang w:val="en-GB"/>
        </w:rPr>
        <w:tab/>
      </w:r>
      <w:r w:rsidR="00440AA8">
        <w:rPr>
          <w:lang w:val="en-GB"/>
        </w:rPr>
        <w:t>U</w:t>
      </w:r>
      <w:r w:rsidR="000F3C44">
        <w:rPr>
          <w:lang w:val="en-GB"/>
        </w:rPr>
        <w:t xml:space="preserve">nited </w:t>
      </w:r>
      <w:r w:rsidR="00440AA8">
        <w:rPr>
          <w:lang w:val="en-GB"/>
        </w:rPr>
        <w:t>N</w:t>
      </w:r>
      <w:r w:rsidR="000F3C44">
        <w:rPr>
          <w:lang w:val="en-GB"/>
        </w:rPr>
        <w:t xml:space="preserve">ations </w:t>
      </w:r>
      <w:r w:rsidR="00440AA8">
        <w:rPr>
          <w:lang w:val="en-GB"/>
        </w:rPr>
        <w:t>E</w:t>
      </w:r>
      <w:r w:rsidR="000F3C44">
        <w:rPr>
          <w:lang w:val="en-GB"/>
        </w:rPr>
        <w:t xml:space="preserve">nvironment </w:t>
      </w:r>
      <w:r w:rsidR="00440AA8">
        <w:rPr>
          <w:lang w:val="en-GB"/>
        </w:rPr>
        <w:t>P</w:t>
      </w:r>
      <w:r w:rsidR="000F3C44">
        <w:rPr>
          <w:lang w:val="en-GB"/>
        </w:rPr>
        <w:t>rogramme</w:t>
      </w:r>
    </w:p>
    <w:p w:rsidR="00055265" w:rsidRPr="00C9026A" w:rsidRDefault="00055265" w:rsidP="008E57B6">
      <w:pPr>
        <w:pStyle w:val="BodyText"/>
        <w:tabs>
          <w:tab w:val="left" w:pos="3119"/>
        </w:tabs>
        <w:spacing w:after="200"/>
        <w:jc w:val="left"/>
        <w:rPr>
          <w:lang w:val="es-ES"/>
        </w:rPr>
      </w:pPr>
      <w:proofErr w:type="spellStart"/>
      <w:r w:rsidRPr="00C9026A">
        <w:rPr>
          <w:lang w:val="es-ES"/>
        </w:rPr>
        <w:t>Rochedo</w:t>
      </w:r>
      <w:proofErr w:type="spellEnd"/>
      <w:r w:rsidRPr="00C9026A">
        <w:rPr>
          <w:lang w:val="es-ES"/>
        </w:rPr>
        <w:t>, E.</w:t>
      </w:r>
      <w:r w:rsidRPr="00C9026A">
        <w:rPr>
          <w:lang w:val="es-ES"/>
        </w:rPr>
        <w:tab/>
      </w:r>
      <w:proofErr w:type="spellStart"/>
      <w:r w:rsidRPr="00C9026A">
        <w:rPr>
          <w:lang w:val="es-ES"/>
        </w:rPr>
        <w:t>Comissáo</w:t>
      </w:r>
      <w:proofErr w:type="spellEnd"/>
      <w:r w:rsidRPr="00C9026A">
        <w:rPr>
          <w:lang w:val="es-ES"/>
        </w:rPr>
        <w:t xml:space="preserve"> Nacional de </w:t>
      </w:r>
      <w:proofErr w:type="spellStart"/>
      <w:r w:rsidRPr="00C9026A">
        <w:rPr>
          <w:lang w:val="es-ES"/>
        </w:rPr>
        <w:t>Energia</w:t>
      </w:r>
      <w:proofErr w:type="spellEnd"/>
      <w:r w:rsidRPr="00C9026A">
        <w:rPr>
          <w:lang w:val="es-ES"/>
        </w:rPr>
        <w:t xml:space="preserve"> Nuclear, </w:t>
      </w:r>
      <w:proofErr w:type="spellStart"/>
      <w:r w:rsidRPr="00C9026A">
        <w:rPr>
          <w:lang w:val="es-ES"/>
        </w:rPr>
        <w:t>Brazil</w:t>
      </w:r>
      <w:proofErr w:type="spellEnd"/>
    </w:p>
    <w:p w:rsidR="002416E2" w:rsidRPr="00C9026A" w:rsidRDefault="002416E2" w:rsidP="008E57B6">
      <w:pPr>
        <w:pStyle w:val="BodyText"/>
        <w:tabs>
          <w:tab w:val="left" w:pos="3119"/>
        </w:tabs>
        <w:spacing w:after="200"/>
        <w:jc w:val="left"/>
        <w:rPr>
          <w:lang w:val="en-GB"/>
        </w:rPr>
      </w:pPr>
      <w:r w:rsidRPr="00C9026A">
        <w:rPr>
          <w:lang w:val="en-GB"/>
        </w:rPr>
        <w:t>Saint-Pierre, S.</w:t>
      </w:r>
      <w:r w:rsidRPr="00C9026A">
        <w:rPr>
          <w:lang w:val="en-GB"/>
        </w:rPr>
        <w:tab/>
        <w:t>World Nuclear Association</w:t>
      </w:r>
    </w:p>
    <w:p w:rsidR="00106881" w:rsidRPr="00C9026A" w:rsidRDefault="00106881" w:rsidP="008E57B6">
      <w:pPr>
        <w:pStyle w:val="BodyText"/>
        <w:tabs>
          <w:tab w:val="left" w:pos="3119"/>
        </w:tabs>
        <w:spacing w:after="200"/>
        <w:jc w:val="left"/>
        <w:rPr>
          <w:lang w:val="en-GB"/>
        </w:rPr>
      </w:pPr>
      <w:proofErr w:type="spellStart"/>
      <w:r w:rsidRPr="00C9026A">
        <w:rPr>
          <w:lang w:val="en-GB"/>
        </w:rPr>
        <w:t>Telleria</w:t>
      </w:r>
      <w:proofErr w:type="spellEnd"/>
      <w:r w:rsidRPr="00C9026A">
        <w:rPr>
          <w:lang w:val="en-GB"/>
        </w:rPr>
        <w:t>, D.</w:t>
      </w:r>
      <w:r w:rsidRPr="00C9026A">
        <w:rPr>
          <w:lang w:val="en-GB"/>
        </w:rPr>
        <w:tab/>
        <w:t>International Atomic Energy Agency</w:t>
      </w:r>
    </w:p>
    <w:p w:rsidR="0051074D" w:rsidRPr="00C9026A" w:rsidRDefault="0051074D" w:rsidP="008E57B6">
      <w:pPr>
        <w:pStyle w:val="BodyText"/>
        <w:tabs>
          <w:tab w:val="left" w:pos="3119"/>
        </w:tabs>
        <w:spacing w:after="200"/>
        <w:jc w:val="left"/>
        <w:rPr>
          <w:lang w:val="en-GB"/>
        </w:rPr>
      </w:pPr>
      <w:r w:rsidRPr="00C9026A">
        <w:rPr>
          <w:lang w:val="en-GB"/>
        </w:rPr>
        <w:t xml:space="preserve">Van </w:t>
      </w:r>
      <w:proofErr w:type="spellStart"/>
      <w:r w:rsidRPr="00C9026A">
        <w:rPr>
          <w:lang w:val="en-GB"/>
        </w:rPr>
        <w:t>Graan</w:t>
      </w:r>
      <w:proofErr w:type="spellEnd"/>
      <w:r w:rsidRPr="00C9026A">
        <w:rPr>
          <w:lang w:val="en-GB"/>
        </w:rPr>
        <w:t>, H</w:t>
      </w:r>
      <w:r w:rsidR="003D3E11">
        <w:rPr>
          <w:lang w:val="en-GB"/>
        </w:rPr>
        <w:t>.</w:t>
      </w:r>
      <w:r w:rsidRPr="00C9026A">
        <w:rPr>
          <w:lang w:val="en-GB"/>
        </w:rPr>
        <w:tab/>
        <w:t>National Nuclear Regulator, South Africa</w:t>
      </w:r>
    </w:p>
    <w:p w:rsidR="00055265" w:rsidRPr="00C9026A" w:rsidRDefault="00055265" w:rsidP="008E57B6">
      <w:pPr>
        <w:pStyle w:val="BodyText"/>
        <w:tabs>
          <w:tab w:val="left" w:pos="3119"/>
        </w:tabs>
        <w:spacing w:after="200"/>
        <w:jc w:val="left"/>
        <w:rPr>
          <w:lang w:val="fr-FR"/>
        </w:rPr>
      </w:pPr>
      <w:proofErr w:type="spellStart"/>
      <w:r w:rsidRPr="00C9026A">
        <w:rPr>
          <w:lang w:val="fr-FR"/>
        </w:rPr>
        <w:t>Vermorel</w:t>
      </w:r>
      <w:proofErr w:type="spellEnd"/>
      <w:r w:rsidRPr="00C9026A">
        <w:rPr>
          <w:lang w:val="fr-FR"/>
        </w:rPr>
        <w:t>, F.</w:t>
      </w:r>
      <w:r w:rsidRPr="00C9026A">
        <w:rPr>
          <w:lang w:val="fr-FR"/>
        </w:rPr>
        <w:tab/>
        <w:t>Electricité de France, France</w:t>
      </w:r>
    </w:p>
    <w:p w:rsidR="00055265" w:rsidRPr="00C9026A" w:rsidRDefault="00055265" w:rsidP="008E57B6">
      <w:pPr>
        <w:pStyle w:val="BodyText"/>
        <w:tabs>
          <w:tab w:val="left" w:pos="3119"/>
        </w:tabs>
        <w:spacing w:after="200"/>
        <w:jc w:val="left"/>
        <w:rPr>
          <w:lang w:val="en-GB"/>
        </w:rPr>
      </w:pPr>
      <w:proofErr w:type="spellStart"/>
      <w:r w:rsidRPr="00C9026A">
        <w:rPr>
          <w:lang w:val="en-GB"/>
        </w:rPr>
        <w:t>Vilkamo</w:t>
      </w:r>
      <w:proofErr w:type="spellEnd"/>
      <w:r w:rsidRPr="00C9026A">
        <w:rPr>
          <w:lang w:val="en-GB"/>
        </w:rPr>
        <w:t>, O.</w:t>
      </w:r>
      <w:r w:rsidRPr="00C9026A">
        <w:rPr>
          <w:lang w:val="en-GB"/>
        </w:rPr>
        <w:tab/>
        <w:t>Radiation &amp; Nuclear Safety Authority, Finland</w:t>
      </w:r>
    </w:p>
    <w:p w:rsidR="00106881" w:rsidRPr="00C9026A" w:rsidRDefault="00106881" w:rsidP="008E57B6">
      <w:pPr>
        <w:pStyle w:val="BodyText"/>
        <w:tabs>
          <w:tab w:val="left" w:pos="3119"/>
        </w:tabs>
        <w:spacing w:after="200"/>
        <w:jc w:val="left"/>
        <w:rPr>
          <w:lang w:val="de-DE"/>
        </w:rPr>
      </w:pPr>
      <w:proofErr w:type="spellStart"/>
      <w:r w:rsidRPr="00C9026A">
        <w:rPr>
          <w:lang w:val="de-DE"/>
        </w:rPr>
        <w:t>Willrodt</w:t>
      </w:r>
      <w:proofErr w:type="spellEnd"/>
      <w:r w:rsidRPr="00C9026A">
        <w:rPr>
          <w:lang w:val="de-DE"/>
        </w:rPr>
        <w:t>, C.</w:t>
      </w:r>
      <w:r w:rsidRPr="00C9026A">
        <w:rPr>
          <w:lang w:val="de-DE"/>
        </w:rPr>
        <w:tab/>
        <w:t>Bundesamt für Strahlenschutz, Germany</w:t>
      </w:r>
    </w:p>
    <w:p w:rsidR="001B5684" w:rsidRPr="00527095" w:rsidRDefault="002416E2" w:rsidP="008E57B6">
      <w:pPr>
        <w:pStyle w:val="BodyText"/>
        <w:tabs>
          <w:tab w:val="left" w:pos="3119"/>
        </w:tabs>
        <w:spacing w:after="200"/>
        <w:jc w:val="left"/>
        <w:rPr>
          <w:lang w:val="en-GB"/>
        </w:rPr>
      </w:pPr>
      <w:proofErr w:type="spellStart"/>
      <w:r w:rsidRPr="00C9026A">
        <w:rPr>
          <w:lang w:val="en-GB"/>
        </w:rPr>
        <w:lastRenderedPageBreak/>
        <w:t>Yankovich</w:t>
      </w:r>
      <w:proofErr w:type="spellEnd"/>
      <w:r w:rsidRPr="00C9026A">
        <w:rPr>
          <w:lang w:val="en-GB"/>
        </w:rPr>
        <w:t>, T.</w:t>
      </w:r>
      <w:r w:rsidRPr="00C9026A">
        <w:rPr>
          <w:lang w:val="en-GB"/>
        </w:rPr>
        <w:tab/>
      </w:r>
      <w:r w:rsidR="00106881" w:rsidRPr="00C9026A">
        <w:rPr>
          <w:lang w:val="en-GB"/>
        </w:rPr>
        <w:t>International Atomic Energy Agency</w:t>
      </w:r>
    </w:p>
    <w:sectPr w:rsidR="001B5684" w:rsidRPr="00527095" w:rsidSect="00A51A8E">
      <w:type w:val="oddPage"/>
      <w:pgSz w:w="11907" w:h="16840" w:code="9"/>
      <w:pgMar w:top="1134" w:right="1418" w:bottom="153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09" w:rsidRDefault="00D03D09">
      <w:r>
        <w:separator/>
      </w:r>
    </w:p>
  </w:endnote>
  <w:endnote w:type="continuationSeparator" w:id="0">
    <w:p w:rsidR="00D03D09" w:rsidRDefault="00D0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Te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embedItalic r:id="rId1" w:subsetted="1" w:fontKey="{46278F69-69E4-413C-BFEA-AF8B1F2A933D}"/>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09" w:rsidRDefault="00D03D09">
    <w:pPr>
      <w:pStyle w:val="Footer"/>
      <w:jc w:val="left"/>
    </w:pPr>
    <w:r>
      <w:fldChar w:fldCharType="begin"/>
    </w:r>
    <w:r>
      <w:instrText xml:space="preserve"> PAGE </w:instrText>
    </w:r>
    <w:r>
      <w:fldChar w:fldCharType="separate"/>
    </w:r>
    <w:r w:rsidR="00527DD7">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09" w:rsidRDefault="00D03D09">
    <w:pPr>
      <w:pStyle w:val="BodyText"/>
      <w:jc w:val="right"/>
    </w:pPr>
    <w:r>
      <w:rPr>
        <w:sz w:val="22"/>
      </w:rPr>
      <w:fldChar w:fldCharType="begin"/>
    </w:r>
    <w:r>
      <w:rPr>
        <w:sz w:val="22"/>
      </w:rPr>
      <w:instrText xml:space="preserve"> PAGE </w:instrText>
    </w:r>
    <w:r>
      <w:rPr>
        <w:sz w:val="22"/>
      </w:rPr>
      <w:fldChar w:fldCharType="separate"/>
    </w:r>
    <w:r w:rsidR="00527DD7">
      <w:rPr>
        <w:noProof/>
        <w:sz w:val="22"/>
      </w:rPr>
      <w:t>3</w:t>
    </w:r>
    <w:r>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09" w:rsidRDefault="00D03D09">
    <w:pPr>
      <w:pStyle w:val="Footer"/>
      <w:jc w:val="left"/>
    </w:pPr>
    <w:r>
      <w:fldChar w:fldCharType="begin"/>
    </w:r>
    <w:r>
      <w:instrText xml:space="preserve"> PAGE </w:instrText>
    </w:r>
    <w:r>
      <w:fldChar w:fldCharType="separate"/>
    </w:r>
    <w:r w:rsidR="00527DD7">
      <w:rPr>
        <w:noProof/>
      </w:rPr>
      <w:t>72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09" w:rsidRDefault="00D03D09">
    <w:pPr>
      <w:pStyle w:val="BodyText"/>
      <w:jc w:val="right"/>
    </w:pPr>
    <w:r>
      <w:rPr>
        <w:sz w:val="22"/>
      </w:rPr>
      <w:fldChar w:fldCharType="begin"/>
    </w:r>
    <w:r>
      <w:rPr>
        <w:sz w:val="22"/>
      </w:rPr>
      <w:instrText xml:space="preserve"> PAGE </w:instrText>
    </w:r>
    <w:r>
      <w:rPr>
        <w:sz w:val="22"/>
      </w:rPr>
      <w:fldChar w:fldCharType="separate"/>
    </w:r>
    <w:r w:rsidR="00527DD7">
      <w:rPr>
        <w:noProof/>
        <w:sz w:val="22"/>
      </w:rPr>
      <w:t>71</w:t>
    </w:r>
    <w:r>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09" w:rsidRDefault="00D03D09" w:rsidP="005F19D7">
      <w:pPr>
        <w:spacing w:before="360" w:after="120"/>
      </w:pPr>
      <w:r>
        <w:separator/>
      </w:r>
    </w:p>
  </w:footnote>
  <w:footnote w:type="continuationSeparator" w:id="0">
    <w:p w:rsidR="00D03D09" w:rsidRDefault="00D03D09">
      <w:r>
        <w:continuationSeparator/>
      </w:r>
    </w:p>
  </w:footnote>
  <w:footnote w:id="1">
    <w:p w:rsidR="00D03D09" w:rsidRPr="00584512" w:rsidRDefault="00D03D09" w:rsidP="001A5039">
      <w:pPr>
        <w:pStyle w:val="FootnoteText"/>
      </w:pPr>
      <w:r w:rsidRPr="00584512">
        <w:rPr>
          <w:rStyle w:val="FootnoteReference"/>
        </w:rPr>
        <w:footnoteRef/>
      </w:r>
      <w:r w:rsidRPr="00584512">
        <w:t xml:space="preserve"> </w:t>
      </w:r>
      <w:r>
        <w:t>The term ‘f</w:t>
      </w:r>
      <w:r w:rsidRPr="00584512">
        <w:t>acilities and activities</w:t>
      </w:r>
      <w:r>
        <w:t>’</w:t>
      </w:r>
      <w:r w:rsidRPr="00584512">
        <w:t xml:space="preserve"> </w:t>
      </w:r>
      <w:proofErr w:type="gramStart"/>
      <w:r>
        <w:t>is</w:t>
      </w:r>
      <w:proofErr w:type="gramEnd"/>
      <w:r w:rsidRPr="00584512">
        <w:t xml:space="preserve"> defined in </w:t>
      </w:r>
      <w:r>
        <w:t xml:space="preserve">SF-1 [2] and the IAEA Safety </w:t>
      </w:r>
      <w:r w:rsidRPr="00087B85">
        <w:t>Glossary [4].</w:t>
      </w:r>
      <w:r w:rsidRPr="00584512">
        <w:t xml:space="preserve"> </w:t>
      </w:r>
      <w:r w:rsidRPr="00C54421">
        <w:rPr>
          <w:lang w:val="en-US"/>
        </w:rPr>
        <w:t xml:space="preserve">It is a general term encompassing all nuclear facilities and uses of all sources of ionizing radiation. </w:t>
      </w:r>
      <w:r w:rsidRPr="00584512">
        <w:t xml:space="preserve">The </w:t>
      </w:r>
      <w:r>
        <w:t>recommendations of this Safety</w:t>
      </w:r>
      <w:r w:rsidRPr="00584512">
        <w:t xml:space="preserve"> </w:t>
      </w:r>
      <w:r>
        <w:t>G</w:t>
      </w:r>
      <w:r w:rsidRPr="00584512">
        <w:t xml:space="preserve">uide </w:t>
      </w:r>
      <w:r>
        <w:t>apply</w:t>
      </w:r>
      <w:r w:rsidRPr="00584512">
        <w:t xml:space="preserve"> to certain </w:t>
      </w:r>
      <w:r>
        <w:t>facilities and activities,</w:t>
      </w:r>
      <w:r w:rsidRPr="00584512">
        <w:t xml:space="preserve"> </w:t>
      </w:r>
      <w:r>
        <w:t>as</w:t>
      </w:r>
      <w:r w:rsidRPr="00584512">
        <w:t xml:space="preserve"> described </w:t>
      </w:r>
      <w:r>
        <w:t>in paras 1.11 to 1.25</w:t>
      </w:r>
      <w:r w:rsidRPr="00584512">
        <w:t>.</w:t>
      </w:r>
    </w:p>
  </w:footnote>
  <w:footnote w:id="2">
    <w:p w:rsidR="00D03D09" w:rsidRDefault="00D03D09">
      <w:pPr>
        <w:pStyle w:val="FootnoteText"/>
      </w:pPr>
      <w:r>
        <w:rPr>
          <w:rStyle w:val="FootnoteReference"/>
        </w:rPr>
        <w:footnoteRef/>
      </w:r>
      <w:r>
        <w:t xml:space="preserve"> An explanation of the term ‘</w:t>
      </w:r>
      <w:r w:rsidRPr="00C9026A">
        <w:t>governmental decision</w:t>
      </w:r>
      <w:r>
        <w:t xml:space="preserve"> </w:t>
      </w:r>
      <w:r w:rsidRPr="00C9026A">
        <w:t>making process</w:t>
      </w:r>
      <w:r>
        <w:t>’ is provided in Section 2.</w:t>
      </w:r>
    </w:p>
  </w:footnote>
  <w:footnote w:id="3">
    <w:p w:rsidR="00D03D09" w:rsidRDefault="00D03D09">
      <w:pPr>
        <w:pStyle w:val="FootnoteText"/>
      </w:pPr>
      <w:r>
        <w:rPr>
          <w:rStyle w:val="FootnoteReference"/>
        </w:rPr>
        <w:footnoteRef/>
      </w:r>
      <w:r>
        <w:t xml:space="preserve"> The </w:t>
      </w:r>
      <w:r w:rsidRPr="00D10A47">
        <w:t xml:space="preserve">IAEA has </w:t>
      </w:r>
      <w:r>
        <w:t xml:space="preserve">also </w:t>
      </w:r>
      <w:r w:rsidRPr="00D10A47">
        <w:t xml:space="preserve">issued </w:t>
      </w:r>
      <w:r>
        <w:t xml:space="preserve">a </w:t>
      </w:r>
      <w:r w:rsidRPr="00D10A47">
        <w:t xml:space="preserve">Safety Report on methods and models that can be used to assess the impact of releases </w:t>
      </w:r>
      <w:r>
        <w:t xml:space="preserve">of radioactive material </w:t>
      </w:r>
      <w:r w:rsidRPr="00D10A47">
        <w:t>to the environment [1</w:t>
      </w:r>
      <w:r>
        <w:t>0</w:t>
      </w:r>
      <w:r w:rsidRPr="00D10A47">
        <w:t>] and Technical Reports relevant to environmental transfer parameters [1</w:t>
      </w:r>
      <w:r>
        <w:t>1,</w:t>
      </w:r>
      <w:r w:rsidRPr="00D10A47">
        <w:t>1</w:t>
      </w:r>
      <w:r>
        <w:t>2</w:t>
      </w:r>
      <w:r w:rsidRPr="00D10A47">
        <w:t>].</w:t>
      </w:r>
      <w:r>
        <w:t xml:space="preserve"> </w:t>
      </w:r>
      <w:r w:rsidRPr="0014379A">
        <w:t>A revision of Safety Reports Series No. 19</w:t>
      </w:r>
      <w:r>
        <w:t xml:space="preserve"> [10]</w:t>
      </w:r>
      <w:r w:rsidRPr="0014379A">
        <w:t xml:space="preserve"> is in preparation, and will cover screening assessments of public exposure; generic models </w:t>
      </w:r>
      <w:r>
        <w:t xml:space="preserve">and parameters </w:t>
      </w:r>
      <w:r w:rsidRPr="0014379A">
        <w:t xml:space="preserve">for use in assessing the impact of radioactive discharges; and </w:t>
      </w:r>
      <w:r>
        <w:t xml:space="preserve">generic models and parameters for </w:t>
      </w:r>
      <w:r w:rsidRPr="0014379A">
        <w:t xml:space="preserve">assessing </w:t>
      </w:r>
      <w:r>
        <w:t>exposures of</w:t>
      </w:r>
      <w:r w:rsidRPr="0014379A">
        <w:t xml:space="preserve"> flora and fauna due to radioactive discharges from facilities and activities.</w:t>
      </w:r>
    </w:p>
  </w:footnote>
  <w:footnote w:id="4">
    <w:p w:rsidR="00D03D09" w:rsidRPr="00584512" w:rsidRDefault="00D03D09" w:rsidP="00584512">
      <w:pPr>
        <w:pStyle w:val="FootnoteText"/>
      </w:pPr>
      <w:r w:rsidRPr="00584512">
        <w:rPr>
          <w:rStyle w:val="FootnoteReference"/>
        </w:rPr>
        <w:footnoteRef/>
      </w:r>
      <w:r w:rsidRPr="00584512">
        <w:t xml:space="preserve"> </w:t>
      </w:r>
      <w:r w:rsidRPr="00B44192">
        <w:t xml:space="preserve">GSR Part 3 [1] </w:t>
      </w:r>
      <w:r>
        <w:t>uses</w:t>
      </w:r>
      <w:r w:rsidRPr="00B44192">
        <w:t xml:space="preserve"> </w:t>
      </w:r>
      <w:r>
        <w:t>the term</w:t>
      </w:r>
      <w:r w:rsidRPr="00B44192">
        <w:t xml:space="preserve"> </w:t>
      </w:r>
      <w:r>
        <w:t>‘</w:t>
      </w:r>
      <w:r w:rsidRPr="00B44192">
        <w:t>interested party</w:t>
      </w:r>
      <w:r>
        <w:t>’</w:t>
      </w:r>
      <w:r w:rsidRPr="00B44192">
        <w:t xml:space="preserve"> to mean, in a broad sense, a person or group having an interest in the performance of an organization. Interested parties have typically included customers, owners, operators, employees, suppliers, partners, trade unions; the regulated industry or professionals; scientific bodies; governmental agencies or regulatory bodies</w:t>
      </w:r>
      <w:r>
        <w:t>.</w:t>
      </w:r>
      <w:r w:rsidRPr="00B44192">
        <w:t xml:space="preserve"> It could also include other States, e.g. neighbouring States concerned with possible transboundary impacts.</w:t>
      </w:r>
      <w:r>
        <w:t xml:space="preserve"> </w:t>
      </w:r>
    </w:p>
  </w:footnote>
  <w:footnote w:id="5">
    <w:p w:rsidR="00D03D09" w:rsidRDefault="00D03D09" w:rsidP="006033DD">
      <w:pPr>
        <w:pStyle w:val="FootnoteText"/>
      </w:pPr>
      <w:r>
        <w:rPr>
          <w:rStyle w:val="FootnoteReference"/>
        </w:rPr>
        <w:footnoteRef/>
      </w:r>
      <w:r>
        <w:t xml:space="preserve"> Facilities and activities needing radiological environmental impact assessment are those in which radioactive material is produced, processed, used, handled or stored in such a form and on such a scale that consideration of the possible impact on the public and the environment is required. Examples of such facilities are: nuclear installations (including nuclear power plants, research reactors, radioisotope production facilities and source production facilities, spent fuel storage facilities and reprocessing facilities, facilities for the enrichment of uranium, nuclear fuel fabrication facilities,</w:t>
      </w:r>
      <w:r w:rsidRPr="00022A95">
        <w:t xml:space="preserve"> </w:t>
      </w:r>
      <w:r>
        <w:t>predisposal radioactive waste management facilities, disposal facilities during the operational period</w:t>
      </w:r>
      <w:r w:rsidRPr="00022A95">
        <w:t xml:space="preserve"> </w:t>
      </w:r>
      <w:r>
        <w:t>and nuclear fuel cycle related research and development facilities); some mining and raw material processing facilities, such as open-pit uranium mines; and facilities for the milling or processing of uranium ores,. Such activities may include: the use of unsealed radiation sources for industrial, research and medical purposes, and the decommissioning of certain facilities.</w:t>
      </w:r>
    </w:p>
  </w:footnote>
  <w:footnote w:id="6">
    <w:p w:rsidR="00D03D09" w:rsidRDefault="00D03D09">
      <w:pPr>
        <w:pStyle w:val="FootnoteText"/>
      </w:pPr>
      <w:r>
        <w:rPr>
          <w:rStyle w:val="FootnoteReference"/>
        </w:rPr>
        <w:footnoteRef/>
      </w:r>
      <w:r>
        <w:t xml:space="preserve"> Safety analysis is part of the safety assessment for facilities and activities </w:t>
      </w:r>
      <w:r w:rsidRPr="00087B85">
        <w:t>[5].</w:t>
      </w:r>
    </w:p>
  </w:footnote>
  <w:footnote w:id="7">
    <w:p w:rsidR="00D03D09" w:rsidRDefault="00D03D09" w:rsidP="00ED4B52">
      <w:pPr>
        <w:pStyle w:val="FootnoteText"/>
      </w:pPr>
      <w:r>
        <w:rPr>
          <w:rStyle w:val="FootnoteReference"/>
        </w:rPr>
        <w:footnoteRef/>
      </w:r>
      <w:r>
        <w:t xml:space="preserve"> The IAEA Safety Glossary defines an ‘accident’ as any unintended event, including operating errors, equipment failures and other mishaps, the consequences or potential consequences of which are not negligible from the point of view of protection or safety [4].</w:t>
      </w:r>
    </w:p>
  </w:footnote>
  <w:footnote w:id="8">
    <w:p w:rsidR="00D03D09" w:rsidRDefault="00D03D09">
      <w:pPr>
        <w:pStyle w:val="FootnoteText"/>
      </w:pPr>
      <w:r>
        <w:rPr>
          <w:rStyle w:val="FootnoteReference"/>
        </w:rPr>
        <w:footnoteRef/>
      </w:r>
      <w:r>
        <w:t xml:space="preserve"> Monitoring programmes at the pre-operational stage are defined, for instance, </w:t>
      </w:r>
      <w:r w:rsidRPr="0099067C">
        <w:t xml:space="preserve">to establish </w:t>
      </w:r>
      <w:r>
        <w:t>‘</w:t>
      </w:r>
      <w:r w:rsidRPr="0099067C">
        <w:t>baseline</w:t>
      </w:r>
      <w:r>
        <w:t>’</w:t>
      </w:r>
      <w:r w:rsidRPr="0099067C">
        <w:t xml:space="preserve"> activity concentrations in environmental media</w:t>
      </w:r>
      <w:r>
        <w:t xml:space="preserve"> and to provide information and data for dose assessment </w:t>
      </w:r>
      <w:r w:rsidRPr="00087B85">
        <w:t>purposes [1</w:t>
      </w:r>
      <w:r>
        <w:t>8</w:t>
      </w:r>
      <w:r w:rsidRPr="00087B85">
        <w:t>]. During the operation of the facility or the conduct of the activity</w:t>
      </w:r>
      <w:r>
        <w:t>,</w:t>
      </w:r>
      <w:r w:rsidRPr="00087B85">
        <w:t xml:space="preserve"> monitoring programmes </w:t>
      </w:r>
      <w:r>
        <w:t>are put</w:t>
      </w:r>
      <w:r w:rsidRPr="00087B85">
        <w:t xml:space="preserve"> in place to verify compliance</w:t>
      </w:r>
      <w:r>
        <w:t xml:space="preserve"> with discharge limits</w:t>
      </w:r>
      <w:r w:rsidRPr="00087B85">
        <w:t>, to check the conditions of operation, to provide warning of unusual or unforeseen conditions and to check the predictions of environmental models [1</w:t>
      </w:r>
      <w:r>
        <w:t>8</w:t>
      </w:r>
      <w:r w:rsidRPr="00087B85">
        <w:t>].</w:t>
      </w:r>
    </w:p>
  </w:footnote>
  <w:footnote w:id="9">
    <w:p w:rsidR="00D03D09" w:rsidRPr="00087B85" w:rsidRDefault="00D03D09" w:rsidP="007539BE">
      <w:pPr>
        <w:pStyle w:val="FootnoteText"/>
      </w:pPr>
      <w:r w:rsidRPr="00584512">
        <w:rPr>
          <w:rStyle w:val="FootnoteReference"/>
        </w:rPr>
        <w:footnoteRef/>
      </w:r>
      <w:r w:rsidRPr="00584512">
        <w:t xml:space="preserve"> The term </w:t>
      </w:r>
      <w:r>
        <w:t xml:space="preserve">‘governmental </w:t>
      </w:r>
      <w:r w:rsidRPr="00584512">
        <w:t>decision</w:t>
      </w:r>
      <w:r>
        <w:t xml:space="preserve"> making</w:t>
      </w:r>
      <w:r w:rsidRPr="00584512">
        <w:t xml:space="preserve"> process</w:t>
      </w:r>
      <w:r>
        <w:t>’</w:t>
      </w:r>
      <w:r w:rsidRPr="00584512">
        <w:t xml:space="preserve"> encompasses</w:t>
      </w:r>
      <w:r>
        <w:t xml:space="preserve"> or is related to</w:t>
      </w:r>
      <w:r w:rsidRPr="00584512">
        <w:t xml:space="preserve"> different terms used </w:t>
      </w:r>
      <w:r>
        <w:t>in some</w:t>
      </w:r>
      <w:r w:rsidRPr="00584512">
        <w:t xml:space="preserve"> States </w:t>
      </w:r>
      <w:r w:rsidRPr="00087B85">
        <w:t>with similar or equivalent meanings, such as ‘decision</w:t>
      </w:r>
      <w:r>
        <w:t xml:space="preserve"> </w:t>
      </w:r>
      <w:r w:rsidRPr="00087B85">
        <w:t>in</w:t>
      </w:r>
      <w:r>
        <w:t xml:space="preserve"> </w:t>
      </w:r>
      <w:r w:rsidRPr="00087B85">
        <w:t>principle’, ‘environmental impact statement</w:t>
      </w:r>
      <w:r>
        <w:t>’</w:t>
      </w:r>
      <w:r w:rsidRPr="00087B85">
        <w:t xml:space="preserve">, and, in some cases, ‘justification’. </w:t>
      </w:r>
    </w:p>
  </w:footnote>
  <w:footnote w:id="10">
    <w:p w:rsidR="00D03D09" w:rsidRDefault="00D03D09" w:rsidP="008E5076">
      <w:pPr>
        <w:pStyle w:val="FootnoteText"/>
      </w:pPr>
      <w:r w:rsidRPr="00087B85">
        <w:rPr>
          <w:rStyle w:val="FootnoteReference"/>
        </w:rPr>
        <w:footnoteRef/>
      </w:r>
      <w:r w:rsidRPr="00087B85">
        <w:t xml:space="preserve"> </w:t>
      </w:r>
      <w:r>
        <w:t xml:space="preserve">Reference </w:t>
      </w:r>
      <w:r w:rsidRPr="00087B85">
        <w:t>[</w:t>
      </w:r>
      <w:r>
        <w:t>31</w:t>
      </w:r>
      <w:r w:rsidRPr="00087B85">
        <w:t xml:space="preserve">] provides information on </w:t>
      </w:r>
      <w:r w:rsidRPr="00C9026A">
        <w:t>environmental impact assessment</w:t>
      </w:r>
      <w:r w:rsidRPr="00087B85" w:rsidDel="007E0B92">
        <w:t xml:space="preserve"> </w:t>
      </w:r>
      <w:r w:rsidRPr="00087B85">
        <w:t xml:space="preserve">in the framework of the development of a new nuclear </w:t>
      </w:r>
      <w:r>
        <w:t xml:space="preserve">power </w:t>
      </w:r>
      <w:r w:rsidRPr="00087B85">
        <w:t>programme.</w:t>
      </w:r>
    </w:p>
  </w:footnote>
  <w:footnote w:id="11">
    <w:p w:rsidR="00D03D09" w:rsidRDefault="00D03D09" w:rsidP="004E4C64">
      <w:pPr>
        <w:pStyle w:val="FootnoteText"/>
      </w:pPr>
      <w:r>
        <w:rPr>
          <w:rStyle w:val="FootnoteReference"/>
        </w:rPr>
        <w:footnoteRef/>
      </w:r>
      <w:r>
        <w:t xml:space="preserve"> The principle of dose and risk limitation is not applied to emergency exposures situations and existing exposures situation, for which reference levels are used instead.</w:t>
      </w:r>
    </w:p>
  </w:footnote>
  <w:footnote w:id="12">
    <w:p w:rsidR="00D03D09" w:rsidRPr="00584512" w:rsidRDefault="00D03D09" w:rsidP="00584512">
      <w:pPr>
        <w:pStyle w:val="FootnoteText"/>
      </w:pPr>
      <w:r w:rsidRPr="00584512">
        <w:rPr>
          <w:rStyle w:val="FootnoteReference"/>
        </w:rPr>
        <w:footnoteRef/>
      </w:r>
      <w:r w:rsidRPr="00584512">
        <w:t xml:space="preserve"> The consideration of the protection of </w:t>
      </w:r>
      <w:r w:rsidRPr="00B67B50">
        <w:t>public and protection of the environment</w:t>
      </w:r>
      <w:r w:rsidRPr="00584512">
        <w:t xml:space="preserve"> </w:t>
      </w:r>
      <w:r>
        <w:t xml:space="preserve">from possible </w:t>
      </w:r>
      <w:r w:rsidRPr="00584512">
        <w:t xml:space="preserve">transboundary </w:t>
      </w:r>
      <w:r>
        <w:t>impacts</w:t>
      </w:r>
      <w:r w:rsidRPr="00584512">
        <w:t xml:space="preserve"> and the </w:t>
      </w:r>
      <w:r w:rsidRPr="00087B85">
        <w:t xml:space="preserve">obligations for assessing the impacts and sharing information between States should also be </w:t>
      </w:r>
      <w:r>
        <w:t>addressed</w:t>
      </w:r>
      <w:r w:rsidRPr="00087B85">
        <w:t xml:space="preserve"> within the broader context of relevant international agreements and conventions (e.g. Espoo 1991 [2</w:t>
      </w:r>
      <w:r>
        <w:t>3</w:t>
      </w:r>
      <w:r w:rsidRPr="00087B85">
        <w:t>], UNCLOS 1982 [2</w:t>
      </w:r>
      <w:r>
        <w:t>4</w:t>
      </w:r>
      <w:r w:rsidRPr="00087B85">
        <w:t>], Aarhus 1998 [2</w:t>
      </w:r>
      <w:r>
        <w:t>5</w:t>
      </w:r>
      <w:r w:rsidRPr="00087B85">
        <w:t>] and Article 37 of the EURATOM Treaty [3</w:t>
      </w:r>
      <w:r>
        <w:t>2</w:t>
      </w:r>
      <w:r w:rsidRPr="00087B85">
        <w:t>]).</w:t>
      </w:r>
    </w:p>
  </w:footnote>
  <w:footnote w:id="13">
    <w:p w:rsidR="00D03D09" w:rsidRPr="00087B85" w:rsidRDefault="00D03D09" w:rsidP="003256B3">
      <w:pPr>
        <w:pStyle w:val="FootnoteText"/>
      </w:pPr>
      <w:r>
        <w:rPr>
          <w:rStyle w:val="FootnoteReference"/>
        </w:rPr>
        <w:footnoteRef/>
      </w:r>
      <w:r>
        <w:t xml:space="preserve"> The concept of exemption and the general criteria </w:t>
      </w:r>
      <w:r w:rsidRPr="00307715">
        <w:t xml:space="preserve">for exemption </w:t>
      </w:r>
      <w:r>
        <w:t>of practices are</w:t>
      </w:r>
      <w:r w:rsidRPr="00307715">
        <w:t xml:space="preserve"> </w:t>
      </w:r>
      <w:r>
        <w:t>set out</w:t>
      </w:r>
      <w:r w:rsidRPr="00087B85">
        <w:t xml:space="preserve"> in </w:t>
      </w:r>
      <w:r>
        <w:t xml:space="preserve">schedule I of </w:t>
      </w:r>
      <w:r w:rsidRPr="00087B85">
        <w:t>GSR Part 3 [1].</w:t>
      </w:r>
    </w:p>
  </w:footnote>
  <w:footnote w:id="14">
    <w:p w:rsidR="00D03D09" w:rsidRPr="00584512" w:rsidRDefault="00D03D09" w:rsidP="003256B3">
      <w:pPr>
        <w:pStyle w:val="FootnoteText"/>
      </w:pPr>
      <w:r w:rsidRPr="00087B85">
        <w:rPr>
          <w:rStyle w:val="FootnoteReference"/>
        </w:rPr>
        <w:footnoteRef/>
      </w:r>
      <w:r w:rsidRPr="00087B85">
        <w:t xml:space="preserve"> </w:t>
      </w:r>
      <w:r>
        <w:t>The s</w:t>
      </w:r>
      <w:r w:rsidRPr="00087B85">
        <w:t xml:space="preserve">ource term is the amount and isotopic composition of material released (or postulated to be released) from a facility </w:t>
      </w:r>
      <w:r>
        <w:t xml:space="preserve">and the concept is </w:t>
      </w:r>
      <w:r w:rsidRPr="00087B85">
        <w:t>used in modelling releases of radionuclides to the environment [4]. It is also applicable to certain activities and</w:t>
      </w:r>
      <w:r>
        <w:t>,</w:t>
      </w:r>
      <w:r w:rsidRPr="00087B85">
        <w:t xml:space="preserve"> together with </w:t>
      </w:r>
      <w:r>
        <w:t>the</w:t>
      </w:r>
      <w:r w:rsidRPr="00087B85">
        <w:t xml:space="preserve"> physical and chemical properties </w:t>
      </w:r>
      <w:r>
        <w:t xml:space="preserve">of the material released, can be </w:t>
      </w:r>
      <w:r w:rsidRPr="00087B85">
        <w:t xml:space="preserve">relevant for </w:t>
      </w:r>
      <w:r>
        <w:t xml:space="preserve">modelling </w:t>
      </w:r>
      <w:r w:rsidRPr="00087B85">
        <w:t>environmental dispersion.</w:t>
      </w:r>
    </w:p>
  </w:footnote>
  <w:footnote w:id="15">
    <w:p w:rsidR="00D03D09" w:rsidRDefault="00D03D09" w:rsidP="00810D76">
      <w:pPr>
        <w:pStyle w:val="FootnoteText"/>
      </w:pPr>
      <w:r>
        <w:rPr>
          <w:rStyle w:val="FootnoteReference"/>
        </w:rPr>
        <w:footnoteRef/>
      </w:r>
      <w:r>
        <w:t xml:space="preserve"> </w:t>
      </w:r>
      <w:r w:rsidRPr="002C531D">
        <w:t xml:space="preserve">The list provided in Table 1 is not exhaustive, and judgement on the significance of these factors when selecting the type of assessment </w:t>
      </w:r>
      <w:r>
        <w:t>will need to</w:t>
      </w:r>
      <w:r w:rsidRPr="002C531D">
        <w:t xml:space="preserve"> be made by experts in nuclear and radiation safety </w:t>
      </w:r>
      <w:r>
        <w:t>in the applicant’s organization and</w:t>
      </w:r>
      <w:r w:rsidRPr="002C531D">
        <w:t xml:space="preserve"> </w:t>
      </w:r>
      <w:r>
        <w:t xml:space="preserve">by the </w:t>
      </w:r>
      <w:r w:rsidRPr="002C531D">
        <w:t>national regulatory bod</w:t>
      </w:r>
      <w:r>
        <w:t>y.</w:t>
      </w:r>
    </w:p>
  </w:footnote>
  <w:footnote w:id="16">
    <w:p w:rsidR="00D03D09" w:rsidRDefault="00D03D09" w:rsidP="009A249F">
      <w:pPr>
        <w:pStyle w:val="FootnoteText"/>
      </w:pPr>
      <w:r>
        <w:rPr>
          <w:rStyle w:val="FootnoteReference"/>
        </w:rPr>
        <w:footnoteRef/>
      </w:r>
      <w:r>
        <w:t xml:space="preserve"> </w:t>
      </w:r>
      <w:r w:rsidRPr="00087B85">
        <w:t xml:space="preserve">Some international directives, </w:t>
      </w:r>
      <w:r>
        <w:t>such as</w:t>
      </w:r>
      <w:r w:rsidRPr="00087B85">
        <w:t xml:space="preserve"> the Convention on Environmental Impact Assessment in a Transboundary Context [</w:t>
      </w:r>
      <w:r>
        <w:t>23</w:t>
      </w:r>
      <w:r w:rsidRPr="00087B85">
        <w:t>] and the EU Directive on the Assessment of the Effects of Certain Public and Private Projects on the Environment [2</w:t>
      </w:r>
      <w:r>
        <w:t>6</w:t>
      </w:r>
      <w:r w:rsidRPr="00087B85">
        <w:t>]</w:t>
      </w:r>
      <w:r>
        <w:t>, specify</w:t>
      </w:r>
      <w:r w:rsidRPr="00087B85">
        <w:t xml:space="preserve"> the types</w:t>
      </w:r>
      <w:r>
        <w:t xml:space="preserve"> of facility and activity for which an environmental impact assessment is necessary.</w:t>
      </w:r>
    </w:p>
  </w:footnote>
  <w:footnote w:id="17">
    <w:p w:rsidR="00D03D09" w:rsidRDefault="00D03D09">
      <w:pPr>
        <w:pStyle w:val="FootnoteText"/>
      </w:pPr>
      <w:r>
        <w:rPr>
          <w:rStyle w:val="FootnoteReference"/>
        </w:rPr>
        <w:footnoteRef/>
      </w:r>
      <w:r>
        <w:t xml:space="preserve"> Environmental compartments are, for example, air, water, sediment and biota.</w:t>
      </w:r>
    </w:p>
  </w:footnote>
  <w:footnote w:id="18">
    <w:p w:rsidR="00D03D09" w:rsidRDefault="00D03D09">
      <w:pPr>
        <w:pStyle w:val="FootnoteText"/>
      </w:pPr>
      <w:r>
        <w:rPr>
          <w:rStyle w:val="FootnoteReference"/>
        </w:rPr>
        <w:footnoteRef/>
      </w:r>
      <w:r>
        <w:t xml:space="preserve"> </w:t>
      </w:r>
      <w:r w:rsidRPr="00D10A47">
        <w:t xml:space="preserve">There exist a number of ‘state of the art’ models applicable to radiological environmental impact assessment </w:t>
      </w:r>
      <w:r>
        <w:t>that have been</w:t>
      </w:r>
      <w:r w:rsidRPr="00D10A47">
        <w:t xml:space="preserve"> developed and used by </w:t>
      </w:r>
      <w:r>
        <w:t xml:space="preserve">various </w:t>
      </w:r>
      <w:r w:rsidRPr="00D10A47">
        <w:t xml:space="preserve">States and, in some cases, provided by commercial companies. The IAEA regularly conducts international projects for </w:t>
      </w:r>
      <w:r>
        <w:t xml:space="preserve">validation of </w:t>
      </w:r>
      <w:r w:rsidRPr="00D10A47">
        <w:t xml:space="preserve">models and data, </w:t>
      </w:r>
      <w:r>
        <w:t>in which</w:t>
      </w:r>
      <w:r w:rsidRPr="00D10A47">
        <w:t xml:space="preserve"> some of these models </w:t>
      </w:r>
      <w:r>
        <w:t>are</w:t>
      </w:r>
      <w:r w:rsidRPr="00D10A47">
        <w:t xml:space="preserve"> used </w:t>
      </w:r>
      <w:r>
        <w:t>in</w:t>
      </w:r>
      <w:r w:rsidRPr="00D10A47">
        <w:t xml:space="preserve"> test</w:t>
      </w:r>
      <w:r>
        <w:t xml:space="preserve"> </w:t>
      </w:r>
      <w:r w:rsidRPr="00D10A47">
        <w:t xml:space="preserve">cases and </w:t>
      </w:r>
      <w:r>
        <w:t xml:space="preserve">for </w:t>
      </w:r>
      <w:r w:rsidRPr="00D10A47">
        <w:t xml:space="preserve">benchmarking. Information </w:t>
      </w:r>
      <w:r>
        <w:t>on</w:t>
      </w:r>
      <w:r w:rsidRPr="00D10A47">
        <w:t xml:space="preserve"> models applied within </w:t>
      </w:r>
      <w:r>
        <w:t xml:space="preserve">the </w:t>
      </w:r>
      <w:r w:rsidRPr="00D10A47">
        <w:t>IAEA project EMRAS can be found in Ref. [</w:t>
      </w:r>
      <w:r>
        <w:t>38]; reports on models applied within the IAEA projects EMRAS II and MODARIA are in preparation.</w:t>
      </w:r>
    </w:p>
  </w:footnote>
  <w:footnote w:id="19">
    <w:p w:rsidR="00D03D09" w:rsidRDefault="00D03D09">
      <w:pPr>
        <w:pStyle w:val="FootnoteText"/>
      </w:pPr>
      <w:r>
        <w:rPr>
          <w:rStyle w:val="FootnoteReference"/>
        </w:rPr>
        <w:footnoteRef/>
      </w:r>
      <w:r>
        <w:t xml:space="preserve"> The figure is not intended as a detailed step by step procedure and is presented to illustrate the elements of the assessment and facilitate its description. </w:t>
      </w:r>
    </w:p>
  </w:footnote>
  <w:footnote w:id="20">
    <w:p w:rsidR="00D03D09" w:rsidRDefault="00D03D09">
      <w:pPr>
        <w:pStyle w:val="FootnoteText"/>
      </w:pPr>
      <w:r>
        <w:rPr>
          <w:rStyle w:val="FootnoteReference"/>
        </w:rPr>
        <w:footnoteRef/>
      </w:r>
      <w:r>
        <w:t xml:space="preserve"> The concept of and the characteristics of the representative person for normal operation are set out in paras 5.32</w:t>
      </w:r>
      <w:r>
        <w:noBreakHyphen/>
        <w:t>5.35.</w:t>
      </w:r>
    </w:p>
  </w:footnote>
  <w:footnote w:id="21">
    <w:p w:rsidR="00D03D09" w:rsidRDefault="00D03D09">
      <w:pPr>
        <w:pStyle w:val="FootnoteText"/>
      </w:pPr>
      <w:r>
        <w:rPr>
          <w:rStyle w:val="FootnoteReference"/>
        </w:rPr>
        <w:footnoteRef/>
      </w:r>
      <w:r>
        <w:t xml:space="preserve"> Models used to represent different transfer processes between the compartments of a system, with each compartment assumed to be a homogenous entity. </w:t>
      </w:r>
    </w:p>
  </w:footnote>
  <w:footnote w:id="22">
    <w:p w:rsidR="00D03D09" w:rsidRDefault="00D03D09">
      <w:pPr>
        <w:pStyle w:val="FootnoteText"/>
      </w:pPr>
      <w:r>
        <w:rPr>
          <w:rStyle w:val="FootnoteReference"/>
        </w:rPr>
        <w:footnoteRef/>
      </w:r>
      <w:r>
        <w:t xml:space="preserve"> This may refer to workers for whom the exposures incurred are not considered occupational exposure, and who then, for the purposes of the radiological environmental impact assessment and control of exposures, are considered as members of the public.</w:t>
      </w:r>
    </w:p>
  </w:footnote>
  <w:footnote w:id="23">
    <w:p w:rsidR="00D03D09" w:rsidRPr="00584512" w:rsidRDefault="00D03D09" w:rsidP="00503DC5">
      <w:pPr>
        <w:pStyle w:val="FootnoteText"/>
      </w:pPr>
      <w:r w:rsidRPr="00584512">
        <w:rPr>
          <w:rStyle w:val="FootnoteReference"/>
        </w:rPr>
        <w:footnoteRef/>
      </w:r>
      <w:r w:rsidRPr="00584512">
        <w:t xml:space="preserve"> </w:t>
      </w:r>
      <w:r>
        <w:t xml:space="preserve">The concept of representative person is defined by ICRP for radiation protection purposes. </w:t>
      </w:r>
      <w:r w:rsidRPr="00F50F57">
        <w:t xml:space="preserve">GSR Part 3 [1] defines </w:t>
      </w:r>
      <w:r>
        <w:t xml:space="preserve">the </w:t>
      </w:r>
      <w:r w:rsidRPr="00F50F57">
        <w:t xml:space="preserve">representative person as </w:t>
      </w:r>
      <w:r>
        <w:t>“a</w:t>
      </w:r>
      <w:r w:rsidRPr="00F50F57">
        <w:t>n individual receiving a dose that is representative of the doses to the more highly exposed individuals</w:t>
      </w:r>
      <w:r w:rsidRPr="00584512">
        <w:t xml:space="preserve"> in the population</w:t>
      </w:r>
      <w:r>
        <w:t>”</w:t>
      </w:r>
      <w:r w:rsidRPr="00584512">
        <w:t xml:space="preserve">. </w:t>
      </w:r>
      <w:r>
        <w:t xml:space="preserve">The representative person is not an actual member of the population but is rather a reference individual defined using </w:t>
      </w:r>
      <w:proofErr w:type="spellStart"/>
      <w:r>
        <w:t>dosimetric</w:t>
      </w:r>
      <w:proofErr w:type="spellEnd"/>
      <w:r>
        <w:t xml:space="preserve"> models and habit data characteristic of those individuals more highly exposed and is used </w:t>
      </w:r>
      <w:r w:rsidRPr="005E610C">
        <w:t>to determine compliance or in prospective assessments</w:t>
      </w:r>
      <w:r w:rsidRPr="00584512">
        <w:t>.</w:t>
      </w:r>
      <w:r>
        <w:t xml:space="preserve"> </w:t>
      </w:r>
      <w:r w:rsidRPr="00F50F57">
        <w:t xml:space="preserve">The representative person </w:t>
      </w:r>
      <w:r>
        <w:t xml:space="preserve">to be used </w:t>
      </w:r>
      <w:r w:rsidRPr="00F50F57">
        <w:t xml:space="preserve">for </w:t>
      </w:r>
      <w:r>
        <w:t xml:space="preserve">the purpose of the </w:t>
      </w:r>
      <w:r w:rsidRPr="00F50F57">
        <w:t xml:space="preserve">assessment and control of exposures </w:t>
      </w:r>
      <w:r>
        <w:t>due to discharges in</w:t>
      </w:r>
      <w:r w:rsidRPr="00F50F57">
        <w:t xml:space="preserve"> normal operation is defined in national legislation or regulations of </w:t>
      </w:r>
      <w:r>
        <w:t xml:space="preserve">some </w:t>
      </w:r>
      <w:r w:rsidRPr="00F50F57">
        <w:t>States</w:t>
      </w:r>
      <w:r>
        <w:t>.</w:t>
      </w:r>
    </w:p>
  </w:footnote>
  <w:footnote w:id="24">
    <w:p w:rsidR="00D03D09" w:rsidRPr="00584512" w:rsidRDefault="00D03D09" w:rsidP="00D87BCE">
      <w:pPr>
        <w:pStyle w:val="FootnoteText"/>
      </w:pPr>
      <w:r w:rsidRPr="00584512">
        <w:rPr>
          <w:rStyle w:val="FootnoteReference"/>
        </w:rPr>
        <w:footnoteRef/>
      </w:r>
      <w:r w:rsidRPr="00584512">
        <w:t xml:space="preserve"> The </w:t>
      </w:r>
      <w:r>
        <w:t xml:space="preserve">committed dose is the </w:t>
      </w:r>
      <w:r w:rsidRPr="00584512">
        <w:t>lifetime dose expected to result from an intake.</w:t>
      </w:r>
    </w:p>
  </w:footnote>
  <w:footnote w:id="25">
    <w:p w:rsidR="00D03D09" w:rsidRDefault="00D03D09">
      <w:pPr>
        <w:pStyle w:val="FootnoteText"/>
      </w:pPr>
      <w:r>
        <w:rPr>
          <w:rStyle w:val="FootnoteReference"/>
        </w:rPr>
        <w:footnoteRef/>
      </w:r>
      <w:r>
        <w:t xml:space="preserve"> The concept of a measure of the risk of health effects due to exposure to radiation resulting from postulated accidents is explained in more detail in Annex II.</w:t>
      </w:r>
    </w:p>
  </w:footnote>
  <w:footnote w:id="26">
    <w:p w:rsidR="00D03D09" w:rsidRDefault="00D03D09">
      <w:pPr>
        <w:pStyle w:val="FootnoteText"/>
      </w:pPr>
      <w:r>
        <w:rPr>
          <w:rStyle w:val="FootnoteReference"/>
        </w:rPr>
        <w:footnoteRef/>
      </w:r>
      <w:r>
        <w:t xml:space="preserve"> </w:t>
      </w:r>
      <w:r w:rsidRPr="008C715E">
        <w:t xml:space="preserve">The figure is not intended as a detailed step by step procedure and is presented to illustrate the elements of the assessment and facilitate </w:t>
      </w:r>
      <w:r>
        <w:t>its</w:t>
      </w:r>
      <w:r w:rsidRPr="008C715E">
        <w:t xml:space="preserve"> description</w:t>
      </w:r>
      <w:r>
        <w:t>.</w:t>
      </w:r>
    </w:p>
  </w:footnote>
  <w:footnote w:id="27">
    <w:p w:rsidR="00D03D09" w:rsidRDefault="00D03D09">
      <w:pPr>
        <w:pStyle w:val="FootnoteText"/>
      </w:pPr>
      <w:r>
        <w:rPr>
          <w:rStyle w:val="FootnoteReference"/>
        </w:rPr>
        <w:footnoteRef/>
      </w:r>
      <w:r>
        <w:t xml:space="preserve"> </w:t>
      </w:r>
      <w:r w:rsidRPr="0046537B">
        <w:t>For the purposes of this Safety Guide, the expression ‘potential exposure scenarios’ is used to include the characteristics of all the events or sequences of events that may lead to an accident, including their source term characteristics and</w:t>
      </w:r>
      <w:r>
        <w:t>,</w:t>
      </w:r>
      <w:r w:rsidRPr="0046537B">
        <w:t xml:space="preserve"> when applicable</w:t>
      </w:r>
      <w:r>
        <w:t>,</w:t>
      </w:r>
      <w:r w:rsidRPr="0046537B">
        <w:t xml:space="preserve"> their frequenc</w:t>
      </w:r>
      <w:r>
        <w:t>y of occurrence</w:t>
      </w:r>
      <w:r w:rsidRPr="0046537B">
        <w:t xml:space="preserve"> or probabilit</w:t>
      </w:r>
      <w:r>
        <w:t>y</w:t>
      </w:r>
      <w:r w:rsidRPr="0046537B">
        <w:t>.</w:t>
      </w:r>
    </w:p>
  </w:footnote>
  <w:footnote w:id="28">
    <w:p w:rsidR="00D03D09" w:rsidRDefault="00D03D09">
      <w:pPr>
        <w:pStyle w:val="FootnoteText"/>
      </w:pPr>
      <w:r>
        <w:rPr>
          <w:rStyle w:val="FootnoteReference"/>
        </w:rPr>
        <w:footnoteRef/>
      </w:r>
      <w:r>
        <w:t xml:space="preserve"> </w:t>
      </w:r>
      <w:r w:rsidRPr="002805E3">
        <w:t xml:space="preserve">Characteristic </w:t>
      </w:r>
      <w:r>
        <w:t>accident source terms</w:t>
      </w:r>
      <w:r w:rsidRPr="002805E3">
        <w:t xml:space="preserve"> are those that can be considered to be a comprehensive representation of the characteristics of the specific facility or activity</w:t>
      </w:r>
      <w:r>
        <w:t xml:space="preserve"> under accident conditions</w:t>
      </w:r>
      <w:r w:rsidRPr="002805E3">
        <w:t xml:space="preserve">. The </w:t>
      </w:r>
      <w:r>
        <w:t>accident source terms</w:t>
      </w:r>
      <w:r w:rsidRPr="002805E3">
        <w:t xml:space="preserve"> identified as characteristic </w:t>
      </w:r>
      <w:r>
        <w:t xml:space="preserve">of the facility or activity </w:t>
      </w:r>
      <w:r w:rsidRPr="002805E3">
        <w:t xml:space="preserve">can be divided into different categories in accordance with their annual frequency or likelihood of occurrence and their </w:t>
      </w:r>
      <w:r>
        <w:t>magnitude</w:t>
      </w:r>
      <w:r w:rsidRPr="002805E3">
        <w:t>. Characteristic</w:t>
      </w:r>
      <w:r>
        <w:t xml:space="preserve"> accident</w:t>
      </w:r>
      <w:r w:rsidRPr="002805E3">
        <w:t xml:space="preserve"> s</w:t>
      </w:r>
      <w:r>
        <w:t>ource terms</w:t>
      </w:r>
      <w:r w:rsidRPr="002805E3">
        <w:t xml:space="preserve"> do not necessarily include the worst case scenario</w:t>
      </w:r>
      <w:r>
        <w:t>,</w:t>
      </w:r>
      <w:r w:rsidRPr="002805E3">
        <w:t xml:space="preserve"> which </w:t>
      </w:r>
      <w:r>
        <w:t>is typically</w:t>
      </w:r>
      <w:r w:rsidRPr="002805E3">
        <w:t xml:space="preserve"> a ver</w:t>
      </w:r>
      <w:r>
        <w:t xml:space="preserve">y cautious </w:t>
      </w:r>
      <w:r w:rsidRPr="002805E3">
        <w:t xml:space="preserve">assumption </w:t>
      </w:r>
      <w:r>
        <w:t>involving</w:t>
      </w:r>
      <w:r w:rsidRPr="002805E3">
        <w:t xml:space="preserve"> estimations of unrealistic potential consequences. For further information see Annex II.</w:t>
      </w:r>
    </w:p>
  </w:footnote>
  <w:footnote w:id="29">
    <w:p w:rsidR="00D03D09" w:rsidRPr="00F50F57" w:rsidRDefault="00D03D09" w:rsidP="00B87BFF">
      <w:pPr>
        <w:pStyle w:val="FootnoteText"/>
      </w:pPr>
      <w:r>
        <w:rPr>
          <w:rStyle w:val="FootnoteReference"/>
        </w:rPr>
        <w:footnoteRef/>
      </w:r>
      <w:r>
        <w:t xml:space="preserve"> The ICRP uses the term ‘</w:t>
      </w:r>
      <w:r w:rsidRPr="00F50F57">
        <w:t xml:space="preserve">representative person’ for the consideration of both normal </w:t>
      </w:r>
      <w:r>
        <w:t xml:space="preserve">discharges </w:t>
      </w:r>
      <w:r w:rsidRPr="00F50F57">
        <w:t xml:space="preserve">and </w:t>
      </w:r>
      <w:r>
        <w:t>accidental</w:t>
      </w:r>
      <w:r w:rsidRPr="00F50F57">
        <w:t xml:space="preserve"> releases [4</w:t>
      </w:r>
      <w:r>
        <w:t>4</w:t>
      </w:r>
      <w:r w:rsidRPr="00F50F57">
        <w:t xml:space="preserve">]. </w:t>
      </w:r>
      <w:r>
        <w:t>D</w:t>
      </w:r>
      <w:r w:rsidRPr="00F50F57">
        <w:t xml:space="preserve">espite the </w:t>
      </w:r>
      <w:r>
        <w:t xml:space="preserve">use of the </w:t>
      </w:r>
      <w:r w:rsidRPr="00F50F57">
        <w:t xml:space="preserve">same </w:t>
      </w:r>
      <w:r>
        <w:t>term</w:t>
      </w:r>
      <w:r w:rsidRPr="00F50F57">
        <w:t xml:space="preserve"> and </w:t>
      </w:r>
      <w:r>
        <w:t xml:space="preserve">the applicability of the </w:t>
      </w:r>
      <w:r w:rsidRPr="00F50F57">
        <w:t xml:space="preserve">general </w:t>
      </w:r>
      <w:r>
        <w:t>definition</w:t>
      </w:r>
      <w:r w:rsidRPr="00F50F57">
        <w:t xml:space="preserve"> </w:t>
      </w:r>
      <w:r>
        <w:t>to</w:t>
      </w:r>
      <w:r w:rsidRPr="00F50F57">
        <w:t xml:space="preserve"> both situations, the </w:t>
      </w:r>
      <w:r>
        <w:t xml:space="preserve">particular </w:t>
      </w:r>
      <w:r w:rsidRPr="00F50F57">
        <w:t>characteristic</w:t>
      </w:r>
      <w:r>
        <w:t>s of the representative person in each case, such as</w:t>
      </w:r>
      <w:r w:rsidRPr="00F50F57">
        <w:t xml:space="preserve"> </w:t>
      </w:r>
      <w:r>
        <w:t xml:space="preserve">their </w:t>
      </w:r>
      <w:r w:rsidRPr="00F50F57">
        <w:t>location,</w:t>
      </w:r>
      <w:r>
        <w:t xml:space="preserve"> habits and </w:t>
      </w:r>
      <w:r w:rsidRPr="00F50F57">
        <w:t>age group</w:t>
      </w:r>
      <w:r>
        <w:t xml:space="preserve">, </w:t>
      </w:r>
      <w:r w:rsidRPr="00F50F57">
        <w:t>may be different.</w:t>
      </w:r>
    </w:p>
  </w:footnote>
  <w:footnote w:id="30">
    <w:p w:rsidR="00D03D09" w:rsidRDefault="00D03D09" w:rsidP="003010EF">
      <w:pPr>
        <w:pStyle w:val="FootnoteText"/>
      </w:pPr>
      <w:r w:rsidRPr="00F50F57">
        <w:rPr>
          <w:rStyle w:val="FootnoteReference"/>
        </w:rPr>
        <w:footnoteRef/>
      </w:r>
      <w:r w:rsidRPr="00F50F57">
        <w:t xml:space="preserve"> </w:t>
      </w:r>
      <w:r>
        <w:t xml:space="preserve">The </w:t>
      </w:r>
      <w:r w:rsidRPr="00F50F57">
        <w:t>IAEA Safety Glossary [4] defines ‘end</w:t>
      </w:r>
      <w:r>
        <w:t xml:space="preserve"> point’ as a radiological or other measure of protection or safety that is the calculated result of an analysis or assessment. Common end points include estimates of dose or risk and predicted environmental concentrations of radionuclides.</w:t>
      </w:r>
    </w:p>
  </w:footnote>
  <w:footnote w:id="31">
    <w:p w:rsidR="00D03D09" w:rsidRPr="00AA363C" w:rsidRDefault="00D03D09">
      <w:pPr>
        <w:pStyle w:val="FootnoteText"/>
      </w:pPr>
      <w:r>
        <w:rPr>
          <w:rStyle w:val="FootnoteReference"/>
        </w:rPr>
        <w:footnoteRef/>
      </w:r>
      <w:r>
        <w:t xml:space="preserve"> Paragraph 3.15</w:t>
      </w:r>
      <w:r w:rsidRPr="00AA363C">
        <w:t xml:space="preserve"> of </w:t>
      </w:r>
      <w:r>
        <w:t>GSR Part 3</w:t>
      </w:r>
      <w:r w:rsidRPr="00AA363C">
        <w:t xml:space="preserve"> </w:t>
      </w:r>
      <w:r w:rsidRPr="00F50F57">
        <w:t xml:space="preserve">[1] </w:t>
      </w:r>
      <w:r>
        <w:t>additionally states</w:t>
      </w:r>
      <w:r w:rsidRPr="00F50F57">
        <w:t xml:space="preserve"> that the number of </w:t>
      </w:r>
      <w:r>
        <w:t>individuals who may be affected by potential exposures is required to</w:t>
      </w:r>
      <w:r w:rsidRPr="00F50F57">
        <w:t xml:space="preserve"> be assessed</w:t>
      </w:r>
      <w:r>
        <w:t>;</w:t>
      </w:r>
      <w:r w:rsidRPr="00F50F57">
        <w:t xml:space="preserve"> </w:t>
      </w:r>
      <w:r>
        <w:t>however,</w:t>
      </w:r>
      <w:r w:rsidRPr="00F50F57">
        <w:t xml:space="preserve"> </w:t>
      </w:r>
      <w:r>
        <w:t xml:space="preserve">the scope of </w:t>
      </w:r>
      <w:r w:rsidRPr="00F50F57">
        <w:t xml:space="preserve">this Safety Guide </w:t>
      </w:r>
      <w:r>
        <w:t xml:space="preserve">is </w:t>
      </w:r>
      <w:r w:rsidRPr="00F50F57">
        <w:t>limit</w:t>
      </w:r>
      <w:r>
        <w:t>ed</w:t>
      </w:r>
      <w:r w:rsidRPr="00F50F57">
        <w:t xml:space="preserve"> to effects</w:t>
      </w:r>
      <w:r>
        <w:t xml:space="preserve"> on individuals</w:t>
      </w:r>
      <w:r w:rsidRPr="00F50F57">
        <w:t>.</w:t>
      </w:r>
      <w:r>
        <w:t xml:space="preserve"> </w:t>
      </w:r>
    </w:p>
  </w:footnote>
  <w:footnote w:id="32">
    <w:p w:rsidR="00D03D09" w:rsidRDefault="00D03D09">
      <w:pPr>
        <w:pStyle w:val="FootnoteText"/>
      </w:pPr>
      <w:r>
        <w:rPr>
          <w:rStyle w:val="FootnoteReference"/>
        </w:rPr>
        <w:footnoteRef/>
      </w:r>
      <w:r>
        <w:t xml:space="preserve"> </w:t>
      </w:r>
      <w:r w:rsidRPr="008A6C50">
        <w:t>This is consistent with</w:t>
      </w:r>
      <w:r>
        <w:t xml:space="preserve"> the </w:t>
      </w:r>
      <w:r w:rsidRPr="008A6C50">
        <w:t xml:space="preserve">safety objective </w:t>
      </w:r>
      <w:r>
        <w:t xml:space="preserve">for </w:t>
      </w:r>
      <w:r w:rsidRPr="008A6C50">
        <w:t xml:space="preserve">accidents with significant off-site consequences, </w:t>
      </w:r>
      <w:r>
        <w:t>for which</w:t>
      </w:r>
      <w:r w:rsidRPr="008A6C50">
        <w:t xml:space="preserve"> only protective action</w:t>
      </w:r>
      <w:r>
        <w:t>s</w:t>
      </w:r>
      <w:r w:rsidRPr="008A6C50">
        <w:t xml:space="preserve"> that are limited in terms of </w:t>
      </w:r>
      <w:r>
        <w:t xml:space="preserve">lengths of </w:t>
      </w:r>
      <w:r w:rsidRPr="008A6C50">
        <w:t xml:space="preserve">time and areas of application would be acceptable and that off-site contamination </w:t>
      </w:r>
      <w:r>
        <w:t>w</w:t>
      </w:r>
      <w:r w:rsidRPr="008A6C50">
        <w:t>ould be avoided or minimized [4</w:t>
      </w:r>
      <w:r>
        <w:t>7</w:t>
      </w:r>
      <w:r w:rsidRPr="008A6C50">
        <w:t>].</w:t>
      </w:r>
    </w:p>
  </w:footnote>
  <w:footnote w:id="33">
    <w:p w:rsidR="00D03D09" w:rsidRDefault="00D03D09" w:rsidP="00867CAD">
      <w:pPr>
        <w:pStyle w:val="FootnoteText"/>
      </w:pPr>
      <w:r>
        <w:rPr>
          <w:rStyle w:val="FootnoteReference"/>
        </w:rPr>
        <w:footnoteRef/>
      </w:r>
      <w:r>
        <w:t xml:space="preserve"> F</w:t>
      </w:r>
      <w:r>
        <w:rPr>
          <w:rFonts w:eastAsia="TimesNewRoman"/>
        </w:rPr>
        <w:t>or example,</w:t>
      </w:r>
      <w:r w:rsidRPr="0099067C">
        <w:rPr>
          <w:rFonts w:eastAsia="TimesNewRoman"/>
        </w:rPr>
        <w:t xml:space="preserve"> the Convention on the Prevention of Marine Pollution by Dumping </w:t>
      </w:r>
      <w:r>
        <w:rPr>
          <w:rFonts w:eastAsia="TimesNewRoman"/>
        </w:rPr>
        <w:t xml:space="preserve">of Wastes and Other Matter (see: </w:t>
      </w:r>
      <w:hyperlink r:id="rId1" w:history="1">
        <w:r w:rsidRPr="00986E9E">
          <w:rPr>
            <w:rStyle w:val="Hyperlink"/>
            <w:rFonts w:eastAsia="TimesNewRoman"/>
          </w:rPr>
          <w:t>http://www.imo.org/OurWork/Environment/LCLP/Pages/default.aspx</w:t>
        </w:r>
      </w:hyperlink>
      <w:r>
        <w:rPr>
          <w:rFonts w:eastAsia="TimesNewRoman"/>
        </w:rPr>
        <w:t>) requires the explicit assessment of the radiological impact on marine flora and fauna resulting from the dumping of materials containing radionuclides. The IAEA has developed a radiological assessment procedure for this purpose [56].</w:t>
      </w:r>
    </w:p>
  </w:footnote>
  <w:footnote w:id="34">
    <w:p w:rsidR="00D03D09" w:rsidRDefault="00D03D09" w:rsidP="00867CAD">
      <w:pPr>
        <w:pStyle w:val="FootnoteText"/>
      </w:pPr>
      <w:r>
        <w:rPr>
          <w:rStyle w:val="FootnoteReference"/>
        </w:rPr>
        <w:footnoteRef/>
      </w:r>
      <w:r>
        <w:t xml:space="preserve"> </w:t>
      </w:r>
      <w:r w:rsidRPr="000B7EA3">
        <w:t xml:space="preserve">Potential exposures </w:t>
      </w:r>
      <w:r>
        <w:t>of</w:t>
      </w:r>
      <w:r w:rsidRPr="000B7EA3">
        <w:t xml:space="preserve"> flora and fauna are not taken into account, since those are not amenable to regulatory control under accident </w:t>
      </w:r>
      <w:r>
        <w:t>conditions.</w:t>
      </w:r>
    </w:p>
  </w:footnote>
  <w:footnote w:id="35">
    <w:p w:rsidR="00D03D09" w:rsidRPr="00F50F57" w:rsidRDefault="00D03D09" w:rsidP="005A5873">
      <w:pPr>
        <w:pStyle w:val="FootnoteText"/>
        <w:rPr>
          <w:lang w:val="en-US"/>
        </w:rPr>
      </w:pPr>
      <w:r w:rsidRPr="00584512">
        <w:rPr>
          <w:rStyle w:val="FootnoteReference"/>
        </w:rPr>
        <w:footnoteRef/>
      </w:r>
      <w:r w:rsidRPr="00584512">
        <w:t xml:space="preserve"> </w:t>
      </w:r>
      <w:r>
        <w:t>W</w:t>
      </w:r>
      <w:r w:rsidRPr="00584512">
        <w:t>ith regard to the need for reference models to represent typical farm animals</w:t>
      </w:r>
      <w:r>
        <w:t xml:space="preserve"> for the purpose of their protection,</w:t>
      </w:r>
      <w:r w:rsidRPr="00584512">
        <w:t xml:space="preserve"> primarily large mammals that live </w:t>
      </w:r>
      <w:r w:rsidRPr="00F50F57">
        <w:t>essentially in a human environment</w:t>
      </w:r>
      <w:r>
        <w:t>,</w:t>
      </w:r>
      <w:r w:rsidRPr="00F50F57">
        <w:t xml:space="preserve"> </w:t>
      </w:r>
      <w:r>
        <w:t>the ICRP</w:t>
      </w:r>
      <w:r w:rsidRPr="00F50F57">
        <w:t xml:space="preserve"> considered that the use of </w:t>
      </w:r>
      <w:r>
        <w:t xml:space="preserve">an assessment of the radiological impact on </w:t>
      </w:r>
      <w:r w:rsidRPr="00F50F57">
        <w:t>humans was sufficient for such managed environmental or ecological situations [I-1].</w:t>
      </w:r>
    </w:p>
  </w:footnote>
  <w:footnote w:id="36">
    <w:p w:rsidR="00D03D09" w:rsidRPr="00F50F57" w:rsidRDefault="00D03D09" w:rsidP="005174E3">
      <w:pPr>
        <w:pStyle w:val="FootnoteText"/>
      </w:pPr>
      <w:r w:rsidRPr="00F50F57">
        <w:rPr>
          <w:rStyle w:val="FootnoteReference"/>
        </w:rPr>
        <w:footnoteRef/>
      </w:r>
      <w:r w:rsidRPr="00F50F57">
        <w:t xml:space="preserve"> A reference animal or plant is a hypothetical entity, with the assumed basic biological characteristics of a particular type of animal or plant, as described to the generality of the taxonomic level of family, with defined anatomical, physiological and life history properties that can be used for the purposes of relating exposures to dose, and dose to effects, for that type of living organism [I-1, I-2].</w:t>
      </w:r>
    </w:p>
  </w:footnote>
  <w:footnote w:id="37">
    <w:p w:rsidR="00D03D09" w:rsidRPr="00F50F57" w:rsidRDefault="00D03D09" w:rsidP="005A5873">
      <w:pPr>
        <w:pStyle w:val="FootnoteText"/>
      </w:pPr>
      <w:r w:rsidRPr="00F50F57">
        <w:rPr>
          <w:rStyle w:val="FootnoteReference"/>
        </w:rPr>
        <w:footnoteRef/>
      </w:r>
      <w:r w:rsidRPr="00F50F57">
        <w:t xml:space="preserve"> </w:t>
      </w:r>
      <w:r>
        <w:t xml:space="preserve">The combination of </w:t>
      </w:r>
      <w:r w:rsidRPr="00086CA3">
        <w:t>radiation weighting factor</w:t>
      </w:r>
      <w:r>
        <w:t xml:space="preserve">s with </w:t>
      </w:r>
      <w:r w:rsidRPr="00086CA3">
        <w:t>tissue weighting</w:t>
      </w:r>
      <w:r>
        <w:t xml:space="preserve"> </w:t>
      </w:r>
      <w:r w:rsidRPr="00F50F57">
        <w:t xml:space="preserve">factors </w:t>
      </w:r>
      <w:r>
        <w:t>for</w:t>
      </w:r>
      <w:r w:rsidRPr="00F50F57">
        <w:t xml:space="preserve"> </w:t>
      </w:r>
      <w:r>
        <w:t xml:space="preserve">estimating </w:t>
      </w:r>
      <w:r w:rsidRPr="00F50F57">
        <w:t xml:space="preserve">effective doses </w:t>
      </w:r>
      <w:r>
        <w:t xml:space="preserve">to humans </w:t>
      </w:r>
      <w:r w:rsidRPr="00F50F57">
        <w:t xml:space="preserve">expressed in </w:t>
      </w:r>
      <w:proofErr w:type="spellStart"/>
      <w:r w:rsidRPr="00F50F57">
        <w:t>Sv</w:t>
      </w:r>
      <w:proofErr w:type="spellEnd"/>
      <w:r w:rsidRPr="00F50F57">
        <w:t xml:space="preserve"> </w:t>
      </w:r>
      <w:r>
        <w:t>is</w:t>
      </w:r>
      <w:r w:rsidRPr="00F50F57">
        <w:t xml:space="preserve"> not applied </w:t>
      </w:r>
      <w:r>
        <w:t>in</w:t>
      </w:r>
      <w:r w:rsidRPr="00F50F57">
        <w:t xml:space="preserve"> assess</w:t>
      </w:r>
      <w:r>
        <w:t>ing</w:t>
      </w:r>
      <w:r w:rsidRPr="00F50F57">
        <w:t xml:space="preserve"> </w:t>
      </w:r>
      <w:r w:rsidRPr="00FB1249">
        <w:t>the risk of effects</w:t>
      </w:r>
      <w:r>
        <w:t xml:space="preserve"> due to </w:t>
      </w:r>
      <w:r w:rsidRPr="00F50F57">
        <w:t xml:space="preserve">exposure </w:t>
      </w:r>
      <w:r>
        <w:t>of</w:t>
      </w:r>
      <w:r w:rsidRPr="00F50F57">
        <w:t xml:space="preserve"> biota; the key quantity </w:t>
      </w:r>
      <w:r>
        <w:t xml:space="preserve">used </w:t>
      </w:r>
      <w:r w:rsidRPr="00F50F57">
        <w:t xml:space="preserve">for the assessment </w:t>
      </w:r>
      <w:r>
        <w:t xml:space="preserve">of the effects of </w:t>
      </w:r>
      <w:r w:rsidRPr="00F50F57">
        <w:t xml:space="preserve">exposure of biota is the absorbed dose, which is defined as the amount of energy that is absorbed by a unit mass of tissue of an organ or organism, given in units of Joules per kilogram or </w:t>
      </w:r>
      <w:proofErr w:type="spellStart"/>
      <w:r>
        <w:t>g</w:t>
      </w:r>
      <w:r w:rsidRPr="00F50F57">
        <w:t>ray</w:t>
      </w:r>
      <w:proofErr w:type="spellEnd"/>
      <w:r w:rsidRPr="00F50F57">
        <w:t xml:space="preserve"> (</w:t>
      </w:r>
      <w:proofErr w:type="spellStart"/>
      <w:r w:rsidRPr="00F50F57">
        <w:t>Gy</w:t>
      </w:r>
      <w:proofErr w:type="spellEnd"/>
      <w:r w:rsidRPr="00F50F57">
        <w:t>)</w:t>
      </w:r>
      <w:r>
        <w:t xml:space="preserve"> and depends on the amount and type of radiation</w:t>
      </w:r>
      <w:r w:rsidRPr="00F50F57">
        <w:t xml:space="preserve"> [I-1]. </w:t>
      </w:r>
      <w:r>
        <w:t>Owing</w:t>
      </w:r>
      <w:r w:rsidRPr="00F50F57">
        <w:t xml:space="preserve"> to the consideration of different species of flora and fauna, with different life spans, it is convenient to express the criteria in terms of a dose rate, in </w:t>
      </w:r>
      <w:proofErr w:type="spellStart"/>
      <w:r w:rsidRPr="00F50F57">
        <w:t>Gy</w:t>
      </w:r>
      <w:proofErr w:type="spellEnd"/>
      <w:r>
        <w:t>/d</w:t>
      </w:r>
      <w:r w:rsidRPr="00F50F57">
        <w:t xml:space="preserve"> or its subunit</w:t>
      </w:r>
      <w:r>
        <w:t>s</w:t>
      </w:r>
      <w:r w:rsidRPr="00F50F57">
        <w:t xml:space="preserve">, for instance </w:t>
      </w:r>
      <w:proofErr w:type="spellStart"/>
      <w:r w:rsidRPr="00F50F57">
        <w:t>mGy</w:t>
      </w:r>
      <w:proofErr w:type="spellEnd"/>
      <w:r w:rsidRPr="00F50F57">
        <w:t>/d [I-1,</w:t>
      </w:r>
      <w:r>
        <w:t xml:space="preserve"> </w:t>
      </w:r>
      <w:r w:rsidRPr="00F50F57">
        <w:t>I-8].</w:t>
      </w:r>
    </w:p>
  </w:footnote>
  <w:footnote w:id="38">
    <w:p w:rsidR="00D03D09" w:rsidRDefault="00D03D09">
      <w:pPr>
        <w:pStyle w:val="FootnoteText"/>
      </w:pPr>
      <w:r>
        <w:rPr>
          <w:rStyle w:val="FootnoteReference"/>
        </w:rPr>
        <w:footnoteRef/>
      </w:r>
      <w:r>
        <w:t xml:space="preserve"> </w:t>
      </w:r>
      <w:r w:rsidRPr="008C715E">
        <w:t xml:space="preserve">The figure is not intended as a detailed step by step procedure and is presented to illustrate the elements of the assessment and facilitate </w:t>
      </w:r>
      <w:r>
        <w:t>its</w:t>
      </w:r>
      <w:r w:rsidRPr="008C715E">
        <w:t xml:space="preserve"> description</w:t>
      </w:r>
      <w:r>
        <w:t>.</w:t>
      </w:r>
    </w:p>
  </w:footnote>
  <w:footnote w:id="39">
    <w:p w:rsidR="00D03D09" w:rsidRDefault="00D03D09">
      <w:pPr>
        <w:pStyle w:val="FootnoteText"/>
      </w:pPr>
      <w:r>
        <w:rPr>
          <w:rStyle w:val="FootnoteReference"/>
        </w:rPr>
        <w:footnoteRef/>
      </w:r>
      <w:r>
        <w:t xml:space="preserve"> The transfer parameters used to estimate exposures of humans due to the ingestion of some biota, such as fish, are different from the transfer factors used to estimate exposures of biota, such as fish themselves. The former consider only the activity concentration in the edible part of the fish, while the latter consider the activity concentration in the full fish, including in the bones.</w:t>
      </w:r>
    </w:p>
  </w:footnote>
  <w:footnote w:id="40">
    <w:p w:rsidR="00D03D09" w:rsidRDefault="00D03D09">
      <w:pPr>
        <w:pStyle w:val="FootnoteText"/>
      </w:pPr>
      <w:r>
        <w:rPr>
          <w:rStyle w:val="FootnoteReference"/>
        </w:rPr>
        <w:footnoteRef/>
      </w:r>
      <w:r>
        <w:t xml:space="preserve"> </w:t>
      </w:r>
      <w:r w:rsidRPr="00CE39A6">
        <w:t>A revision of Safety Reports Series No. 19 [</w:t>
      </w:r>
      <w:r>
        <w:t>I-9</w:t>
      </w:r>
      <w:r w:rsidRPr="00CE39A6">
        <w:t xml:space="preserve">] is in preparation, and will cover screening assessments of public exposure; generic models and parameters for use in assessing the impact of radioactive discharges; and generic models and parameters for assessing exposures </w:t>
      </w:r>
      <w:r>
        <w:t>of</w:t>
      </w:r>
      <w:r w:rsidRPr="00CE39A6">
        <w:t xml:space="preserve"> flora and fauna due to radioactive discharges from facilities and activities.</w:t>
      </w:r>
    </w:p>
  </w:footnote>
  <w:footnote w:id="41">
    <w:p w:rsidR="00D03D09" w:rsidRDefault="00D03D09" w:rsidP="0033409C">
      <w:pPr>
        <w:pStyle w:val="FootnoteText"/>
      </w:pPr>
      <w:r>
        <w:rPr>
          <w:rStyle w:val="FootnoteReference"/>
        </w:rPr>
        <w:footnoteRef/>
      </w:r>
      <w:r>
        <w:t xml:space="preserve"> A different but equivalent set of reference organisms is recommended by the EC ERICA project [I-4].</w:t>
      </w:r>
    </w:p>
  </w:footnote>
  <w:footnote w:id="42">
    <w:p w:rsidR="00D03D09" w:rsidRPr="00584512" w:rsidRDefault="00D03D09" w:rsidP="00F440A5">
      <w:pPr>
        <w:pStyle w:val="FootnoteText"/>
      </w:pPr>
      <w:r w:rsidRPr="00584512">
        <w:rPr>
          <w:rStyle w:val="FootnoteReference"/>
        </w:rPr>
        <w:footnoteRef/>
      </w:r>
      <w:r w:rsidRPr="00584512">
        <w:t xml:space="preserve"> This area could be either a circle of about 5–10 km radius or a box of 10–20 km side, both centred at the release point.</w:t>
      </w:r>
    </w:p>
  </w:footnote>
  <w:footnote w:id="43">
    <w:p w:rsidR="00D03D09" w:rsidRPr="00F50F57" w:rsidRDefault="00D03D09">
      <w:pPr>
        <w:pStyle w:val="FootnoteText"/>
      </w:pPr>
      <w:r>
        <w:rPr>
          <w:rStyle w:val="FootnoteReference"/>
        </w:rPr>
        <w:footnoteRef/>
      </w:r>
      <w:r>
        <w:t xml:space="preserve"> The revision in preparation of Ref.</w:t>
      </w:r>
      <w:r w:rsidRPr="00F50F57">
        <w:t xml:space="preserve"> [I-9] </w:t>
      </w:r>
      <w:r>
        <w:t xml:space="preserve">will </w:t>
      </w:r>
      <w:r w:rsidRPr="00F50F57">
        <w:t xml:space="preserve">provide practical methods </w:t>
      </w:r>
      <w:r>
        <w:t>for</w:t>
      </w:r>
      <w:r w:rsidRPr="00F50F57">
        <w:t xml:space="preserve"> estimat</w:t>
      </w:r>
      <w:r>
        <w:t>ing</w:t>
      </w:r>
      <w:r w:rsidRPr="00F50F57">
        <w:t xml:space="preserve"> dose rates to representative animals and plants using generic environmental dispersion scenarios and the </w:t>
      </w:r>
      <w:proofErr w:type="spellStart"/>
      <w:r w:rsidRPr="00F50F57">
        <w:t>dosimetric</w:t>
      </w:r>
      <w:proofErr w:type="spellEnd"/>
      <w:r w:rsidRPr="00F50F57">
        <w:t xml:space="preserve"> factors </w:t>
      </w:r>
      <w:r>
        <w:t xml:space="preserve">set out </w:t>
      </w:r>
      <w:r w:rsidRPr="00F50F57">
        <w:t>in Ref. [I-1].</w:t>
      </w:r>
    </w:p>
  </w:footnote>
  <w:footnote w:id="44">
    <w:p w:rsidR="00D03D09" w:rsidRDefault="00D03D09" w:rsidP="00577EF0">
      <w:pPr>
        <w:pStyle w:val="FootnoteText"/>
      </w:pPr>
      <w:r w:rsidRPr="00F50F57">
        <w:rPr>
          <w:rStyle w:val="FootnoteReference"/>
        </w:rPr>
        <w:footnoteRef/>
      </w:r>
      <w:r w:rsidRPr="00F50F57">
        <w:t xml:space="preserve"> Some States have defined and used </w:t>
      </w:r>
      <w:r>
        <w:t>different approaches to assessing the radiological impact to flora and fauna, including</w:t>
      </w:r>
      <w:r w:rsidRPr="00F50F57">
        <w:t xml:space="preserve"> </w:t>
      </w:r>
      <w:r>
        <w:t xml:space="preserve">their own </w:t>
      </w:r>
      <w:r w:rsidRPr="00F50F57">
        <w:t>radiological criteria</w:t>
      </w:r>
      <w:r>
        <w:t xml:space="preserve">, </w:t>
      </w:r>
      <w:r w:rsidRPr="00F50F57">
        <w:t xml:space="preserve">which are </w:t>
      </w:r>
      <w:r>
        <w:t xml:space="preserve">generally </w:t>
      </w:r>
      <w:r w:rsidRPr="00F50F57">
        <w:t xml:space="preserve">compatible with the ICRP </w:t>
      </w:r>
      <w:r>
        <w:t xml:space="preserve">approach and </w:t>
      </w:r>
      <w:r w:rsidRPr="00F50F57">
        <w:t>derived consideration reference levels [I-3 – I-5].</w:t>
      </w:r>
    </w:p>
  </w:footnote>
  <w:footnote w:id="45">
    <w:p w:rsidR="00D03D09" w:rsidRPr="00584512" w:rsidRDefault="00D03D09">
      <w:pPr>
        <w:pStyle w:val="FootnoteText"/>
      </w:pPr>
      <w:r w:rsidRPr="00584512">
        <w:rPr>
          <w:rStyle w:val="FootnoteReference"/>
        </w:rPr>
        <w:footnoteRef/>
      </w:r>
      <w:r w:rsidRPr="00584512">
        <w:t xml:space="preserve"> The definitions of ‘risk’ </w:t>
      </w:r>
      <w:r>
        <w:t>presented</w:t>
      </w:r>
      <w:r w:rsidRPr="00584512">
        <w:t xml:space="preserve"> in this </w:t>
      </w:r>
      <w:r>
        <w:t>a</w:t>
      </w:r>
      <w:r w:rsidRPr="00584512">
        <w:t>nnex can only be interpreted as giving an indication of the risks, owing to the many uncertainties involved in a probabilistic safety analysis, in the estimation of the possible exposures and in the quantification of the associated radiological consequences.</w:t>
      </w:r>
    </w:p>
  </w:footnote>
  <w:footnote w:id="46">
    <w:p w:rsidR="00D03D09" w:rsidRPr="00584512" w:rsidRDefault="00D03D09">
      <w:pPr>
        <w:pStyle w:val="FootnoteText"/>
      </w:pPr>
      <w:r w:rsidRPr="00584512">
        <w:rPr>
          <w:rStyle w:val="FootnoteReference"/>
        </w:rPr>
        <w:footnoteRef/>
      </w:r>
      <w:r w:rsidRPr="00584512">
        <w:t xml:space="preserve"> To be more precise, the probability of the health effect can be estimated using the dose response function, </w:t>
      </w:r>
      <w:proofErr w:type="gramStart"/>
      <w:r w:rsidRPr="00584512">
        <w:t>f(</w:t>
      </w:r>
      <w:proofErr w:type="gramEnd"/>
      <w:r w:rsidRPr="00584512">
        <w:t>D), which changes with the level of dose. The risk of early health effects can also be calculated using hazard functions,</w:t>
      </w:r>
      <w:r>
        <w:t xml:space="preserve"> by</w:t>
      </w:r>
      <w:r w:rsidRPr="00584512">
        <w:t xml:space="preserve"> taking into account the variation of risk with the rate at which dose is accumulated over a certain period (e.g. the first day or few days following the accident). The risk of late health effects can </w:t>
      </w:r>
      <w:r>
        <w:t>take into account</w:t>
      </w:r>
      <w:r w:rsidRPr="00584512">
        <w:t xml:space="preserve"> not only fatal but </w:t>
      </w:r>
      <w:r>
        <w:t xml:space="preserve">also </w:t>
      </w:r>
      <w:r w:rsidRPr="00584512">
        <w:t>non-fatal cancers in different organs, leukaemia and heritable</w:t>
      </w:r>
      <w:r>
        <w:t xml:space="preserve"> </w:t>
      </w:r>
      <w:r w:rsidRPr="00584512">
        <w:t xml:space="preserve">effects. The details of these considerations are out of the scope of this </w:t>
      </w:r>
      <w:r>
        <w:t>a</w:t>
      </w:r>
      <w:r w:rsidRPr="00584512">
        <w:t>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09" w:rsidRDefault="00D03D09">
    <w:pP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09" w:rsidRDefault="00D03D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09" w:rsidRDefault="00D03D09">
    <w:pPr>
      <w:ind w:right="175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09" w:rsidRDefault="00D03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959"/>
    <w:multiLevelType w:val="multilevel"/>
    <w:tmpl w:val="F9FE413C"/>
    <w:lvl w:ilvl="0">
      <w:start w:val="1"/>
      <w:numFmt w:val="upperRoman"/>
      <w:pStyle w:val="AppendixHeading1"/>
      <w:lvlText w:val="APPENDIX %1."/>
      <w:lvlJc w:val="left"/>
      <w:pPr>
        <w:tabs>
          <w:tab w:val="num" w:pos="216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3"/>
      <w:lvlText w:val="%1.%2."/>
      <w:lvlJc w:val="left"/>
      <w:pPr>
        <w:tabs>
          <w:tab w:val="num" w:pos="36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0" w:firstLine="0"/>
      </w:pPr>
      <w:rPr>
        <w:rFonts w:hint="default"/>
      </w:rPr>
    </w:lvl>
    <w:lvl w:ilvl="3">
      <w:start w:val="1"/>
      <w:numFmt w:val="decimal"/>
      <w:pStyle w:val="AppendixHeading4"/>
      <w:lvlText w:val="%1.%2.%3.%4."/>
      <w:lvlJc w:val="left"/>
      <w:pPr>
        <w:tabs>
          <w:tab w:val="num" w:pos="720"/>
        </w:tabs>
        <w:ind w:left="0" w:firstLine="0"/>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nsid w:val="0D942195"/>
    <w:multiLevelType w:val="hybridMultilevel"/>
    <w:tmpl w:val="FB323C46"/>
    <w:lvl w:ilvl="0" w:tplc="7A162E4A">
      <w:start w:val="5"/>
      <w:numFmt w:val="lowerLetter"/>
      <w:lvlText w:val="(%1)"/>
      <w:lvlJc w:val="left"/>
      <w:pPr>
        <w:ind w:left="3555" w:hanging="360"/>
      </w:pPr>
      <w:rPr>
        <w:rFonts w:hint="default"/>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2">
    <w:nsid w:val="10A13488"/>
    <w:multiLevelType w:val="multilevel"/>
    <w:tmpl w:val="1CCAE27E"/>
    <w:lvl w:ilvl="0">
      <w:start w:val="1"/>
      <w:numFmt w:val="lowerLetter"/>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567"/>
      </w:pPr>
      <w:rPr>
        <w:b w:val="0"/>
        <w:i w:val="0"/>
      </w:rPr>
    </w:lvl>
    <w:lvl w:ilvl="2">
      <w:start w:val="1"/>
      <w:numFmt w:val="lowerLetter"/>
      <w:lvlText w:val="%3)"/>
      <w:lvlJc w:val="left"/>
      <w:pPr>
        <w:tabs>
          <w:tab w:val="num" w:pos="1701"/>
        </w:tabs>
        <w:ind w:left="1701" w:hanging="567"/>
      </w:pPr>
      <w:rPr>
        <w:b w:val="0"/>
        <w:i w:val="0"/>
      </w:rPr>
    </w:lvl>
    <w:lvl w:ilvl="3">
      <w:start w:val="1"/>
      <w:numFmt w:val="koreanDigital2"/>
      <w:lvlText w:val="(%4)"/>
      <w:lvlJc w:val="left"/>
      <w:pPr>
        <w:tabs>
          <w:tab w:val="num" w:pos="2268"/>
        </w:tabs>
        <w:ind w:left="2268" w:hanging="567"/>
      </w:pPr>
      <w:rPr>
        <w:b w:val="0"/>
        <w:i w:val="0"/>
      </w:rPr>
    </w:lvl>
    <w:lvl w:ilvl="4">
      <w:start w:val="1"/>
      <w:numFmt w:val="none"/>
      <w:lvlText w:val="(%5)"/>
      <w:lvlJc w:val="left"/>
      <w:pPr>
        <w:tabs>
          <w:tab w:val="num" w:pos="2835"/>
        </w:tabs>
        <w:ind w:left="2835" w:hanging="567"/>
      </w:pPr>
      <w:rPr>
        <w:b w:val="0"/>
        <w:i w:val="0"/>
      </w:rPr>
    </w:lvl>
    <w:lvl w:ilvl="5">
      <w:start w:val="1"/>
      <w:numFmt w:val="none"/>
      <w:lvlText w:val="(%6)"/>
      <w:lvlJc w:val="left"/>
      <w:pPr>
        <w:tabs>
          <w:tab w:val="num" w:pos="3402"/>
        </w:tabs>
        <w:ind w:left="3402" w:hanging="567"/>
      </w:pPr>
      <w:rPr>
        <w:b w:val="0"/>
        <w:i w:val="0"/>
      </w:rPr>
    </w:lvl>
    <w:lvl w:ilvl="6">
      <w:start w:val="1"/>
      <w:numFmt w:val="none"/>
      <w:lvlText w:val="(%7)"/>
      <w:lvlJc w:val="left"/>
      <w:pPr>
        <w:tabs>
          <w:tab w:val="num" w:pos="3969"/>
        </w:tabs>
        <w:ind w:left="3969" w:hanging="567"/>
      </w:pPr>
      <w:rPr>
        <w:b w:val="0"/>
        <w:i w:val="0"/>
      </w:rPr>
    </w:lvl>
    <w:lvl w:ilvl="7">
      <w:start w:val="1"/>
      <w:numFmt w:val="none"/>
      <w:lvlText w:val="(%8)"/>
      <w:lvlJc w:val="left"/>
      <w:pPr>
        <w:tabs>
          <w:tab w:val="num" w:pos="4535"/>
        </w:tabs>
        <w:ind w:left="4535" w:hanging="566"/>
      </w:pPr>
      <w:rPr>
        <w:b w:val="0"/>
        <w:i w:val="0"/>
      </w:rPr>
    </w:lvl>
    <w:lvl w:ilvl="8">
      <w:start w:val="1"/>
      <w:numFmt w:val="none"/>
      <w:lvlText w:val="(%9)"/>
      <w:lvlJc w:val="left"/>
      <w:pPr>
        <w:tabs>
          <w:tab w:val="num" w:pos="5102"/>
        </w:tabs>
        <w:ind w:left="5102" w:hanging="567"/>
      </w:pPr>
      <w:rPr>
        <w:b w:val="0"/>
        <w:i w:val="0"/>
      </w:rPr>
    </w:lvl>
  </w:abstractNum>
  <w:abstractNum w:abstractNumId="3">
    <w:nsid w:val="10A836F1"/>
    <w:multiLevelType w:val="hybridMultilevel"/>
    <w:tmpl w:val="32040F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2441E"/>
    <w:multiLevelType w:val="multilevel"/>
    <w:tmpl w:val="C1184A2C"/>
    <w:lvl w:ilvl="0">
      <w:start w:val="1"/>
      <w:numFmt w:val="bullet"/>
      <w:lvlText w:val=""/>
      <w:lvlJc w:val="left"/>
      <w:pPr>
        <w:tabs>
          <w:tab w:val="num" w:pos="720"/>
        </w:tabs>
        <w:ind w:left="720" w:hanging="360"/>
      </w:pPr>
      <w:rPr>
        <w:rFonts w:ascii="Symbol" w:hAnsi="Symbol" w:hint="default"/>
        <w:sz w:val="20"/>
      </w:rPr>
    </w:lvl>
    <w:lvl w:ilvl="1">
      <w:start w:val="19"/>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6249F"/>
    <w:multiLevelType w:val="hybridMultilevel"/>
    <w:tmpl w:val="2F74C5E6"/>
    <w:lvl w:ilvl="0" w:tplc="650613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062DD4"/>
    <w:multiLevelType w:val="multilevel"/>
    <w:tmpl w:val="9A485B22"/>
    <w:lvl w:ilvl="0">
      <w:start w:val="1"/>
      <w:numFmt w:val="bullet"/>
      <w:lvlText w:val=""/>
      <w:lvlJc w:val="left"/>
      <w:pPr>
        <w:tabs>
          <w:tab w:val="num" w:pos="720"/>
        </w:tabs>
        <w:ind w:left="720" w:hanging="360"/>
      </w:pPr>
      <w:rPr>
        <w:rFonts w:ascii="Symbol" w:hAnsi="Symbol" w:hint="default"/>
        <w:sz w:val="20"/>
      </w:rPr>
    </w:lvl>
    <w:lvl w:ilvl="1">
      <w:start w:val="19"/>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D14F4"/>
    <w:multiLevelType w:val="hybridMultilevel"/>
    <w:tmpl w:val="F4308A98"/>
    <w:lvl w:ilvl="0" w:tplc="650613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9F4D67"/>
    <w:multiLevelType w:val="hybridMultilevel"/>
    <w:tmpl w:val="3DC4F398"/>
    <w:lvl w:ilvl="0" w:tplc="AE1A924E">
      <w:start w:val="1"/>
      <w:numFmt w:val="bullet"/>
      <w:lvlText w:val="•"/>
      <w:lvlJc w:val="left"/>
      <w:pPr>
        <w:tabs>
          <w:tab w:val="num" w:pos="720"/>
        </w:tabs>
        <w:ind w:left="720" w:hanging="360"/>
      </w:pPr>
      <w:rPr>
        <w:rFonts w:ascii="Times New Roman" w:hAnsi="Times New Roman" w:hint="default"/>
      </w:rPr>
    </w:lvl>
    <w:lvl w:ilvl="1" w:tplc="37C4B55C" w:tentative="1">
      <w:start w:val="1"/>
      <w:numFmt w:val="bullet"/>
      <w:lvlText w:val="•"/>
      <w:lvlJc w:val="left"/>
      <w:pPr>
        <w:tabs>
          <w:tab w:val="num" w:pos="1440"/>
        </w:tabs>
        <w:ind w:left="1440" w:hanging="360"/>
      </w:pPr>
      <w:rPr>
        <w:rFonts w:ascii="Times New Roman" w:hAnsi="Times New Roman" w:hint="default"/>
      </w:rPr>
    </w:lvl>
    <w:lvl w:ilvl="2" w:tplc="258E3720" w:tentative="1">
      <w:start w:val="1"/>
      <w:numFmt w:val="bullet"/>
      <w:lvlText w:val="•"/>
      <w:lvlJc w:val="left"/>
      <w:pPr>
        <w:tabs>
          <w:tab w:val="num" w:pos="2160"/>
        </w:tabs>
        <w:ind w:left="2160" w:hanging="360"/>
      </w:pPr>
      <w:rPr>
        <w:rFonts w:ascii="Times New Roman" w:hAnsi="Times New Roman" w:hint="default"/>
      </w:rPr>
    </w:lvl>
    <w:lvl w:ilvl="3" w:tplc="4C445AA4" w:tentative="1">
      <w:start w:val="1"/>
      <w:numFmt w:val="bullet"/>
      <w:lvlText w:val="•"/>
      <w:lvlJc w:val="left"/>
      <w:pPr>
        <w:tabs>
          <w:tab w:val="num" w:pos="2880"/>
        </w:tabs>
        <w:ind w:left="2880" w:hanging="360"/>
      </w:pPr>
      <w:rPr>
        <w:rFonts w:ascii="Times New Roman" w:hAnsi="Times New Roman" w:hint="default"/>
      </w:rPr>
    </w:lvl>
    <w:lvl w:ilvl="4" w:tplc="ADD0B6EA" w:tentative="1">
      <w:start w:val="1"/>
      <w:numFmt w:val="bullet"/>
      <w:lvlText w:val="•"/>
      <w:lvlJc w:val="left"/>
      <w:pPr>
        <w:tabs>
          <w:tab w:val="num" w:pos="3600"/>
        </w:tabs>
        <w:ind w:left="3600" w:hanging="360"/>
      </w:pPr>
      <w:rPr>
        <w:rFonts w:ascii="Times New Roman" w:hAnsi="Times New Roman" w:hint="default"/>
      </w:rPr>
    </w:lvl>
    <w:lvl w:ilvl="5" w:tplc="C3869592" w:tentative="1">
      <w:start w:val="1"/>
      <w:numFmt w:val="bullet"/>
      <w:lvlText w:val="•"/>
      <w:lvlJc w:val="left"/>
      <w:pPr>
        <w:tabs>
          <w:tab w:val="num" w:pos="4320"/>
        </w:tabs>
        <w:ind w:left="4320" w:hanging="360"/>
      </w:pPr>
      <w:rPr>
        <w:rFonts w:ascii="Times New Roman" w:hAnsi="Times New Roman" w:hint="default"/>
      </w:rPr>
    </w:lvl>
    <w:lvl w:ilvl="6" w:tplc="967823DC" w:tentative="1">
      <w:start w:val="1"/>
      <w:numFmt w:val="bullet"/>
      <w:lvlText w:val="•"/>
      <w:lvlJc w:val="left"/>
      <w:pPr>
        <w:tabs>
          <w:tab w:val="num" w:pos="5040"/>
        </w:tabs>
        <w:ind w:left="5040" w:hanging="360"/>
      </w:pPr>
      <w:rPr>
        <w:rFonts w:ascii="Times New Roman" w:hAnsi="Times New Roman" w:hint="default"/>
      </w:rPr>
    </w:lvl>
    <w:lvl w:ilvl="7" w:tplc="2E749242" w:tentative="1">
      <w:start w:val="1"/>
      <w:numFmt w:val="bullet"/>
      <w:lvlText w:val="•"/>
      <w:lvlJc w:val="left"/>
      <w:pPr>
        <w:tabs>
          <w:tab w:val="num" w:pos="5760"/>
        </w:tabs>
        <w:ind w:left="5760" w:hanging="360"/>
      </w:pPr>
      <w:rPr>
        <w:rFonts w:ascii="Times New Roman" w:hAnsi="Times New Roman" w:hint="default"/>
      </w:rPr>
    </w:lvl>
    <w:lvl w:ilvl="8" w:tplc="6394B48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3F329B9"/>
    <w:multiLevelType w:val="multilevel"/>
    <w:tmpl w:val="E270693E"/>
    <w:lvl w:ilvl="0">
      <w:start w:val="1"/>
      <w:numFmt w:val="lowerLetter"/>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567"/>
      </w:pPr>
      <w:rPr>
        <w:rFonts w:hint="default"/>
        <w:b w:val="0"/>
        <w:i w:val="0"/>
      </w:rPr>
    </w:lvl>
    <w:lvl w:ilvl="2">
      <w:start w:val="1"/>
      <w:numFmt w:val="lowerRoman"/>
      <w:lvlText w:val="(%3)"/>
      <w:lvlJc w:val="left"/>
      <w:pPr>
        <w:tabs>
          <w:tab w:val="num" w:pos="1701"/>
        </w:tabs>
        <w:ind w:left="1701" w:hanging="567"/>
      </w:pPr>
      <w:rPr>
        <w:rFonts w:hint="default"/>
        <w:b w:val="0"/>
        <w:i w:val="0"/>
      </w:rPr>
    </w:lvl>
    <w:lvl w:ilvl="3">
      <w:start w:val="1"/>
      <w:numFmt w:val="koreanDigital2"/>
      <w:lvlText w:val="(%4)"/>
      <w:lvlJc w:val="left"/>
      <w:pPr>
        <w:tabs>
          <w:tab w:val="num" w:pos="2268"/>
        </w:tabs>
        <w:ind w:left="2268" w:hanging="567"/>
      </w:pPr>
      <w:rPr>
        <w:rFonts w:hint="default"/>
        <w:b w:val="0"/>
        <w:i w:val="0"/>
      </w:rPr>
    </w:lvl>
    <w:lvl w:ilvl="4">
      <w:start w:val="1"/>
      <w:numFmt w:val="none"/>
      <w:lvlText w:val="(%5)"/>
      <w:lvlJc w:val="left"/>
      <w:pPr>
        <w:tabs>
          <w:tab w:val="num" w:pos="2835"/>
        </w:tabs>
        <w:ind w:left="2835" w:hanging="567"/>
      </w:pPr>
      <w:rPr>
        <w:rFonts w:hint="default"/>
        <w:b w:val="0"/>
        <w:i w:val="0"/>
      </w:rPr>
    </w:lvl>
    <w:lvl w:ilvl="5">
      <w:start w:val="1"/>
      <w:numFmt w:val="none"/>
      <w:lvlText w:val="(%6)"/>
      <w:lvlJc w:val="left"/>
      <w:pPr>
        <w:tabs>
          <w:tab w:val="num" w:pos="3402"/>
        </w:tabs>
        <w:ind w:left="3402" w:hanging="567"/>
      </w:pPr>
      <w:rPr>
        <w:rFonts w:hint="default"/>
        <w:b w:val="0"/>
        <w:i w:val="0"/>
      </w:rPr>
    </w:lvl>
    <w:lvl w:ilvl="6">
      <w:start w:val="1"/>
      <w:numFmt w:val="none"/>
      <w:lvlText w:val="(%7)"/>
      <w:lvlJc w:val="left"/>
      <w:pPr>
        <w:tabs>
          <w:tab w:val="num" w:pos="3969"/>
        </w:tabs>
        <w:ind w:left="3969" w:hanging="567"/>
      </w:pPr>
      <w:rPr>
        <w:rFonts w:hint="default"/>
        <w:b w:val="0"/>
        <w:i w:val="0"/>
      </w:rPr>
    </w:lvl>
    <w:lvl w:ilvl="7">
      <w:start w:val="1"/>
      <w:numFmt w:val="none"/>
      <w:lvlText w:val="(%8)"/>
      <w:lvlJc w:val="left"/>
      <w:pPr>
        <w:tabs>
          <w:tab w:val="num" w:pos="4535"/>
        </w:tabs>
        <w:ind w:left="4535" w:hanging="566"/>
      </w:pPr>
      <w:rPr>
        <w:rFonts w:hint="default"/>
        <w:b w:val="0"/>
        <w:i w:val="0"/>
      </w:rPr>
    </w:lvl>
    <w:lvl w:ilvl="8">
      <w:start w:val="1"/>
      <w:numFmt w:val="none"/>
      <w:lvlText w:val="(%9)"/>
      <w:lvlJc w:val="left"/>
      <w:pPr>
        <w:tabs>
          <w:tab w:val="num" w:pos="5102"/>
        </w:tabs>
        <w:ind w:left="5102" w:hanging="567"/>
      </w:pPr>
      <w:rPr>
        <w:rFonts w:hint="default"/>
        <w:b w:val="0"/>
        <w:i w:val="0"/>
      </w:rPr>
    </w:lvl>
  </w:abstractNum>
  <w:abstractNum w:abstractNumId="10">
    <w:nsid w:val="35F10BF2"/>
    <w:multiLevelType w:val="multilevel"/>
    <w:tmpl w:val="F2347A48"/>
    <w:lvl w:ilvl="0">
      <w:start w:val="1"/>
      <w:numFmt w:val="lowerLetter"/>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567"/>
      </w:pPr>
      <w:rPr>
        <w:b w:val="0"/>
        <w:i w:val="0"/>
      </w:rPr>
    </w:lvl>
    <w:lvl w:ilvl="2">
      <w:start w:val="1"/>
      <w:numFmt w:val="lowerRoman"/>
      <w:lvlText w:val="(%3)"/>
      <w:lvlJc w:val="left"/>
      <w:pPr>
        <w:tabs>
          <w:tab w:val="num" w:pos="1701"/>
        </w:tabs>
        <w:ind w:left="1701" w:hanging="567"/>
      </w:pPr>
      <w:rPr>
        <w:b w:val="0"/>
        <w:i w:val="0"/>
      </w:rPr>
    </w:lvl>
    <w:lvl w:ilvl="3">
      <w:start w:val="1"/>
      <w:numFmt w:val="koreanDigital2"/>
      <w:lvlText w:val="(%4)"/>
      <w:lvlJc w:val="left"/>
      <w:pPr>
        <w:tabs>
          <w:tab w:val="num" w:pos="2268"/>
        </w:tabs>
        <w:ind w:left="2268" w:hanging="567"/>
      </w:pPr>
      <w:rPr>
        <w:b w:val="0"/>
        <w:i w:val="0"/>
      </w:rPr>
    </w:lvl>
    <w:lvl w:ilvl="4">
      <w:start w:val="1"/>
      <w:numFmt w:val="none"/>
      <w:lvlText w:val="(%5)"/>
      <w:lvlJc w:val="left"/>
      <w:pPr>
        <w:tabs>
          <w:tab w:val="num" w:pos="2835"/>
        </w:tabs>
        <w:ind w:left="2835" w:hanging="567"/>
      </w:pPr>
      <w:rPr>
        <w:b w:val="0"/>
        <w:i w:val="0"/>
      </w:rPr>
    </w:lvl>
    <w:lvl w:ilvl="5">
      <w:start w:val="1"/>
      <w:numFmt w:val="none"/>
      <w:lvlText w:val="(%6)"/>
      <w:lvlJc w:val="left"/>
      <w:pPr>
        <w:tabs>
          <w:tab w:val="num" w:pos="3402"/>
        </w:tabs>
        <w:ind w:left="3402" w:hanging="567"/>
      </w:pPr>
      <w:rPr>
        <w:b w:val="0"/>
        <w:i w:val="0"/>
      </w:rPr>
    </w:lvl>
    <w:lvl w:ilvl="6">
      <w:start w:val="1"/>
      <w:numFmt w:val="none"/>
      <w:lvlText w:val="(%7)"/>
      <w:lvlJc w:val="left"/>
      <w:pPr>
        <w:tabs>
          <w:tab w:val="num" w:pos="3969"/>
        </w:tabs>
        <w:ind w:left="3969" w:hanging="567"/>
      </w:pPr>
      <w:rPr>
        <w:b w:val="0"/>
        <w:i w:val="0"/>
      </w:rPr>
    </w:lvl>
    <w:lvl w:ilvl="7">
      <w:start w:val="1"/>
      <w:numFmt w:val="none"/>
      <w:lvlText w:val="(%8)"/>
      <w:lvlJc w:val="left"/>
      <w:pPr>
        <w:tabs>
          <w:tab w:val="num" w:pos="4535"/>
        </w:tabs>
        <w:ind w:left="4535" w:hanging="566"/>
      </w:pPr>
      <w:rPr>
        <w:b w:val="0"/>
        <w:i w:val="0"/>
      </w:rPr>
    </w:lvl>
    <w:lvl w:ilvl="8">
      <w:start w:val="1"/>
      <w:numFmt w:val="none"/>
      <w:lvlText w:val="(%9)"/>
      <w:lvlJc w:val="left"/>
      <w:pPr>
        <w:tabs>
          <w:tab w:val="num" w:pos="5102"/>
        </w:tabs>
        <w:ind w:left="5102" w:hanging="567"/>
      </w:pPr>
      <w:rPr>
        <w:b w:val="0"/>
        <w:i w:val="0"/>
      </w:rPr>
    </w:lvl>
  </w:abstractNum>
  <w:abstractNum w:abstractNumId="11">
    <w:nsid w:val="38665F13"/>
    <w:multiLevelType w:val="multilevel"/>
    <w:tmpl w:val="246A63A4"/>
    <w:lvl w:ilvl="0">
      <w:start w:val="2"/>
      <w:numFmt w:val="decimal"/>
      <w:lvlText w:val="%1."/>
      <w:lvlJc w:val="left"/>
      <w:pPr>
        <w:tabs>
          <w:tab w:val="num" w:pos="360"/>
        </w:tabs>
        <w:ind w:left="360" w:hanging="360"/>
      </w:pPr>
      <w:rPr>
        <w:rFonts w:ascii="Times New Roman" w:hAnsi="Times New Roman" w:cs="Times New Roman" w:hint="default"/>
        <w:b/>
        <w:i w:val="0"/>
        <w:caps w:val="0"/>
        <w:strike w:val="0"/>
        <w:dstrike w:val="0"/>
        <w:vanish w:val="0"/>
        <w:color w:val="000000"/>
        <w:sz w:val="28"/>
        <w:vertAlign w:val="baseline"/>
      </w:rPr>
    </w:lvl>
    <w:lvl w:ilvl="1">
      <w:start w:val="1"/>
      <w:numFmt w:val="none"/>
      <w:pStyle w:val="StyleHeading2NotItalic"/>
      <w:lvlText w:val=""/>
      <w:lvlJc w:val="left"/>
      <w:pPr>
        <w:tabs>
          <w:tab w:val="num" w:pos="567"/>
        </w:tabs>
        <w:ind w:left="0" w:firstLine="0"/>
      </w:pPr>
      <w:rPr>
        <w:rFonts w:ascii="Times New Roman" w:hAnsi="Times New Roman" w:cs="Times New Roman" w:hint="default"/>
        <w:b w:val="0"/>
        <w:i w:val="0"/>
        <w:caps w:val="0"/>
        <w:strike w:val="0"/>
        <w:dstrike w:val="0"/>
        <w:vanish w:val="0"/>
        <w:color w:val="000000"/>
        <w:sz w:val="24"/>
        <w:vertAlign w:val="baseline"/>
      </w:rPr>
    </w:lvl>
    <w:lvl w:ilvl="2">
      <w:start w:val="1"/>
      <w:numFmt w:val="decimal"/>
      <w:lvlText w:val="%3."/>
      <w:lvlJc w:val="left"/>
      <w:pPr>
        <w:tabs>
          <w:tab w:val="num" w:pos="360"/>
        </w:tabs>
        <w:ind w:left="0" w:firstLine="0"/>
      </w:pPr>
      <w:rPr>
        <w:rFonts w:ascii="Calibri" w:hAnsi="Calibri" w:hint="default"/>
        <w:b w:val="0"/>
        <w:i w:val="0"/>
        <w:caps w:val="0"/>
        <w:strike w:val="0"/>
        <w:dstrike w:val="0"/>
        <w:vanish w:val="0"/>
        <w:color w:val="000000"/>
        <w:sz w:val="24"/>
        <w:vertAlign w:val="baseline"/>
      </w:rPr>
    </w:lvl>
    <w:lvl w:ilvl="3">
      <w:start w:val="1"/>
      <w:numFmt w:val="bullet"/>
      <w:lvlText w:val="-"/>
      <w:lvlJc w:val="left"/>
      <w:pPr>
        <w:tabs>
          <w:tab w:val="num" w:pos="1800"/>
        </w:tabs>
        <w:ind w:left="1728" w:hanging="648"/>
      </w:pPr>
      <w:rPr>
        <w:rFonts w:ascii="Times New Roman" w:hAnsi="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3AE3652C"/>
    <w:multiLevelType w:val="multilevel"/>
    <w:tmpl w:val="074C54EC"/>
    <w:lvl w:ilvl="0">
      <w:start w:val="1"/>
      <w:numFmt w:val="lowerLetter"/>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567"/>
      </w:pPr>
      <w:rPr>
        <w:b w:val="0"/>
        <w:i w:val="0"/>
      </w:rPr>
    </w:lvl>
    <w:lvl w:ilvl="2">
      <w:start w:val="1"/>
      <w:numFmt w:val="lowerRoman"/>
      <w:lvlText w:val="(%3)"/>
      <w:lvlJc w:val="left"/>
      <w:pPr>
        <w:tabs>
          <w:tab w:val="num" w:pos="1701"/>
        </w:tabs>
        <w:ind w:left="1701" w:hanging="567"/>
      </w:pPr>
      <w:rPr>
        <w:b w:val="0"/>
        <w:i w:val="0"/>
      </w:rPr>
    </w:lvl>
    <w:lvl w:ilvl="3">
      <w:start w:val="1"/>
      <w:numFmt w:val="koreanDigital2"/>
      <w:lvlText w:val="(%4)"/>
      <w:lvlJc w:val="left"/>
      <w:pPr>
        <w:tabs>
          <w:tab w:val="num" w:pos="2268"/>
        </w:tabs>
        <w:ind w:left="2268" w:hanging="567"/>
      </w:pPr>
      <w:rPr>
        <w:b w:val="0"/>
        <w:i w:val="0"/>
      </w:rPr>
    </w:lvl>
    <w:lvl w:ilvl="4">
      <w:start w:val="1"/>
      <w:numFmt w:val="none"/>
      <w:lvlText w:val="(%5)"/>
      <w:lvlJc w:val="left"/>
      <w:pPr>
        <w:tabs>
          <w:tab w:val="num" w:pos="2835"/>
        </w:tabs>
        <w:ind w:left="2835" w:hanging="567"/>
      </w:pPr>
      <w:rPr>
        <w:b w:val="0"/>
        <w:i w:val="0"/>
      </w:rPr>
    </w:lvl>
    <w:lvl w:ilvl="5">
      <w:start w:val="1"/>
      <w:numFmt w:val="none"/>
      <w:lvlText w:val="(%6)"/>
      <w:lvlJc w:val="left"/>
      <w:pPr>
        <w:tabs>
          <w:tab w:val="num" w:pos="3402"/>
        </w:tabs>
        <w:ind w:left="3402" w:hanging="567"/>
      </w:pPr>
      <w:rPr>
        <w:b w:val="0"/>
        <w:i w:val="0"/>
      </w:rPr>
    </w:lvl>
    <w:lvl w:ilvl="6">
      <w:start w:val="1"/>
      <w:numFmt w:val="none"/>
      <w:lvlText w:val="(%7)"/>
      <w:lvlJc w:val="left"/>
      <w:pPr>
        <w:tabs>
          <w:tab w:val="num" w:pos="3969"/>
        </w:tabs>
        <w:ind w:left="3969" w:hanging="567"/>
      </w:pPr>
      <w:rPr>
        <w:b w:val="0"/>
        <w:i w:val="0"/>
      </w:rPr>
    </w:lvl>
    <w:lvl w:ilvl="7">
      <w:start w:val="1"/>
      <w:numFmt w:val="none"/>
      <w:lvlText w:val="(%8)"/>
      <w:lvlJc w:val="left"/>
      <w:pPr>
        <w:tabs>
          <w:tab w:val="num" w:pos="4535"/>
        </w:tabs>
        <w:ind w:left="4535" w:hanging="566"/>
      </w:pPr>
      <w:rPr>
        <w:b w:val="0"/>
        <w:i w:val="0"/>
      </w:rPr>
    </w:lvl>
    <w:lvl w:ilvl="8">
      <w:start w:val="1"/>
      <w:numFmt w:val="none"/>
      <w:lvlText w:val="(%9)"/>
      <w:lvlJc w:val="left"/>
      <w:pPr>
        <w:tabs>
          <w:tab w:val="num" w:pos="5102"/>
        </w:tabs>
        <w:ind w:left="5102" w:hanging="567"/>
      </w:pPr>
      <w:rPr>
        <w:b w:val="0"/>
        <w:i w:val="0"/>
      </w:rPr>
    </w:lvl>
  </w:abstractNum>
  <w:abstractNum w:abstractNumId="13">
    <w:nsid w:val="3DA7711D"/>
    <w:multiLevelType w:val="multilevel"/>
    <w:tmpl w:val="45DC6FB6"/>
    <w:lvl w:ilvl="0">
      <w:start w:val="1"/>
      <w:numFmt w:val="lowerLetter"/>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567"/>
      </w:pPr>
      <w:rPr>
        <w:b w:val="0"/>
        <w:i w:val="0"/>
      </w:rPr>
    </w:lvl>
    <w:lvl w:ilvl="2">
      <w:start w:val="1"/>
      <w:numFmt w:val="lowerRoman"/>
      <w:lvlText w:val="(%3)"/>
      <w:lvlJc w:val="left"/>
      <w:pPr>
        <w:tabs>
          <w:tab w:val="num" w:pos="1701"/>
        </w:tabs>
        <w:ind w:left="1701" w:hanging="567"/>
      </w:pPr>
      <w:rPr>
        <w:b w:val="0"/>
        <w:i w:val="0"/>
      </w:rPr>
    </w:lvl>
    <w:lvl w:ilvl="3">
      <w:start w:val="1"/>
      <w:numFmt w:val="koreanDigital2"/>
      <w:lvlText w:val="(%4)"/>
      <w:lvlJc w:val="left"/>
      <w:pPr>
        <w:tabs>
          <w:tab w:val="num" w:pos="2268"/>
        </w:tabs>
        <w:ind w:left="2268" w:hanging="567"/>
      </w:pPr>
      <w:rPr>
        <w:b w:val="0"/>
        <w:i w:val="0"/>
      </w:rPr>
    </w:lvl>
    <w:lvl w:ilvl="4">
      <w:start w:val="1"/>
      <w:numFmt w:val="none"/>
      <w:lvlText w:val="(%5)"/>
      <w:lvlJc w:val="left"/>
      <w:pPr>
        <w:tabs>
          <w:tab w:val="num" w:pos="2835"/>
        </w:tabs>
        <w:ind w:left="2835" w:hanging="567"/>
      </w:pPr>
      <w:rPr>
        <w:b w:val="0"/>
        <w:i w:val="0"/>
      </w:rPr>
    </w:lvl>
    <w:lvl w:ilvl="5">
      <w:start w:val="1"/>
      <w:numFmt w:val="none"/>
      <w:lvlText w:val="(%6)"/>
      <w:lvlJc w:val="left"/>
      <w:pPr>
        <w:tabs>
          <w:tab w:val="num" w:pos="3402"/>
        </w:tabs>
        <w:ind w:left="3402" w:hanging="567"/>
      </w:pPr>
      <w:rPr>
        <w:b w:val="0"/>
        <w:i w:val="0"/>
      </w:rPr>
    </w:lvl>
    <w:lvl w:ilvl="6">
      <w:start w:val="1"/>
      <w:numFmt w:val="none"/>
      <w:lvlText w:val="(%7)"/>
      <w:lvlJc w:val="left"/>
      <w:pPr>
        <w:tabs>
          <w:tab w:val="num" w:pos="3969"/>
        </w:tabs>
        <w:ind w:left="3969" w:hanging="567"/>
      </w:pPr>
      <w:rPr>
        <w:b w:val="0"/>
        <w:i w:val="0"/>
      </w:rPr>
    </w:lvl>
    <w:lvl w:ilvl="7">
      <w:start w:val="1"/>
      <w:numFmt w:val="none"/>
      <w:lvlText w:val="(%8)"/>
      <w:lvlJc w:val="left"/>
      <w:pPr>
        <w:tabs>
          <w:tab w:val="num" w:pos="4535"/>
        </w:tabs>
        <w:ind w:left="4535" w:hanging="566"/>
      </w:pPr>
      <w:rPr>
        <w:b w:val="0"/>
        <w:i w:val="0"/>
      </w:rPr>
    </w:lvl>
    <w:lvl w:ilvl="8">
      <w:start w:val="1"/>
      <w:numFmt w:val="none"/>
      <w:lvlText w:val="(%9)"/>
      <w:lvlJc w:val="left"/>
      <w:pPr>
        <w:tabs>
          <w:tab w:val="num" w:pos="5102"/>
        </w:tabs>
        <w:ind w:left="5102" w:hanging="567"/>
      </w:pPr>
      <w:rPr>
        <w:b w:val="0"/>
        <w:i w:val="0"/>
      </w:rPr>
    </w:lvl>
  </w:abstractNum>
  <w:abstractNum w:abstractNumId="14">
    <w:nsid w:val="3F072814"/>
    <w:multiLevelType w:val="hybridMultilevel"/>
    <w:tmpl w:val="2016559E"/>
    <w:lvl w:ilvl="0" w:tplc="143A51EE">
      <w:start w:val="1"/>
      <w:numFmt w:val="decimal"/>
      <w:lvlText w:val="%1)"/>
      <w:lvlJc w:val="left"/>
      <w:pPr>
        <w:ind w:left="1212" w:hanging="360"/>
      </w:pPr>
      <w:rPr>
        <w:b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5">
    <w:nsid w:val="454F1940"/>
    <w:multiLevelType w:val="hybridMultilevel"/>
    <w:tmpl w:val="8558E4AA"/>
    <w:lvl w:ilvl="0" w:tplc="650613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7F35D4"/>
    <w:multiLevelType w:val="hybridMultilevel"/>
    <w:tmpl w:val="53C07E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CD45AD"/>
    <w:multiLevelType w:val="multilevel"/>
    <w:tmpl w:val="DA42B87C"/>
    <w:lvl w:ilvl="0">
      <w:start w:val="1"/>
      <w:numFmt w:val="decimal"/>
      <w:pStyle w:val="Heading1"/>
      <w:lvlText w:val="%1."/>
      <w:lvlJc w:val="left"/>
      <w:pPr>
        <w:tabs>
          <w:tab w:val="num" w:pos="360"/>
        </w:tabs>
        <w:ind w:left="0" w:firstLine="0"/>
      </w:pPr>
      <w:rPr>
        <w:rFonts w:hint="default"/>
      </w:rPr>
    </w:lvl>
    <w:lvl w:ilvl="1">
      <w:start w:val="1"/>
      <w:numFmt w:val="decimal"/>
      <w:pStyle w:val="Heading4"/>
      <w:lvlText w:val="%1.%2."/>
      <w:lvlJc w:val="left"/>
      <w:pPr>
        <w:tabs>
          <w:tab w:val="num" w:pos="644"/>
        </w:tabs>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8F32A06"/>
    <w:multiLevelType w:val="multilevel"/>
    <w:tmpl w:val="1CCAE27E"/>
    <w:lvl w:ilvl="0">
      <w:start w:val="1"/>
      <w:numFmt w:val="lowerLetter"/>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567"/>
      </w:pPr>
      <w:rPr>
        <w:b w:val="0"/>
        <w:i w:val="0"/>
      </w:rPr>
    </w:lvl>
    <w:lvl w:ilvl="2">
      <w:start w:val="1"/>
      <w:numFmt w:val="lowerLetter"/>
      <w:lvlText w:val="%3)"/>
      <w:lvlJc w:val="left"/>
      <w:pPr>
        <w:tabs>
          <w:tab w:val="num" w:pos="1701"/>
        </w:tabs>
        <w:ind w:left="1701" w:hanging="567"/>
      </w:pPr>
      <w:rPr>
        <w:b w:val="0"/>
        <w:i w:val="0"/>
      </w:rPr>
    </w:lvl>
    <w:lvl w:ilvl="3">
      <w:start w:val="1"/>
      <w:numFmt w:val="koreanDigital2"/>
      <w:lvlText w:val="(%4)"/>
      <w:lvlJc w:val="left"/>
      <w:pPr>
        <w:tabs>
          <w:tab w:val="num" w:pos="2268"/>
        </w:tabs>
        <w:ind w:left="2268" w:hanging="567"/>
      </w:pPr>
      <w:rPr>
        <w:b w:val="0"/>
        <w:i w:val="0"/>
      </w:rPr>
    </w:lvl>
    <w:lvl w:ilvl="4">
      <w:start w:val="1"/>
      <w:numFmt w:val="none"/>
      <w:lvlText w:val="(%5)"/>
      <w:lvlJc w:val="left"/>
      <w:pPr>
        <w:tabs>
          <w:tab w:val="num" w:pos="2835"/>
        </w:tabs>
        <w:ind w:left="2835" w:hanging="567"/>
      </w:pPr>
      <w:rPr>
        <w:b w:val="0"/>
        <w:i w:val="0"/>
      </w:rPr>
    </w:lvl>
    <w:lvl w:ilvl="5">
      <w:start w:val="1"/>
      <w:numFmt w:val="none"/>
      <w:lvlText w:val="(%6)"/>
      <w:lvlJc w:val="left"/>
      <w:pPr>
        <w:tabs>
          <w:tab w:val="num" w:pos="3402"/>
        </w:tabs>
        <w:ind w:left="3402" w:hanging="567"/>
      </w:pPr>
      <w:rPr>
        <w:b w:val="0"/>
        <w:i w:val="0"/>
      </w:rPr>
    </w:lvl>
    <w:lvl w:ilvl="6">
      <w:start w:val="1"/>
      <w:numFmt w:val="none"/>
      <w:lvlText w:val="(%7)"/>
      <w:lvlJc w:val="left"/>
      <w:pPr>
        <w:tabs>
          <w:tab w:val="num" w:pos="3969"/>
        </w:tabs>
        <w:ind w:left="3969" w:hanging="567"/>
      </w:pPr>
      <w:rPr>
        <w:b w:val="0"/>
        <w:i w:val="0"/>
      </w:rPr>
    </w:lvl>
    <w:lvl w:ilvl="7">
      <w:start w:val="1"/>
      <w:numFmt w:val="none"/>
      <w:lvlText w:val="(%8)"/>
      <w:lvlJc w:val="left"/>
      <w:pPr>
        <w:tabs>
          <w:tab w:val="num" w:pos="4535"/>
        </w:tabs>
        <w:ind w:left="4535" w:hanging="566"/>
      </w:pPr>
      <w:rPr>
        <w:b w:val="0"/>
        <w:i w:val="0"/>
      </w:rPr>
    </w:lvl>
    <w:lvl w:ilvl="8">
      <w:start w:val="1"/>
      <w:numFmt w:val="none"/>
      <w:lvlText w:val="(%9)"/>
      <w:lvlJc w:val="left"/>
      <w:pPr>
        <w:tabs>
          <w:tab w:val="num" w:pos="5102"/>
        </w:tabs>
        <w:ind w:left="5102" w:hanging="567"/>
      </w:pPr>
      <w:rPr>
        <w:b w:val="0"/>
        <w:i w:val="0"/>
      </w:rPr>
    </w:lvl>
  </w:abstractNum>
  <w:abstractNum w:abstractNumId="19">
    <w:nsid w:val="5CCA75B7"/>
    <w:multiLevelType w:val="multilevel"/>
    <w:tmpl w:val="7D803F22"/>
    <w:lvl w:ilvl="0">
      <w:start w:val="1"/>
      <w:numFmt w:val="lowerLetter"/>
      <w:lvlText w:val="(%1)"/>
      <w:lvlJc w:val="left"/>
      <w:pPr>
        <w:tabs>
          <w:tab w:val="num" w:pos="1134"/>
        </w:tabs>
        <w:ind w:left="1134" w:hanging="567"/>
      </w:pPr>
      <w:rPr>
        <w:rFonts w:cs="Times New Roman" w:hint="default"/>
        <w:b w:val="0"/>
        <w:i w:val="0"/>
      </w:rPr>
    </w:lvl>
    <w:lvl w:ilvl="1">
      <w:start w:val="1"/>
      <w:numFmt w:val="lowerLetter"/>
      <w:lvlText w:val="(%2)"/>
      <w:lvlJc w:val="left"/>
      <w:pPr>
        <w:tabs>
          <w:tab w:val="num" w:pos="1701"/>
        </w:tabs>
        <w:ind w:left="1701" w:hanging="567"/>
      </w:pPr>
      <w:rPr>
        <w:b w:val="0"/>
        <w:i w:val="0"/>
      </w:rPr>
    </w:lvl>
    <w:lvl w:ilvl="2">
      <w:start w:val="1"/>
      <w:numFmt w:val="lowerRoman"/>
      <w:lvlText w:val="(%3)"/>
      <w:lvlJc w:val="left"/>
      <w:pPr>
        <w:tabs>
          <w:tab w:val="num" w:pos="2268"/>
        </w:tabs>
        <w:ind w:left="2268" w:hanging="567"/>
      </w:pPr>
      <w:rPr>
        <w:b w:val="0"/>
        <w:i w:val="0"/>
      </w:rPr>
    </w:lvl>
    <w:lvl w:ilvl="3">
      <w:start w:val="1"/>
      <w:numFmt w:val="koreanDigital2"/>
      <w:lvlText w:val="(%4)"/>
      <w:lvlJc w:val="left"/>
      <w:pPr>
        <w:tabs>
          <w:tab w:val="num" w:pos="2835"/>
        </w:tabs>
        <w:ind w:left="2835" w:hanging="567"/>
      </w:pPr>
      <w:rPr>
        <w:b w:val="0"/>
        <w:i w:val="0"/>
      </w:rPr>
    </w:lvl>
    <w:lvl w:ilvl="4">
      <w:start w:val="1"/>
      <w:numFmt w:val="none"/>
      <w:lvlText w:val="(%5)"/>
      <w:lvlJc w:val="left"/>
      <w:pPr>
        <w:tabs>
          <w:tab w:val="num" w:pos="3402"/>
        </w:tabs>
        <w:ind w:left="3402" w:hanging="567"/>
      </w:pPr>
      <w:rPr>
        <w:b w:val="0"/>
        <w:i w:val="0"/>
      </w:rPr>
    </w:lvl>
    <w:lvl w:ilvl="5">
      <w:start w:val="1"/>
      <w:numFmt w:val="none"/>
      <w:lvlText w:val="(%6)"/>
      <w:lvlJc w:val="left"/>
      <w:pPr>
        <w:tabs>
          <w:tab w:val="num" w:pos="3969"/>
        </w:tabs>
        <w:ind w:left="3969" w:hanging="567"/>
      </w:pPr>
      <w:rPr>
        <w:b w:val="0"/>
        <w:i w:val="0"/>
      </w:rPr>
    </w:lvl>
    <w:lvl w:ilvl="6">
      <w:start w:val="1"/>
      <w:numFmt w:val="none"/>
      <w:lvlText w:val="(%7)"/>
      <w:lvlJc w:val="left"/>
      <w:pPr>
        <w:tabs>
          <w:tab w:val="num" w:pos="4536"/>
        </w:tabs>
        <w:ind w:left="4536" w:hanging="567"/>
      </w:pPr>
      <w:rPr>
        <w:b w:val="0"/>
        <w:i w:val="0"/>
      </w:rPr>
    </w:lvl>
    <w:lvl w:ilvl="7">
      <w:start w:val="1"/>
      <w:numFmt w:val="none"/>
      <w:lvlText w:val="(%8)"/>
      <w:lvlJc w:val="left"/>
      <w:pPr>
        <w:tabs>
          <w:tab w:val="num" w:pos="5102"/>
        </w:tabs>
        <w:ind w:left="5102" w:hanging="566"/>
      </w:pPr>
      <w:rPr>
        <w:b w:val="0"/>
        <w:i w:val="0"/>
      </w:rPr>
    </w:lvl>
    <w:lvl w:ilvl="8">
      <w:start w:val="1"/>
      <w:numFmt w:val="none"/>
      <w:lvlText w:val="(%9)"/>
      <w:lvlJc w:val="left"/>
      <w:pPr>
        <w:tabs>
          <w:tab w:val="num" w:pos="5669"/>
        </w:tabs>
        <w:ind w:left="5669" w:hanging="567"/>
      </w:pPr>
      <w:rPr>
        <w:b w:val="0"/>
        <w:i w:val="0"/>
      </w:rPr>
    </w:lvl>
  </w:abstractNum>
  <w:abstractNum w:abstractNumId="20">
    <w:nsid w:val="6160701A"/>
    <w:multiLevelType w:val="multilevel"/>
    <w:tmpl w:val="135E7DD8"/>
    <w:lvl w:ilvl="0">
      <w:start w:val="1"/>
      <w:numFmt w:val="lowerLetter"/>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567"/>
      </w:pPr>
      <w:rPr>
        <w:rFonts w:hint="default"/>
        <w:b w:val="0"/>
        <w:i w:val="0"/>
      </w:rPr>
    </w:lvl>
    <w:lvl w:ilvl="2">
      <w:start w:val="1"/>
      <w:numFmt w:val="lowerRoman"/>
      <w:lvlText w:val="(%3)"/>
      <w:lvlJc w:val="left"/>
      <w:pPr>
        <w:tabs>
          <w:tab w:val="num" w:pos="1701"/>
        </w:tabs>
        <w:ind w:left="1701" w:hanging="567"/>
      </w:pPr>
      <w:rPr>
        <w:rFonts w:hint="default"/>
        <w:b w:val="0"/>
        <w:i w:val="0"/>
      </w:rPr>
    </w:lvl>
    <w:lvl w:ilvl="3">
      <w:start w:val="1"/>
      <w:numFmt w:val="koreanDigital2"/>
      <w:lvlText w:val="(%4)"/>
      <w:lvlJc w:val="left"/>
      <w:pPr>
        <w:tabs>
          <w:tab w:val="num" w:pos="2268"/>
        </w:tabs>
        <w:ind w:left="2268" w:hanging="567"/>
      </w:pPr>
      <w:rPr>
        <w:rFonts w:hint="default"/>
        <w:b w:val="0"/>
        <w:i w:val="0"/>
      </w:rPr>
    </w:lvl>
    <w:lvl w:ilvl="4">
      <w:start w:val="1"/>
      <w:numFmt w:val="none"/>
      <w:lvlText w:val="(%5)"/>
      <w:lvlJc w:val="left"/>
      <w:pPr>
        <w:tabs>
          <w:tab w:val="num" w:pos="2835"/>
        </w:tabs>
        <w:ind w:left="2835" w:hanging="567"/>
      </w:pPr>
      <w:rPr>
        <w:rFonts w:hint="default"/>
        <w:b w:val="0"/>
        <w:i w:val="0"/>
      </w:rPr>
    </w:lvl>
    <w:lvl w:ilvl="5">
      <w:start w:val="1"/>
      <w:numFmt w:val="none"/>
      <w:lvlText w:val="(%6)"/>
      <w:lvlJc w:val="left"/>
      <w:pPr>
        <w:tabs>
          <w:tab w:val="num" w:pos="3402"/>
        </w:tabs>
        <w:ind w:left="3402" w:hanging="567"/>
      </w:pPr>
      <w:rPr>
        <w:rFonts w:hint="default"/>
        <w:b w:val="0"/>
        <w:i w:val="0"/>
      </w:rPr>
    </w:lvl>
    <w:lvl w:ilvl="6">
      <w:start w:val="1"/>
      <w:numFmt w:val="none"/>
      <w:lvlText w:val="(%7)"/>
      <w:lvlJc w:val="left"/>
      <w:pPr>
        <w:tabs>
          <w:tab w:val="num" w:pos="3969"/>
        </w:tabs>
        <w:ind w:left="3969" w:hanging="567"/>
      </w:pPr>
      <w:rPr>
        <w:rFonts w:hint="default"/>
        <w:b w:val="0"/>
        <w:i w:val="0"/>
      </w:rPr>
    </w:lvl>
    <w:lvl w:ilvl="7">
      <w:start w:val="1"/>
      <w:numFmt w:val="none"/>
      <w:lvlText w:val="(%8)"/>
      <w:lvlJc w:val="left"/>
      <w:pPr>
        <w:tabs>
          <w:tab w:val="num" w:pos="4535"/>
        </w:tabs>
        <w:ind w:left="4535" w:hanging="566"/>
      </w:pPr>
      <w:rPr>
        <w:rFonts w:hint="default"/>
        <w:b w:val="0"/>
        <w:i w:val="0"/>
      </w:rPr>
    </w:lvl>
    <w:lvl w:ilvl="8">
      <w:start w:val="1"/>
      <w:numFmt w:val="none"/>
      <w:lvlText w:val="(%9)"/>
      <w:lvlJc w:val="left"/>
      <w:pPr>
        <w:tabs>
          <w:tab w:val="num" w:pos="5102"/>
        </w:tabs>
        <w:ind w:left="5102" w:hanging="567"/>
      </w:pPr>
      <w:rPr>
        <w:rFonts w:hint="default"/>
        <w:b w:val="0"/>
        <w:i w:val="0"/>
      </w:rPr>
    </w:lvl>
  </w:abstractNum>
  <w:abstractNum w:abstractNumId="21">
    <w:nsid w:val="66A04D27"/>
    <w:multiLevelType w:val="hybridMultilevel"/>
    <w:tmpl w:val="0AA81D1A"/>
    <w:lvl w:ilvl="0" w:tplc="650613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930BBD"/>
    <w:multiLevelType w:val="multilevel"/>
    <w:tmpl w:val="DDFC8C16"/>
    <w:lvl w:ilvl="0">
      <w:start w:val="1"/>
      <w:numFmt w:val="upperRoman"/>
      <w:pStyle w:val="AnnexHeading1"/>
      <w:lvlText w:val="ANNEX %1."/>
      <w:lvlJc w:val="left"/>
      <w:pPr>
        <w:tabs>
          <w:tab w:val="num" w:pos="8321"/>
        </w:tabs>
        <w:ind w:left="6521" w:firstLine="0"/>
      </w:pPr>
      <w:rPr>
        <w:rFonts w:hint="default"/>
        <w:sz w:val="28"/>
        <w:szCs w:val="28"/>
      </w:rPr>
    </w:lvl>
    <w:lvl w:ilvl="1">
      <w:start w:val="1"/>
      <w:numFmt w:val="decimal"/>
      <w:pStyle w:val="AnnexHeading3"/>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3">
    <w:nsid w:val="6F554CE1"/>
    <w:multiLevelType w:val="hybridMultilevel"/>
    <w:tmpl w:val="81D65324"/>
    <w:lvl w:ilvl="0" w:tplc="7C346312">
      <w:start w:val="1"/>
      <w:numFmt w:val="decimal"/>
      <w:pStyle w:val="Style3"/>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3317098"/>
    <w:multiLevelType w:val="hybridMultilevel"/>
    <w:tmpl w:val="FBD48296"/>
    <w:lvl w:ilvl="0" w:tplc="1B5E45E6">
      <w:start w:val="1"/>
      <w:numFmt w:val="decimal"/>
      <w:lvlText w:val="2.%1."/>
      <w:lvlJc w:val="left"/>
      <w:pPr>
        <w:ind w:left="2160" w:hanging="360"/>
      </w:pPr>
      <w:rPr>
        <w:rFonts w:ascii="Times New Roman" w:hAnsi="Times New Roman" w:hint="default"/>
        <w:b w:val="0"/>
        <w:i w:val="0"/>
        <w:sz w:val="24"/>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nsid w:val="7CE40E8A"/>
    <w:multiLevelType w:val="multilevel"/>
    <w:tmpl w:val="F1E4687A"/>
    <w:lvl w:ilvl="0">
      <w:start w:val="1"/>
      <w:numFmt w:val="lowerLetter"/>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567"/>
      </w:pPr>
      <w:rPr>
        <w:b w:val="0"/>
        <w:i w:val="0"/>
      </w:rPr>
    </w:lvl>
    <w:lvl w:ilvl="2">
      <w:start w:val="1"/>
      <w:numFmt w:val="lowerRoman"/>
      <w:lvlText w:val="(%3)"/>
      <w:lvlJc w:val="left"/>
      <w:pPr>
        <w:tabs>
          <w:tab w:val="num" w:pos="1701"/>
        </w:tabs>
        <w:ind w:left="1701" w:hanging="567"/>
      </w:pPr>
      <w:rPr>
        <w:b w:val="0"/>
        <w:i w:val="0"/>
      </w:rPr>
    </w:lvl>
    <w:lvl w:ilvl="3">
      <w:start w:val="1"/>
      <w:numFmt w:val="koreanDigital2"/>
      <w:lvlText w:val="(%4)"/>
      <w:lvlJc w:val="left"/>
      <w:pPr>
        <w:tabs>
          <w:tab w:val="num" w:pos="2268"/>
        </w:tabs>
        <w:ind w:left="2268" w:hanging="567"/>
      </w:pPr>
      <w:rPr>
        <w:b w:val="0"/>
        <w:i w:val="0"/>
      </w:rPr>
    </w:lvl>
    <w:lvl w:ilvl="4">
      <w:start w:val="1"/>
      <w:numFmt w:val="none"/>
      <w:lvlText w:val="(%5)"/>
      <w:lvlJc w:val="left"/>
      <w:pPr>
        <w:tabs>
          <w:tab w:val="num" w:pos="2835"/>
        </w:tabs>
        <w:ind w:left="2835" w:hanging="567"/>
      </w:pPr>
      <w:rPr>
        <w:b w:val="0"/>
        <w:i w:val="0"/>
      </w:rPr>
    </w:lvl>
    <w:lvl w:ilvl="5">
      <w:start w:val="1"/>
      <w:numFmt w:val="none"/>
      <w:lvlText w:val="(%6)"/>
      <w:lvlJc w:val="left"/>
      <w:pPr>
        <w:tabs>
          <w:tab w:val="num" w:pos="3402"/>
        </w:tabs>
        <w:ind w:left="3402" w:hanging="567"/>
      </w:pPr>
      <w:rPr>
        <w:b w:val="0"/>
        <w:i w:val="0"/>
      </w:rPr>
    </w:lvl>
    <w:lvl w:ilvl="6">
      <w:start w:val="1"/>
      <w:numFmt w:val="none"/>
      <w:lvlText w:val="(%7)"/>
      <w:lvlJc w:val="left"/>
      <w:pPr>
        <w:tabs>
          <w:tab w:val="num" w:pos="3969"/>
        </w:tabs>
        <w:ind w:left="3969" w:hanging="567"/>
      </w:pPr>
      <w:rPr>
        <w:b w:val="0"/>
        <w:i w:val="0"/>
      </w:rPr>
    </w:lvl>
    <w:lvl w:ilvl="7">
      <w:start w:val="1"/>
      <w:numFmt w:val="none"/>
      <w:lvlText w:val="(%8)"/>
      <w:lvlJc w:val="left"/>
      <w:pPr>
        <w:tabs>
          <w:tab w:val="num" w:pos="4535"/>
        </w:tabs>
        <w:ind w:left="4535" w:hanging="566"/>
      </w:pPr>
      <w:rPr>
        <w:b w:val="0"/>
        <w:i w:val="0"/>
      </w:rPr>
    </w:lvl>
    <w:lvl w:ilvl="8">
      <w:start w:val="1"/>
      <w:numFmt w:val="none"/>
      <w:lvlText w:val="(%9)"/>
      <w:lvlJc w:val="left"/>
      <w:pPr>
        <w:tabs>
          <w:tab w:val="num" w:pos="5102"/>
        </w:tabs>
        <w:ind w:left="5102" w:hanging="567"/>
      </w:pPr>
      <w:rPr>
        <w:b w:val="0"/>
        <w:i w:val="0"/>
      </w:rPr>
    </w:lvl>
  </w:abstractNum>
  <w:abstractNum w:abstractNumId="26">
    <w:nsid w:val="7EB11940"/>
    <w:multiLevelType w:val="hybridMultilevel"/>
    <w:tmpl w:val="B62E97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22"/>
  </w:num>
  <w:num w:numId="4">
    <w:abstractNumId w:val="19"/>
  </w:num>
  <w:num w:numId="5">
    <w:abstractNumId w:val="25"/>
  </w:num>
  <w:num w:numId="6">
    <w:abstractNumId w:val="12"/>
  </w:num>
  <w:num w:numId="7">
    <w:abstractNumId w:val="20"/>
  </w:num>
  <w:num w:numId="8">
    <w:abstractNumId w:val="10"/>
  </w:num>
  <w:num w:numId="9">
    <w:abstractNumId w:val="13"/>
  </w:num>
  <w:num w:numId="10">
    <w:abstractNumId w:val="2"/>
  </w:num>
  <w:num w:numId="11">
    <w:abstractNumId w:val="23"/>
  </w:num>
  <w:num w:numId="12">
    <w:abstractNumId w:val="9"/>
  </w:num>
  <w:num w:numId="13">
    <w:abstractNumId w:val="15"/>
  </w:num>
  <w:num w:numId="14">
    <w:abstractNumId w:val="21"/>
  </w:num>
  <w:num w:numId="15">
    <w:abstractNumId w:val="7"/>
  </w:num>
  <w:num w:numId="16">
    <w:abstractNumId w:val="11"/>
  </w:num>
  <w:num w:numId="17">
    <w:abstractNumId w:val="16"/>
  </w:num>
  <w:num w:numId="18">
    <w:abstractNumId w:val="26"/>
  </w:num>
  <w:num w:numId="19">
    <w:abstractNumId w:val="1"/>
  </w:num>
  <w:num w:numId="20">
    <w:abstractNumId w:val="4"/>
  </w:num>
  <w:num w:numId="21">
    <w:abstractNumId w:val="14"/>
  </w:num>
  <w:num w:numId="22">
    <w:abstractNumId w:val="22"/>
  </w:num>
  <w:num w:numId="23">
    <w:abstractNumId w:val="22"/>
  </w:num>
  <w:num w:numId="24">
    <w:abstractNumId w:val="5"/>
  </w:num>
  <w:num w:numId="25">
    <w:abstractNumId w:val="6"/>
  </w:num>
  <w:num w:numId="26">
    <w:abstractNumId w:val="18"/>
  </w:num>
  <w:num w:numId="27">
    <w:abstractNumId w:val="17"/>
  </w:num>
  <w:num w:numId="28">
    <w:abstractNumId w:val="24"/>
  </w:num>
  <w:num w:numId="29">
    <w:abstractNumId w:val="8"/>
  </w:num>
  <w:num w:numId="30">
    <w:abstractNumId w:val="3"/>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TrueTypeFonts/>
  <w:saveSubsetFonts/>
  <w:mirrorMargin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_tradnl" w:vendorID="64" w:dllVersion="131078" w:nlCheck="1" w:checkStyle="1"/>
  <w:activeWritingStyle w:appName="MSWord" w:lang="en-ZA" w:vendorID="64" w:dllVersion="131078" w:nlCheck="1" w:checkStyle="1"/>
  <w:activeWritingStyle w:appName="MSWord" w:lang="es-AR" w:vendorID="64" w:dllVersion="131078" w:nlCheck="1" w:checkStyle="1"/>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RefCount" w:val="6"/>
  </w:docVars>
  <w:rsids>
    <w:rsidRoot w:val="006E5633"/>
    <w:rsid w:val="00000196"/>
    <w:rsid w:val="0000080E"/>
    <w:rsid w:val="0000091F"/>
    <w:rsid w:val="00000982"/>
    <w:rsid w:val="00000F9C"/>
    <w:rsid w:val="00001565"/>
    <w:rsid w:val="000017D1"/>
    <w:rsid w:val="00001DDE"/>
    <w:rsid w:val="0000240F"/>
    <w:rsid w:val="00002879"/>
    <w:rsid w:val="00002CBF"/>
    <w:rsid w:val="00003D8E"/>
    <w:rsid w:val="00003E6C"/>
    <w:rsid w:val="00004613"/>
    <w:rsid w:val="00005519"/>
    <w:rsid w:val="00005C9C"/>
    <w:rsid w:val="00005ED4"/>
    <w:rsid w:val="00005F5D"/>
    <w:rsid w:val="0000637A"/>
    <w:rsid w:val="00006847"/>
    <w:rsid w:val="000070CC"/>
    <w:rsid w:val="00010A39"/>
    <w:rsid w:val="00010AE9"/>
    <w:rsid w:val="00010C30"/>
    <w:rsid w:val="00011015"/>
    <w:rsid w:val="00011502"/>
    <w:rsid w:val="0001193E"/>
    <w:rsid w:val="00011E2D"/>
    <w:rsid w:val="00011FBC"/>
    <w:rsid w:val="00013263"/>
    <w:rsid w:val="00013306"/>
    <w:rsid w:val="00013366"/>
    <w:rsid w:val="00013C82"/>
    <w:rsid w:val="000142C6"/>
    <w:rsid w:val="0001441C"/>
    <w:rsid w:val="0001449E"/>
    <w:rsid w:val="00014527"/>
    <w:rsid w:val="000145B3"/>
    <w:rsid w:val="00014611"/>
    <w:rsid w:val="00014997"/>
    <w:rsid w:val="00014A0D"/>
    <w:rsid w:val="00015C4E"/>
    <w:rsid w:val="00015C70"/>
    <w:rsid w:val="00016803"/>
    <w:rsid w:val="00016F80"/>
    <w:rsid w:val="00017F19"/>
    <w:rsid w:val="000208D7"/>
    <w:rsid w:val="0002099C"/>
    <w:rsid w:val="000213B9"/>
    <w:rsid w:val="000217D7"/>
    <w:rsid w:val="000221FC"/>
    <w:rsid w:val="00022312"/>
    <w:rsid w:val="0002283A"/>
    <w:rsid w:val="00022A95"/>
    <w:rsid w:val="000237B7"/>
    <w:rsid w:val="00023D49"/>
    <w:rsid w:val="000240EB"/>
    <w:rsid w:val="000243A9"/>
    <w:rsid w:val="0002460D"/>
    <w:rsid w:val="00024D67"/>
    <w:rsid w:val="000261BC"/>
    <w:rsid w:val="00027DE3"/>
    <w:rsid w:val="000303A3"/>
    <w:rsid w:val="00032AF6"/>
    <w:rsid w:val="00032EAA"/>
    <w:rsid w:val="00033C4F"/>
    <w:rsid w:val="000340F3"/>
    <w:rsid w:val="0003411B"/>
    <w:rsid w:val="00034156"/>
    <w:rsid w:val="000342A2"/>
    <w:rsid w:val="00034BFF"/>
    <w:rsid w:val="0003511B"/>
    <w:rsid w:val="00035A7E"/>
    <w:rsid w:val="00035F7C"/>
    <w:rsid w:val="00036429"/>
    <w:rsid w:val="00036793"/>
    <w:rsid w:val="00036AF9"/>
    <w:rsid w:val="00036B9D"/>
    <w:rsid w:val="000373CB"/>
    <w:rsid w:val="00037580"/>
    <w:rsid w:val="00037713"/>
    <w:rsid w:val="00037BDD"/>
    <w:rsid w:val="00040985"/>
    <w:rsid w:val="00040CC5"/>
    <w:rsid w:val="00040DBC"/>
    <w:rsid w:val="0004173B"/>
    <w:rsid w:val="00041F74"/>
    <w:rsid w:val="000435DC"/>
    <w:rsid w:val="000445D5"/>
    <w:rsid w:val="0004533F"/>
    <w:rsid w:val="00045E48"/>
    <w:rsid w:val="000465B1"/>
    <w:rsid w:val="00047209"/>
    <w:rsid w:val="0004749B"/>
    <w:rsid w:val="00050566"/>
    <w:rsid w:val="00050D66"/>
    <w:rsid w:val="00050EA5"/>
    <w:rsid w:val="000517AB"/>
    <w:rsid w:val="00051C48"/>
    <w:rsid w:val="000527C4"/>
    <w:rsid w:val="00052E60"/>
    <w:rsid w:val="000532C5"/>
    <w:rsid w:val="000533CF"/>
    <w:rsid w:val="00053700"/>
    <w:rsid w:val="000539E6"/>
    <w:rsid w:val="0005487B"/>
    <w:rsid w:val="0005524F"/>
    <w:rsid w:val="00055265"/>
    <w:rsid w:val="000558E1"/>
    <w:rsid w:val="00055931"/>
    <w:rsid w:val="000562FB"/>
    <w:rsid w:val="0005685C"/>
    <w:rsid w:val="000576C1"/>
    <w:rsid w:val="00057906"/>
    <w:rsid w:val="00057DAD"/>
    <w:rsid w:val="00060295"/>
    <w:rsid w:val="000612DB"/>
    <w:rsid w:val="000614F1"/>
    <w:rsid w:val="0006156A"/>
    <w:rsid w:val="00061CC7"/>
    <w:rsid w:val="000620B3"/>
    <w:rsid w:val="0006249B"/>
    <w:rsid w:val="0006268C"/>
    <w:rsid w:val="0006326B"/>
    <w:rsid w:val="000633F9"/>
    <w:rsid w:val="00063ECF"/>
    <w:rsid w:val="00063ED7"/>
    <w:rsid w:val="000652E2"/>
    <w:rsid w:val="00065BC4"/>
    <w:rsid w:val="00065C2A"/>
    <w:rsid w:val="00065F61"/>
    <w:rsid w:val="00065FFD"/>
    <w:rsid w:val="000666B3"/>
    <w:rsid w:val="0006691A"/>
    <w:rsid w:val="000669E1"/>
    <w:rsid w:val="00066A55"/>
    <w:rsid w:val="00066AE2"/>
    <w:rsid w:val="00066C90"/>
    <w:rsid w:val="00066DD7"/>
    <w:rsid w:val="0006754A"/>
    <w:rsid w:val="00067BDE"/>
    <w:rsid w:val="00070027"/>
    <w:rsid w:val="0007009B"/>
    <w:rsid w:val="00070255"/>
    <w:rsid w:val="0007066D"/>
    <w:rsid w:val="000716D8"/>
    <w:rsid w:val="00072399"/>
    <w:rsid w:val="00072A6A"/>
    <w:rsid w:val="00073597"/>
    <w:rsid w:val="0007381F"/>
    <w:rsid w:val="00074190"/>
    <w:rsid w:val="000741B4"/>
    <w:rsid w:val="000744D3"/>
    <w:rsid w:val="000749F5"/>
    <w:rsid w:val="0007534C"/>
    <w:rsid w:val="0007541A"/>
    <w:rsid w:val="00075935"/>
    <w:rsid w:val="00075951"/>
    <w:rsid w:val="00075C60"/>
    <w:rsid w:val="0007638F"/>
    <w:rsid w:val="000772EC"/>
    <w:rsid w:val="0007735A"/>
    <w:rsid w:val="0007769B"/>
    <w:rsid w:val="00077BBE"/>
    <w:rsid w:val="00077E07"/>
    <w:rsid w:val="00077F4C"/>
    <w:rsid w:val="00080BF6"/>
    <w:rsid w:val="00080CC1"/>
    <w:rsid w:val="000811A3"/>
    <w:rsid w:val="000811E4"/>
    <w:rsid w:val="00081CE8"/>
    <w:rsid w:val="00081E74"/>
    <w:rsid w:val="00082144"/>
    <w:rsid w:val="00082324"/>
    <w:rsid w:val="00082720"/>
    <w:rsid w:val="00082731"/>
    <w:rsid w:val="0008274B"/>
    <w:rsid w:val="00082BB9"/>
    <w:rsid w:val="00082C59"/>
    <w:rsid w:val="000842AD"/>
    <w:rsid w:val="00084722"/>
    <w:rsid w:val="000849D5"/>
    <w:rsid w:val="00084AF4"/>
    <w:rsid w:val="00085B52"/>
    <w:rsid w:val="00085F45"/>
    <w:rsid w:val="0008604E"/>
    <w:rsid w:val="00086CA3"/>
    <w:rsid w:val="00086DBA"/>
    <w:rsid w:val="00087515"/>
    <w:rsid w:val="0008777C"/>
    <w:rsid w:val="00087A37"/>
    <w:rsid w:val="00087AC7"/>
    <w:rsid w:val="00087B85"/>
    <w:rsid w:val="00087ECD"/>
    <w:rsid w:val="000904F3"/>
    <w:rsid w:val="00090A68"/>
    <w:rsid w:val="0009134B"/>
    <w:rsid w:val="000916E7"/>
    <w:rsid w:val="000919F1"/>
    <w:rsid w:val="00091FDD"/>
    <w:rsid w:val="00093152"/>
    <w:rsid w:val="00094027"/>
    <w:rsid w:val="00094CBB"/>
    <w:rsid w:val="00094CE7"/>
    <w:rsid w:val="00095816"/>
    <w:rsid w:val="000970D3"/>
    <w:rsid w:val="000972B8"/>
    <w:rsid w:val="00097FC5"/>
    <w:rsid w:val="000A0268"/>
    <w:rsid w:val="000A027B"/>
    <w:rsid w:val="000A0FAD"/>
    <w:rsid w:val="000A11B7"/>
    <w:rsid w:val="000A1268"/>
    <w:rsid w:val="000A1D0B"/>
    <w:rsid w:val="000A1F9D"/>
    <w:rsid w:val="000A2450"/>
    <w:rsid w:val="000A25EA"/>
    <w:rsid w:val="000A28BF"/>
    <w:rsid w:val="000A3683"/>
    <w:rsid w:val="000A3960"/>
    <w:rsid w:val="000A3DA2"/>
    <w:rsid w:val="000A48E0"/>
    <w:rsid w:val="000A49F3"/>
    <w:rsid w:val="000A50F6"/>
    <w:rsid w:val="000A53AB"/>
    <w:rsid w:val="000A58F4"/>
    <w:rsid w:val="000A5ADC"/>
    <w:rsid w:val="000A6F6E"/>
    <w:rsid w:val="000A758E"/>
    <w:rsid w:val="000B0802"/>
    <w:rsid w:val="000B0DE8"/>
    <w:rsid w:val="000B0E7C"/>
    <w:rsid w:val="000B1056"/>
    <w:rsid w:val="000B10EB"/>
    <w:rsid w:val="000B2112"/>
    <w:rsid w:val="000B2A51"/>
    <w:rsid w:val="000B3286"/>
    <w:rsid w:val="000B33BD"/>
    <w:rsid w:val="000B3952"/>
    <w:rsid w:val="000B3C8D"/>
    <w:rsid w:val="000B3CB5"/>
    <w:rsid w:val="000B41E1"/>
    <w:rsid w:val="000B4880"/>
    <w:rsid w:val="000B4AE4"/>
    <w:rsid w:val="000B4E65"/>
    <w:rsid w:val="000B557B"/>
    <w:rsid w:val="000B5A3A"/>
    <w:rsid w:val="000B5C50"/>
    <w:rsid w:val="000B6135"/>
    <w:rsid w:val="000B6173"/>
    <w:rsid w:val="000B6B0B"/>
    <w:rsid w:val="000B6B69"/>
    <w:rsid w:val="000B6F89"/>
    <w:rsid w:val="000B7B17"/>
    <w:rsid w:val="000B7B95"/>
    <w:rsid w:val="000B7EA3"/>
    <w:rsid w:val="000C010B"/>
    <w:rsid w:val="000C0178"/>
    <w:rsid w:val="000C0FB5"/>
    <w:rsid w:val="000C1746"/>
    <w:rsid w:val="000C1865"/>
    <w:rsid w:val="000C1A29"/>
    <w:rsid w:val="000C2270"/>
    <w:rsid w:val="000C3D7F"/>
    <w:rsid w:val="000C3DF2"/>
    <w:rsid w:val="000C4668"/>
    <w:rsid w:val="000C4C90"/>
    <w:rsid w:val="000C6946"/>
    <w:rsid w:val="000C6FB9"/>
    <w:rsid w:val="000C78FC"/>
    <w:rsid w:val="000C796D"/>
    <w:rsid w:val="000D0B27"/>
    <w:rsid w:val="000D1716"/>
    <w:rsid w:val="000D2354"/>
    <w:rsid w:val="000D24F4"/>
    <w:rsid w:val="000D2AC8"/>
    <w:rsid w:val="000D31A2"/>
    <w:rsid w:val="000D3D9E"/>
    <w:rsid w:val="000D4701"/>
    <w:rsid w:val="000D4BA7"/>
    <w:rsid w:val="000D5863"/>
    <w:rsid w:val="000D6065"/>
    <w:rsid w:val="000D77C3"/>
    <w:rsid w:val="000D79F4"/>
    <w:rsid w:val="000D7B53"/>
    <w:rsid w:val="000D7D44"/>
    <w:rsid w:val="000E03F5"/>
    <w:rsid w:val="000E05BE"/>
    <w:rsid w:val="000E0628"/>
    <w:rsid w:val="000E1113"/>
    <w:rsid w:val="000E1525"/>
    <w:rsid w:val="000E20C4"/>
    <w:rsid w:val="000E2B38"/>
    <w:rsid w:val="000E33C5"/>
    <w:rsid w:val="000E3480"/>
    <w:rsid w:val="000E364B"/>
    <w:rsid w:val="000E37F9"/>
    <w:rsid w:val="000E4B86"/>
    <w:rsid w:val="000E4C65"/>
    <w:rsid w:val="000E5197"/>
    <w:rsid w:val="000E55CC"/>
    <w:rsid w:val="000E5651"/>
    <w:rsid w:val="000E5A7A"/>
    <w:rsid w:val="000E5D94"/>
    <w:rsid w:val="000E6378"/>
    <w:rsid w:val="000E6BF4"/>
    <w:rsid w:val="000E6FAC"/>
    <w:rsid w:val="000E7058"/>
    <w:rsid w:val="000E7501"/>
    <w:rsid w:val="000E7D20"/>
    <w:rsid w:val="000F0D17"/>
    <w:rsid w:val="000F11F9"/>
    <w:rsid w:val="000F12B7"/>
    <w:rsid w:val="000F24F5"/>
    <w:rsid w:val="000F273D"/>
    <w:rsid w:val="000F2A4B"/>
    <w:rsid w:val="000F2C5D"/>
    <w:rsid w:val="000F33FA"/>
    <w:rsid w:val="000F396C"/>
    <w:rsid w:val="000F39FF"/>
    <w:rsid w:val="000F3B62"/>
    <w:rsid w:val="000F3C44"/>
    <w:rsid w:val="000F41B2"/>
    <w:rsid w:val="000F43B0"/>
    <w:rsid w:val="000F48A6"/>
    <w:rsid w:val="000F4910"/>
    <w:rsid w:val="000F5348"/>
    <w:rsid w:val="000F5E54"/>
    <w:rsid w:val="000F611E"/>
    <w:rsid w:val="000F61A8"/>
    <w:rsid w:val="000F65F9"/>
    <w:rsid w:val="000F69F0"/>
    <w:rsid w:val="000F6AC2"/>
    <w:rsid w:val="000F6BE9"/>
    <w:rsid w:val="000F7459"/>
    <w:rsid w:val="000F7688"/>
    <w:rsid w:val="000F7978"/>
    <w:rsid w:val="000F7EA5"/>
    <w:rsid w:val="00100325"/>
    <w:rsid w:val="00100601"/>
    <w:rsid w:val="00101236"/>
    <w:rsid w:val="001018F3"/>
    <w:rsid w:val="00101D11"/>
    <w:rsid w:val="00101DC5"/>
    <w:rsid w:val="00101DC9"/>
    <w:rsid w:val="001020AF"/>
    <w:rsid w:val="001020F4"/>
    <w:rsid w:val="0010217D"/>
    <w:rsid w:val="0010257A"/>
    <w:rsid w:val="00103508"/>
    <w:rsid w:val="00103DF2"/>
    <w:rsid w:val="00104DD6"/>
    <w:rsid w:val="00105292"/>
    <w:rsid w:val="00105426"/>
    <w:rsid w:val="00105B04"/>
    <w:rsid w:val="00105BFE"/>
    <w:rsid w:val="00105F63"/>
    <w:rsid w:val="001062DE"/>
    <w:rsid w:val="00106881"/>
    <w:rsid w:val="00106932"/>
    <w:rsid w:val="001078D5"/>
    <w:rsid w:val="00107F49"/>
    <w:rsid w:val="00107FF5"/>
    <w:rsid w:val="0011065A"/>
    <w:rsid w:val="001110E0"/>
    <w:rsid w:val="00111464"/>
    <w:rsid w:val="00111689"/>
    <w:rsid w:val="00111D3F"/>
    <w:rsid w:val="00111EE5"/>
    <w:rsid w:val="00112E11"/>
    <w:rsid w:val="00113EE8"/>
    <w:rsid w:val="00113FC0"/>
    <w:rsid w:val="00114D5B"/>
    <w:rsid w:val="00115492"/>
    <w:rsid w:val="00115C78"/>
    <w:rsid w:val="00115E36"/>
    <w:rsid w:val="00115F78"/>
    <w:rsid w:val="00116868"/>
    <w:rsid w:val="00116C91"/>
    <w:rsid w:val="001202BF"/>
    <w:rsid w:val="0012046E"/>
    <w:rsid w:val="00120644"/>
    <w:rsid w:val="00120B73"/>
    <w:rsid w:val="00121353"/>
    <w:rsid w:val="001216AB"/>
    <w:rsid w:val="00121E3D"/>
    <w:rsid w:val="00123E36"/>
    <w:rsid w:val="00124A14"/>
    <w:rsid w:val="00124AE0"/>
    <w:rsid w:val="00125606"/>
    <w:rsid w:val="00125A15"/>
    <w:rsid w:val="00126111"/>
    <w:rsid w:val="0012637B"/>
    <w:rsid w:val="00126602"/>
    <w:rsid w:val="001276D6"/>
    <w:rsid w:val="00127CDC"/>
    <w:rsid w:val="00130335"/>
    <w:rsid w:val="001312D1"/>
    <w:rsid w:val="00132455"/>
    <w:rsid w:val="00132728"/>
    <w:rsid w:val="00132D3B"/>
    <w:rsid w:val="0013336A"/>
    <w:rsid w:val="001334CC"/>
    <w:rsid w:val="0013366E"/>
    <w:rsid w:val="001339C3"/>
    <w:rsid w:val="00133D14"/>
    <w:rsid w:val="00135023"/>
    <w:rsid w:val="00135DC9"/>
    <w:rsid w:val="00136C2F"/>
    <w:rsid w:val="00137019"/>
    <w:rsid w:val="001374F7"/>
    <w:rsid w:val="00137B10"/>
    <w:rsid w:val="00140153"/>
    <w:rsid w:val="0014075F"/>
    <w:rsid w:val="00140A7C"/>
    <w:rsid w:val="00140FF4"/>
    <w:rsid w:val="0014110A"/>
    <w:rsid w:val="00141712"/>
    <w:rsid w:val="00142165"/>
    <w:rsid w:val="0014221C"/>
    <w:rsid w:val="00142AAC"/>
    <w:rsid w:val="00142B6C"/>
    <w:rsid w:val="00142C5E"/>
    <w:rsid w:val="00142CB9"/>
    <w:rsid w:val="0014322D"/>
    <w:rsid w:val="0014379A"/>
    <w:rsid w:val="00143E76"/>
    <w:rsid w:val="00143F53"/>
    <w:rsid w:val="00144248"/>
    <w:rsid w:val="00144FFC"/>
    <w:rsid w:val="00145055"/>
    <w:rsid w:val="001452F8"/>
    <w:rsid w:val="0014688D"/>
    <w:rsid w:val="00146B5E"/>
    <w:rsid w:val="00146BDA"/>
    <w:rsid w:val="00146E1C"/>
    <w:rsid w:val="00147844"/>
    <w:rsid w:val="00147AB2"/>
    <w:rsid w:val="00147AE6"/>
    <w:rsid w:val="00147B5C"/>
    <w:rsid w:val="0015009C"/>
    <w:rsid w:val="001500E1"/>
    <w:rsid w:val="0015024B"/>
    <w:rsid w:val="001504AE"/>
    <w:rsid w:val="00150FFB"/>
    <w:rsid w:val="00151628"/>
    <w:rsid w:val="00151E5C"/>
    <w:rsid w:val="00151F16"/>
    <w:rsid w:val="001520F7"/>
    <w:rsid w:val="00152714"/>
    <w:rsid w:val="00152CEE"/>
    <w:rsid w:val="001532E2"/>
    <w:rsid w:val="00153401"/>
    <w:rsid w:val="0015347D"/>
    <w:rsid w:val="001536D6"/>
    <w:rsid w:val="00153A83"/>
    <w:rsid w:val="00153A87"/>
    <w:rsid w:val="00153D1B"/>
    <w:rsid w:val="00154513"/>
    <w:rsid w:val="00154816"/>
    <w:rsid w:val="00154985"/>
    <w:rsid w:val="0015548C"/>
    <w:rsid w:val="001559EA"/>
    <w:rsid w:val="00155B31"/>
    <w:rsid w:val="0015651F"/>
    <w:rsid w:val="00156C33"/>
    <w:rsid w:val="00157AA7"/>
    <w:rsid w:val="00160469"/>
    <w:rsid w:val="00160A62"/>
    <w:rsid w:val="00160EE2"/>
    <w:rsid w:val="00161167"/>
    <w:rsid w:val="00161506"/>
    <w:rsid w:val="00161A3C"/>
    <w:rsid w:val="0016255E"/>
    <w:rsid w:val="00162DD0"/>
    <w:rsid w:val="001632C7"/>
    <w:rsid w:val="00163595"/>
    <w:rsid w:val="00163774"/>
    <w:rsid w:val="00164704"/>
    <w:rsid w:val="00164873"/>
    <w:rsid w:val="0016490D"/>
    <w:rsid w:val="00164F81"/>
    <w:rsid w:val="0016510D"/>
    <w:rsid w:val="00165692"/>
    <w:rsid w:val="00166290"/>
    <w:rsid w:val="001666C1"/>
    <w:rsid w:val="001667D4"/>
    <w:rsid w:val="00166A57"/>
    <w:rsid w:val="00166ABB"/>
    <w:rsid w:val="00166DF9"/>
    <w:rsid w:val="00171C52"/>
    <w:rsid w:val="00172864"/>
    <w:rsid w:val="001737E6"/>
    <w:rsid w:val="001741A6"/>
    <w:rsid w:val="00174817"/>
    <w:rsid w:val="0017526E"/>
    <w:rsid w:val="00175602"/>
    <w:rsid w:val="00175822"/>
    <w:rsid w:val="00175DBE"/>
    <w:rsid w:val="001765A8"/>
    <w:rsid w:val="001768C0"/>
    <w:rsid w:val="00176C7F"/>
    <w:rsid w:val="00176EF8"/>
    <w:rsid w:val="00177073"/>
    <w:rsid w:val="001770EA"/>
    <w:rsid w:val="001778DD"/>
    <w:rsid w:val="001778FB"/>
    <w:rsid w:val="00177BCF"/>
    <w:rsid w:val="00177D6C"/>
    <w:rsid w:val="001804EB"/>
    <w:rsid w:val="00180768"/>
    <w:rsid w:val="00180DA9"/>
    <w:rsid w:val="00182E73"/>
    <w:rsid w:val="001831AF"/>
    <w:rsid w:val="001834C8"/>
    <w:rsid w:val="00183744"/>
    <w:rsid w:val="00185560"/>
    <w:rsid w:val="001860B9"/>
    <w:rsid w:val="001862E3"/>
    <w:rsid w:val="001863F8"/>
    <w:rsid w:val="001868AE"/>
    <w:rsid w:val="00186FD2"/>
    <w:rsid w:val="00187050"/>
    <w:rsid w:val="00187389"/>
    <w:rsid w:val="0019035D"/>
    <w:rsid w:val="001903FC"/>
    <w:rsid w:val="00190654"/>
    <w:rsid w:val="001906B0"/>
    <w:rsid w:val="00191042"/>
    <w:rsid w:val="001916D3"/>
    <w:rsid w:val="001928D9"/>
    <w:rsid w:val="00192AB0"/>
    <w:rsid w:val="00192CF3"/>
    <w:rsid w:val="00193000"/>
    <w:rsid w:val="0019364A"/>
    <w:rsid w:val="00193A7F"/>
    <w:rsid w:val="00193B1A"/>
    <w:rsid w:val="00193EDC"/>
    <w:rsid w:val="001941D0"/>
    <w:rsid w:val="0019433C"/>
    <w:rsid w:val="001943C4"/>
    <w:rsid w:val="001950F6"/>
    <w:rsid w:val="0019515D"/>
    <w:rsid w:val="00195325"/>
    <w:rsid w:val="00195358"/>
    <w:rsid w:val="001957AB"/>
    <w:rsid w:val="00195B87"/>
    <w:rsid w:val="00197B99"/>
    <w:rsid w:val="00197E3A"/>
    <w:rsid w:val="00197FD1"/>
    <w:rsid w:val="001A11BB"/>
    <w:rsid w:val="001A14DE"/>
    <w:rsid w:val="001A1B6E"/>
    <w:rsid w:val="001A2174"/>
    <w:rsid w:val="001A21AF"/>
    <w:rsid w:val="001A2682"/>
    <w:rsid w:val="001A2961"/>
    <w:rsid w:val="001A2D86"/>
    <w:rsid w:val="001A31F6"/>
    <w:rsid w:val="001A3C5F"/>
    <w:rsid w:val="001A422D"/>
    <w:rsid w:val="001A43D8"/>
    <w:rsid w:val="001A43FE"/>
    <w:rsid w:val="001A46BC"/>
    <w:rsid w:val="001A4BF1"/>
    <w:rsid w:val="001A4C6E"/>
    <w:rsid w:val="001A5039"/>
    <w:rsid w:val="001A52E0"/>
    <w:rsid w:val="001A54B5"/>
    <w:rsid w:val="001A6E61"/>
    <w:rsid w:val="001A7835"/>
    <w:rsid w:val="001B01D4"/>
    <w:rsid w:val="001B0BF4"/>
    <w:rsid w:val="001B1692"/>
    <w:rsid w:val="001B18B3"/>
    <w:rsid w:val="001B1F50"/>
    <w:rsid w:val="001B2035"/>
    <w:rsid w:val="001B23E0"/>
    <w:rsid w:val="001B2D2A"/>
    <w:rsid w:val="001B3BDC"/>
    <w:rsid w:val="001B42F0"/>
    <w:rsid w:val="001B4E3D"/>
    <w:rsid w:val="001B500F"/>
    <w:rsid w:val="001B5684"/>
    <w:rsid w:val="001B6515"/>
    <w:rsid w:val="001B7AD7"/>
    <w:rsid w:val="001B7DA2"/>
    <w:rsid w:val="001B7FF2"/>
    <w:rsid w:val="001C0C60"/>
    <w:rsid w:val="001C1414"/>
    <w:rsid w:val="001C1D6B"/>
    <w:rsid w:val="001C256D"/>
    <w:rsid w:val="001C25B3"/>
    <w:rsid w:val="001C25DA"/>
    <w:rsid w:val="001C2B4B"/>
    <w:rsid w:val="001C358D"/>
    <w:rsid w:val="001C35CB"/>
    <w:rsid w:val="001C3867"/>
    <w:rsid w:val="001C3ED7"/>
    <w:rsid w:val="001C4984"/>
    <w:rsid w:val="001C5482"/>
    <w:rsid w:val="001C5A17"/>
    <w:rsid w:val="001C607D"/>
    <w:rsid w:val="001C6952"/>
    <w:rsid w:val="001C7B9E"/>
    <w:rsid w:val="001D070A"/>
    <w:rsid w:val="001D0B20"/>
    <w:rsid w:val="001D0CD7"/>
    <w:rsid w:val="001D1382"/>
    <w:rsid w:val="001D22BA"/>
    <w:rsid w:val="001D396A"/>
    <w:rsid w:val="001D3E6B"/>
    <w:rsid w:val="001D44F3"/>
    <w:rsid w:val="001D45C5"/>
    <w:rsid w:val="001D47DA"/>
    <w:rsid w:val="001D4906"/>
    <w:rsid w:val="001D4C3D"/>
    <w:rsid w:val="001D4F17"/>
    <w:rsid w:val="001D504A"/>
    <w:rsid w:val="001D5E9A"/>
    <w:rsid w:val="001D5F5A"/>
    <w:rsid w:val="001D5FB2"/>
    <w:rsid w:val="001D6397"/>
    <w:rsid w:val="001D6721"/>
    <w:rsid w:val="001D6969"/>
    <w:rsid w:val="001D69B7"/>
    <w:rsid w:val="001D748C"/>
    <w:rsid w:val="001D7651"/>
    <w:rsid w:val="001D7B19"/>
    <w:rsid w:val="001E00A9"/>
    <w:rsid w:val="001E0443"/>
    <w:rsid w:val="001E053A"/>
    <w:rsid w:val="001E08D1"/>
    <w:rsid w:val="001E1AFB"/>
    <w:rsid w:val="001E1D6E"/>
    <w:rsid w:val="001E344B"/>
    <w:rsid w:val="001E37F5"/>
    <w:rsid w:val="001E390A"/>
    <w:rsid w:val="001E3FCF"/>
    <w:rsid w:val="001E4841"/>
    <w:rsid w:val="001E5390"/>
    <w:rsid w:val="001E56DD"/>
    <w:rsid w:val="001E587C"/>
    <w:rsid w:val="001E5B4D"/>
    <w:rsid w:val="001E6880"/>
    <w:rsid w:val="001E6DC6"/>
    <w:rsid w:val="001E6EC2"/>
    <w:rsid w:val="001E74D2"/>
    <w:rsid w:val="001E7728"/>
    <w:rsid w:val="001F005E"/>
    <w:rsid w:val="001F0334"/>
    <w:rsid w:val="001F03DB"/>
    <w:rsid w:val="001F04CA"/>
    <w:rsid w:val="001F1437"/>
    <w:rsid w:val="001F15AC"/>
    <w:rsid w:val="001F17AB"/>
    <w:rsid w:val="001F1A2A"/>
    <w:rsid w:val="001F2396"/>
    <w:rsid w:val="001F2C9A"/>
    <w:rsid w:val="001F3038"/>
    <w:rsid w:val="001F3D58"/>
    <w:rsid w:val="001F4FF9"/>
    <w:rsid w:val="001F5AD7"/>
    <w:rsid w:val="001F62DC"/>
    <w:rsid w:val="001F6479"/>
    <w:rsid w:val="001F72DD"/>
    <w:rsid w:val="001F7978"/>
    <w:rsid w:val="00200ADB"/>
    <w:rsid w:val="00201161"/>
    <w:rsid w:val="00201B8B"/>
    <w:rsid w:val="00203038"/>
    <w:rsid w:val="00203417"/>
    <w:rsid w:val="002035A4"/>
    <w:rsid w:val="002038EF"/>
    <w:rsid w:val="00203B5F"/>
    <w:rsid w:val="002045B2"/>
    <w:rsid w:val="00204FEA"/>
    <w:rsid w:val="00205751"/>
    <w:rsid w:val="00205D11"/>
    <w:rsid w:val="0020619E"/>
    <w:rsid w:val="0020649D"/>
    <w:rsid w:val="00206567"/>
    <w:rsid w:val="00206C7C"/>
    <w:rsid w:val="00206CF5"/>
    <w:rsid w:val="00207601"/>
    <w:rsid w:val="002079CE"/>
    <w:rsid w:val="00207D3F"/>
    <w:rsid w:val="00207DD5"/>
    <w:rsid w:val="00210B38"/>
    <w:rsid w:val="00211F69"/>
    <w:rsid w:val="00212CC2"/>
    <w:rsid w:val="002146C2"/>
    <w:rsid w:val="00214B18"/>
    <w:rsid w:val="00214C8E"/>
    <w:rsid w:val="00215229"/>
    <w:rsid w:val="0021558B"/>
    <w:rsid w:val="0021595B"/>
    <w:rsid w:val="00215A6F"/>
    <w:rsid w:val="00215EEA"/>
    <w:rsid w:val="00216365"/>
    <w:rsid w:val="00217D17"/>
    <w:rsid w:val="002205AF"/>
    <w:rsid w:val="00221211"/>
    <w:rsid w:val="002215F7"/>
    <w:rsid w:val="0022273C"/>
    <w:rsid w:val="00222BFE"/>
    <w:rsid w:val="0022329B"/>
    <w:rsid w:val="00223811"/>
    <w:rsid w:val="00223FC3"/>
    <w:rsid w:val="002247B5"/>
    <w:rsid w:val="002248DC"/>
    <w:rsid w:val="00224CA7"/>
    <w:rsid w:val="00224E3B"/>
    <w:rsid w:val="002256E1"/>
    <w:rsid w:val="0022681C"/>
    <w:rsid w:val="00226C2C"/>
    <w:rsid w:val="0022701B"/>
    <w:rsid w:val="002275C2"/>
    <w:rsid w:val="00227A32"/>
    <w:rsid w:val="0023054E"/>
    <w:rsid w:val="00230829"/>
    <w:rsid w:val="0023123A"/>
    <w:rsid w:val="002315FE"/>
    <w:rsid w:val="002317E5"/>
    <w:rsid w:val="00231A36"/>
    <w:rsid w:val="002323F2"/>
    <w:rsid w:val="002324E6"/>
    <w:rsid w:val="0023271F"/>
    <w:rsid w:val="00232CBC"/>
    <w:rsid w:val="002339D1"/>
    <w:rsid w:val="00233A17"/>
    <w:rsid w:val="00233C47"/>
    <w:rsid w:val="00233DCE"/>
    <w:rsid w:val="00234021"/>
    <w:rsid w:val="0023492A"/>
    <w:rsid w:val="00234986"/>
    <w:rsid w:val="00234B5C"/>
    <w:rsid w:val="00236113"/>
    <w:rsid w:val="00236162"/>
    <w:rsid w:val="00236171"/>
    <w:rsid w:val="002361A6"/>
    <w:rsid w:val="0023620E"/>
    <w:rsid w:val="00236257"/>
    <w:rsid w:val="002362C0"/>
    <w:rsid w:val="00236331"/>
    <w:rsid w:val="00236C47"/>
    <w:rsid w:val="00236F05"/>
    <w:rsid w:val="00237593"/>
    <w:rsid w:val="00237F6D"/>
    <w:rsid w:val="00237F94"/>
    <w:rsid w:val="00240692"/>
    <w:rsid w:val="0024072B"/>
    <w:rsid w:val="00240A8C"/>
    <w:rsid w:val="00240AC4"/>
    <w:rsid w:val="00240BB8"/>
    <w:rsid w:val="00240ED6"/>
    <w:rsid w:val="00240EE8"/>
    <w:rsid w:val="00240EF8"/>
    <w:rsid w:val="002412F5"/>
    <w:rsid w:val="00241624"/>
    <w:rsid w:val="002416E2"/>
    <w:rsid w:val="00241913"/>
    <w:rsid w:val="002419E7"/>
    <w:rsid w:val="00241C41"/>
    <w:rsid w:val="00243333"/>
    <w:rsid w:val="00243B6D"/>
    <w:rsid w:val="002446BC"/>
    <w:rsid w:val="0024490A"/>
    <w:rsid w:val="00244DEC"/>
    <w:rsid w:val="002451D0"/>
    <w:rsid w:val="00245989"/>
    <w:rsid w:val="00245B0B"/>
    <w:rsid w:val="00245CC6"/>
    <w:rsid w:val="00245D03"/>
    <w:rsid w:val="00245FD7"/>
    <w:rsid w:val="002463EE"/>
    <w:rsid w:val="0024716F"/>
    <w:rsid w:val="002474B6"/>
    <w:rsid w:val="0024791D"/>
    <w:rsid w:val="00247B6A"/>
    <w:rsid w:val="00247E51"/>
    <w:rsid w:val="002503DF"/>
    <w:rsid w:val="00250414"/>
    <w:rsid w:val="002506B7"/>
    <w:rsid w:val="002506E3"/>
    <w:rsid w:val="00250968"/>
    <w:rsid w:val="00250DAF"/>
    <w:rsid w:val="00251866"/>
    <w:rsid w:val="00251D81"/>
    <w:rsid w:val="00252460"/>
    <w:rsid w:val="00252950"/>
    <w:rsid w:val="00252E93"/>
    <w:rsid w:val="00253056"/>
    <w:rsid w:val="002534DD"/>
    <w:rsid w:val="00253932"/>
    <w:rsid w:val="00253B59"/>
    <w:rsid w:val="00254569"/>
    <w:rsid w:val="0025483E"/>
    <w:rsid w:val="00254EDC"/>
    <w:rsid w:val="00254FB0"/>
    <w:rsid w:val="00255010"/>
    <w:rsid w:val="002552AE"/>
    <w:rsid w:val="00255AD1"/>
    <w:rsid w:val="00255E23"/>
    <w:rsid w:val="00255F02"/>
    <w:rsid w:val="002562D6"/>
    <w:rsid w:val="0025663D"/>
    <w:rsid w:val="002566F6"/>
    <w:rsid w:val="00256DAD"/>
    <w:rsid w:val="00256FD8"/>
    <w:rsid w:val="002571CB"/>
    <w:rsid w:val="002571E7"/>
    <w:rsid w:val="002573E5"/>
    <w:rsid w:val="00257A6D"/>
    <w:rsid w:val="00260C56"/>
    <w:rsid w:val="00260CA9"/>
    <w:rsid w:val="002619C3"/>
    <w:rsid w:val="00261B2C"/>
    <w:rsid w:val="00261EA9"/>
    <w:rsid w:val="002628CC"/>
    <w:rsid w:val="002634A7"/>
    <w:rsid w:val="002634D0"/>
    <w:rsid w:val="00263ADA"/>
    <w:rsid w:val="00264964"/>
    <w:rsid w:val="00264F95"/>
    <w:rsid w:val="00265239"/>
    <w:rsid w:val="00265CB5"/>
    <w:rsid w:val="00266087"/>
    <w:rsid w:val="00266469"/>
    <w:rsid w:val="0026670F"/>
    <w:rsid w:val="002671D2"/>
    <w:rsid w:val="0026746E"/>
    <w:rsid w:val="00267B0D"/>
    <w:rsid w:val="00270491"/>
    <w:rsid w:val="00270CC2"/>
    <w:rsid w:val="00270FD7"/>
    <w:rsid w:val="0027108C"/>
    <w:rsid w:val="002711AE"/>
    <w:rsid w:val="00271649"/>
    <w:rsid w:val="00272383"/>
    <w:rsid w:val="0027269D"/>
    <w:rsid w:val="00272907"/>
    <w:rsid w:val="00272E6D"/>
    <w:rsid w:val="00273140"/>
    <w:rsid w:val="002731CC"/>
    <w:rsid w:val="00273D67"/>
    <w:rsid w:val="00273EA0"/>
    <w:rsid w:val="00273F65"/>
    <w:rsid w:val="00275F3F"/>
    <w:rsid w:val="0027610B"/>
    <w:rsid w:val="0027672E"/>
    <w:rsid w:val="0028015E"/>
    <w:rsid w:val="002805E3"/>
    <w:rsid w:val="00280703"/>
    <w:rsid w:val="00280D84"/>
    <w:rsid w:val="0028168C"/>
    <w:rsid w:val="00281D80"/>
    <w:rsid w:val="002830B4"/>
    <w:rsid w:val="0028337A"/>
    <w:rsid w:val="002836BD"/>
    <w:rsid w:val="002844C4"/>
    <w:rsid w:val="0028472A"/>
    <w:rsid w:val="00285569"/>
    <w:rsid w:val="002862C2"/>
    <w:rsid w:val="00286393"/>
    <w:rsid w:val="00286C50"/>
    <w:rsid w:val="00287925"/>
    <w:rsid w:val="00287A04"/>
    <w:rsid w:val="002900EB"/>
    <w:rsid w:val="002902D4"/>
    <w:rsid w:val="0029039B"/>
    <w:rsid w:val="00291073"/>
    <w:rsid w:val="002913E9"/>
    <w:rsid w:val="00291430"/>
    <w:rsid w:val="002915F8"/>
    <w:rsid w:val="0029171A"/>
    <w:rsid w:val="00291918"/>
    <w:rsid w:val="00291B6C"/>
    <w:rsid w:val="00292008"/>
    <w:rsid w:val="002923C7"/>
    <w:rsid w:val="0029246C"/>
    <w:rsid w:val="00292845"/>
    <w:rsid w:val="0029295E"/>
    <w:rsid w:val="00292B0D"/>
    <w:rsid w:val="002930F3"/>
    <w:rsid w:val="0029353D"/>
    <w:rsid w:val="002936FF"/>
    <w:rsid w:val="00293C22"/>
    <w:rsid w:val="00293CFD"/>
    <w:rsid w:val="00294B89"/>
    <w:rsid w:val="00295424"/>
    <w:rsid w:val="00295641"/>
    <w:rsid w:val="00296CE7"/>
    <w:rsid w:val="00297B59"/>
    <w:rsid w:val="002A0276"/>
    <w:rsid w:val="002A074D"/>
    <w:rsid w:val="002A1743"/>
    <w:rsid w:val="002A2094"/>
    <w:rsid w:val="002A20CD"/>
    <w:rsid w:val="002A2F7E"/>
    <w:rsid w:val="002A33B4"/>
    <w:rsid w:val="002A3E95"/>
    <w:rsid w:val="002A4638"/>
    <w:rsid w:val="002A468C"/>
    <w:rsid w:val="002A4AB1"/>
    <w:rsid w:val="002A4FB0"/>
    <w:rsid w:val="002A52A3"/>
    <w:rsid w:val="002A586A"/>
    <w:rsid w:val="002A5908"/>
    <w:rsid w:val="002A6183"/>
    <w:rsid w:val="002A69EC"/>
    <w:rsid w:val="002A78E5"/>
    <w:rsid w:val="002B007C"/>
    <w:rsid w:val="002B041E"/>
    <w:rsid w:val="002B0918"/>
    <w:rsid w:val="002B0C55"/>
    <w:rsid w:val="002B1604"/>
    <w:rsid w:val="002B19D8"/>
    <w:rsid w:val="002B19E6"/>
    <w:rsid w:val="002B2064"/>
    <w:rsid w:val="002B21C3"/>
    <w:rsid w:val="002B2BF0"/>
    <w:rsid w:val="002B2DAB"/>
    <w:rsid w:val="002B40B2"/>
    <w:rsid w:val="002B45F7"/>
    <w:rsid w:val="002B4C0F"/>
    <w:rsid w:val="002B5109"/>
    <w:rsid w:val="002B53B8"/>
    <w:rsid w:val="002B5542"/>
    <w:rsid w:val="002B5653"/>
    <w:rsid w:val="002B5C8B"/>
    <w:rsid w:val="002B62AA"/>
    <w:rsid w:val="002B62EC"/>
    <w:rsid w:val="002B6CC7"/>
    <w:rsid w:val="002B7108"/>
    <w:rsid w:val="002B732D"/>
    <w:rsid w:val="002B734B"/>
    <w:rsid w:val="002C01EE"/>
    <w:rsid w:val="002C2551"/>
    <w:rsid w:val="002C264D"/>
    <w:rsid w:val="002C2958"/>
    <w:rsid w:val="002C2BAC"/>
    <w:rsid w:val="002C2BF5"/>
    <w:rsid w:val="002C2F7B"/>
    <w:rsid w:val="002C301E"/>
    <w:rsid w:val="002C3885"/>
    <w:rsid w:val="002C3A7E"/>
    <w:rsid w:val="002C3C75"/>
    <w:rsid w:val="002C4A96"/>
    <w:rsid w:val="002C4C8F"/>
    <w:rsid w:val="002C5150"/>
    <w:rsid w:val="002C531D"/>
    <w:rsid w:val="002C5461"/>
    <w:rsid w:val="002C6A11"/>
    <w:rsid w:val="002C705E"/>
    <w:rsid w:val="002C70D8"/>
    <w:rsid w:val="002C7C00"/>
    <w:rsid w:val="002C7D25"/>
    <w:rsid w:val="002D0AFC"/>
    <w:rsid w:val="002D0C83"/>
    <w:rsid w:val="002D0EE5"/>
    <w:rsid w:val="002D118B"/>
    <w:rsid w:val="002D1319"/>
    <w:rsid w:val="002D152C"/>
    <w:rsid w:val="002D1B01"/>
    <w:rsid w:val="002D1C7C"/>
    <w:rsid w:val="002D3F85"/>
    <w:rsid w:val="002D4426"/>
    <w:rsid w:val="002D45E2"/>
    <w:rsid w:val="002D4874"/>
    <w:rsid w:val="002D4884"/>
    <w:rsid w:val="002D5AE0"/>
    <w:rsid w:val="002D5F5E"/>
    <w:rsid w:val="002D6493"/>
    <w:rsid w:val="002D6603"/>
    <w:rsid w:val="002D6C9C"/>
    <w:rsid w:val="002D71E0"/>
    <w:rsid w:val="002D74A9"/>
    <w:rsid w:val="002D79E9"/>
    <w:rsid w:val="002D7A25"/>
    <w:rsid w:val="002D7A2E"/>
    <w:rsid w:val="002D7BAD"/>
    <w:rsid w:val="002D7EBA"/>
    <w:rsid w:val="002E182F"/>
    <w:rsid w:val="002E36FD"/>
    <w:rsid w:val="002E3E2B"/>
    <w:rsid w:val="002E413D"/>
    <w:rsid w:val="002E46B7"/>
    <w:rsid w:val="002E4CED"/>
    <w:rsid w:val="002E5222"/>
    <w:rsid w:val="002E5CE5"/>
    <w:rsid w:val="002E60D1"/>
    <w:rsid w:val="002E66C6"/>
    <w:rsid w:val="002E6C42"/>
    <w:rsid w:val="002E6C86"/>
    <w:rsid w:val="002E6CCB"/>
    <w:rsid w:val="002E6CD4"/>
    <w:rsid w:val="002F056B"/>
    <w:rsid w:val="002F0860"/>
    <w:rsid w:val="002F292F"/>
    <w:rsid w:val="002F2BC8"/>
    <w:rsid w:val="002F3142"/>
    <w:rsid w:val="002F3F97"/>
    <w:rsid w:val="002F5F3B"/>
    <w:rsid w:val="002F6441"/>
    <w:rsid w:val="002F6ABF"/>
    <w:rsid w:val="002F6F09"/>
    <w:rsid w:val="002F780A"/>
    <w:rsid w:val="002F7F23"/>
    <w:rsid w:val="00300322"/>
    <w:rsid w:val="003010EF"/>
    <w:rsid w:val="0030142D"/>
    <w:rsid w:val="00301470"/>
    <w:rsid w:val="00302A23"/>
    <w:rsid w:val="00302E67"/>
    <w:rsid w:val="00303ACD"/>
    <w:rsid w:val="00303CF4"/>
    <w:rsid w:val="00303DF6"/>
    <w:rsid w:val="003051AF"/>
    <w:rsid w:val="00305B2F"/>
    <w:rsid w:val="0030609E"/>
    <w:rsid w:val="00306C6E"/>
    <w:rsid w:val="003072F6"/>
    <w:rsid w:val="0030754C"/>
    <w:rsid w:val="00307715"/>
    <w:rsid w:val="00310ADD"/>
    <w:rsid w:val="00310B4B"/>
    <w:rsid w:val="00312B72"/>
    <w:rsid w:val="00313268"/>
    <w:rsid w:val="003139BE"/>
    <w:rsid w:val="0031407B"/>
    <w:rsid w:val="0031541C"/>
    <w:rsid w:val="003159EC"/>
    <w:rsid w:val="00316314"/>
    <w:rsid w:val="00316827"/>
    <w:rsid w:val="00316F93"/>
    <w:rsid w:val="003202EC"/>
    <w:rsid w:val="00320434"/>
    <w:rsid w:val="00320710"/>
    <w:rsid w:val="00320A64"/>
    <w:rsid w:val="00320FB6"/>
    <w:rsid w:val="0032134B"/>
    <w:rsid w:val="003223FB"/>
    <w:rsid w:val="003227C0"/>
    <w:rsid w:val="003227C6"/>
    <w:rsid w:val="00322F7A"/>
    <w:rsid w:val="00324846"/>
    <w:rsid w:val="00324A60"/>
    <w:rsid w:val="00324B14"/>
    <w:rsid w:val="00324E82"/>
    <w:rsid w:val="0032555B"/>
    <w:rsid w:val="003256B3"/>
    <w:rsid w:val="00325701"/>
    <w:rsid w:val="00326675"/>
    <w:rsid w:val="00326E30"/>
    <w:rsid w:val="003271C8"/>
    <w:rsid w:val="0032744F"/>
    <w:rsid w:val="0032750C"/>
    <w:rsid w:val="00327A0E"/>
    <w:rsid w:val="003310B4"/>
    <w:rsid w:val="003310B5"/>
    <w:rsid w:val="003318BB"/>
    <w:rsid w:val="00331B04"/>
    <w:rsid w:val="00332B2D"/>
    <w:rsid w:val="00333016"/>
    <w:rsid w:val="00333725"/>
    <w:rsid w:val="0033409C"/>
    <w:rsid w:val="00334161"/>
    <w:rsid w:val="003342A7"/>
    <w:rsid w:val="00334369"/>
    <w:rsid w:val="0033504F"/>
    <w:rsid w:val="00335145"/>
    <w:rsid w:val="0033553C"/>
    <w:rsid w:val="00335C9D"/>
    <w:rsid w:val="003363AC"/>
    <w:rsid w:val="00336813"/>
    <w:rsid w:val="00336C19"/>
    <w:rsid w:val="003372EE"/>
    <w:rsid w:val="00337309"/>
    <w:rsid w:val="00337882"/>
    <w:rsid w:val="003378DE"/>
    <w:rsid w:val="00340BE6"/>
    <w:rsid w:val="00340DF4"/>
    <w:rsid w:val="00341E70"/>
    <w:rsid w:val="00341EA8"/>
    <w:rsid w:val="003424B0"/>
    <w:rsid w:val="00342675"/>
    <w:rsid w:val="003427D2"/>
    <w:rsid w:val="00342929"/>
    <w:rsid w:val="00343196"/>
    <w:rsid w:val="00344148"/>
    <w:rsid w:val="00344372"/>
    <w:rsid w:val="00346113"/>
    <w:rsid w:val="0034659E"/>
    <w:rsid w:val="003465B6"/>
    <w:rsid w:val="00346683"/>
    <w:rsid w:val="003467C2"/>
    <w:rsid w:val="003471E3"/>
    <w:rsid w:val="003501E8"/>
    <w:rsid w:val="0035041D"/>
    <w:rsid w:val="003506ED"/>
    <w:rsid w:val="003509C4"/>
    <w:rsid w:val="00350C1E"/>
    <w:rsid w:val="0035109C"/>
    <w:rsid w:val="003518D8"/>
    <w:rsid w:val="00351954"/>
    <w:rsid w:val="00351EA6"/>
    <w:rsid w:val="003522C0"/>
    <w:rsid w:val="00352746"/>
    <w:rsid w:val="00354ECB"/>
    <w:rsid w:val="003555BB"/>
    <w:rsid w:val="003556DB"/>
    <w:rsid w:val="00356380"/>
    <w:rsid w:val="00356521"/>
    <w:rsid w:val="00356749"/>
    <w:rsid w:val="00356E48"/>
    <w:rsid w:val="003573CB"/>
    <w:rsid w:val="003576E0"/>
    <w:rsid w:val="00362E15"/>
    <w:rsid w:val="00363032"/>
    <w:rsid w:val="0036318A"/>
    <w:rsid w:val="003635CE"/>
    <w:rsid w:val="0036410A"/>
    <w:rsid w:val="00364371"/>
    <w:rsid w:val="003649DB"/>
    <w:rsid w:val="00365834"/>
    <w:rsid w:val="00365BEC"/>
    <w:rsid w:val="00365C8E"/>
    <w:rsid w:val="00365D7E"/>
    <w:rsid w:val="0036714B"/>
    <w:rsid w:val="003672B8"/>
    <w:rsid w:val="003675FE"/>
    <w:rsid w:val="00367742"/>
    <w:rsid w:val="00367A51"/>
    <w:rsid w:val="00370019"/>
    <w:rsid w:val="003707CB"/>
    <w:rsid w:val="00370E43"/>
    <w:rsid w:val="00370EDE"/>
    <w:rsid w:val="003723F1"/>
    <w:rsid w:val="0037259B"/>
    <w:rsid w:val="003729A6"/>
    <w:rsid w:val="0037324E"/>
    <w:rsid w:val="003739FC"/>
    <w:rsid w:val="00374C09"/>
    <w:rsid w:val="0037506C"/>
    <w:rsid w:val="00375AFA"/>
    <w:rsid w:val="00375B5B"/>
    <w:rsid w:val="00375B97"/>
    <w:rsid w:val="00375BA3"/>
    <w:rsid w:val="00375CCC"/>
    <w:rsid w:val="00375D9B"/>
    <w:rsid w:val="00375F49"/>
    <w:rsid w:val="00380FCF"/>
    <w:rsid w:val="0038104A"/>
    <w:rsid w:val="00381148"/>
    <w:rsid w:val="0038115C"/>
    <w:rsid w:val="00381832"/>
    <w:rsid w:val="003824D2"/>
    <w:rsid w:val="003827FC"/>
    <w:rsid w:val="00383C62"/>
    <w:rsid w:val="00383DF3"/>
    <w:rsid w:val="00384375"/>
    <w:rsid w:val="00384AC5"/>
    <w:rsid w:val="00384B53"/>
    <w:rsid w:val="00384C3C"/>
    <w:rsid w:val="00384EC9"/>
    <w:rsid w:val="00384F9F"/>
    <w:rsid w:val="003853FE"/>
    <w:rsid w:val="003861CF"/>
    <w:rsid w:val="0038652B"/>
    <w:rsid w:val="00386963"/>
    <w:rsid w:val="00387165"/>
    <w:rsid w:val="003875A3"/>
    <w:rsid w:val="00390D08"/>
    <w:rsid w:val="0039208B"/>
    <w:rsid w:val="00392AD8"/>
    <w:rsid w:val="003933ED"/>
    <w:rsid w:val="00393D6E"/>
    <w:rsid w:val="00395334"/>
    <w:rsid w:val="003970C2"/>
    <w:rsid w:val="00397B1F"/>
    <w:rsid w:val="00397B89"/>
    <w:rsid w:val="003A034D"/>
    <w:rsid w:val="003A07FD"/>
    <w:rsid w:val="003A09D6"/>
    <w:rsid w:val="003A11DF"/>
    <w:rsid w:val="003A17CE"/>
    <w:rsid w:val="003A1B84"/>
    <w:rsid w:val="003A1BFD"/>
    <w:rsid w:val="003A1D97"/>
    <w:rsid w:val="003A31B8"/>
    <w:rsid w:val="003A335E"/>
    <w:rsid w:val="003A33E0"/>
    <w:rsid w:val="003A35C7"/>
    <w:rsid w:val="003A4BA7"/>
    <w:rsid w:val="003A4CBF"/>
    <w:rsid w:val="003A50B8"/>
    <w:rsid w:val="003A530F"/>
    <w:rsid w:val="003A598A"/>
    <w:rsid w:val="003A5DD1"/>
    <w:rsid w:val="003A69BC"/>
    <w:rsid w:val="003A6D0B"/>
    <w:rsid w:val="003A7011"/>
    <w:rsid w:val="003A7501"/>
    <w:rsid w:val="003A7800"/>
    <w:rsid w:val="003A788D"/>
    <w:rsid w:val="003B0086"/>
    <w:rsid w:val="003B01CD"/>
    <w:rsid w:val="003B01DC"/>
    <w:rsid w:val="003B0284"/>
    <w:rsid w:val="003B0352"/>
    <w:rsid w:val="003B0513"/>
    <w:rsid w:val="003B0569"/>
    <w:rsid w:val="003B0ABF"/>
    <w:rsid w:val="003B1389"/>
    <w:rsid w:val="003B13BC"/>
    <w:rsid w:val="003B2647"/>
    <w:rsid w:val="003B354D"/>
    <w:rsid w:val="003B3A46"/>
    <w:rsid w:val="003B436B"/>
    <w:rsid w:val="003B4390"/>
    <w:rsid w:val="003B4A0F"/>
    <w:rsid w:val="003B53EE"/>
    <w:rsid w:val="003B5C11"/>
    <w:rsid w:val="003B5DBC"/>
    <w:rsid w:val="003B6002"/>
    <w:rsid w:val="003B61C2"/>
    <w:rsid w:val="003B6A4D"/>
    <w:rsid w:val="003B7041"/>
    <w:rsid w:val="003C0A25"/>
    <w:rsid w:val="003C19B7"/>
    <w:rsid w:val="003C1BA6"/>
    <w:rsid w:val="003C2858"/>
    <w:rsid w:val="003C52EB"/>
    <w:rsid w:val="003C555C"/>
    <w:rsid w:val="003C5BC8"/>
    <w:rsid w:val="003C5CC1"/>
    <w:rsid w:val="003C64CA"/>
    <w:rsid w:val="003C696A"/>
    <w:rsid w:val="003C6DF7"/>
    <w:rsid w:val="003C73F6"/>
    <w:rsid w:val="003C77E3"/>
    <w:rsid w:val="003C78DE"/>
    <w:rsid w:val="003D2161"/>
    <w:rsid w:val="003D22C5"/>
    <w:rsid w:val="003D2D23"/>
    <w:rsid w:val="003D332D"/>
    <w:rsid w:val="003D3E11"/>
    <w:rsid w:val="003D3F68"/>
    <w:rsid w:val="003D46A8"/>
    <w:rsid w:val="003D46B9"/>
    <w:rsid w:val="003D4975"/>
    <w:rsid w:val="003D4C6B"/>
    <w:rsid w:val="003D4F88"/>
    <w:rsid w:val="003D51E9"/>
    <w:rsid w:val="003D51F7"/>
    <w:rsid w:val="003D53C7"/>
    <w:rsid w:val="003D54E4"/>
    <w:rsid w:val="003D5602"/>
    <w:rsid w:val="003D5A87"/>
    <w:rsid w:val="003D6814"/>
    <w:rsid w:val="003D69BE"/>
    <w:rsid w:val="003D6BF3"/>
    <w:rsid w:val="003D6C97"/>
    <w:rsid w:val="003D7E4C"/>
    <w:rsid w:val="003E0283"/>
    <w:rsid w:val="003E04F7"/>
    <w:rsid w:val="003E0C3E"/>
    <w:rsid w:val="003E0C69"/>
    <w:rsid w:val="003E18B6"/>
    <w:rsid w:val="003E362C"/>
    <w:rsid w:val="003E4938"/>
    <w:rsid w:val="003E5031"/>
    <w:rsid w:val="003E53CB"/>
    <w:rsid w:val="003E5CEC"/>
    <w:rsid w:val="003E5DDD"/>
    <w:rsid w:val="003E5EA1"/>
    <w:rsid w:val="003E6066"/>
    <w:rsid w:val="003E6902"/>
    <w:rsid w:val="003E7203"/>
    <w:rsid w:val="003E73F2"/>
    <w:rsid w:val="003E777A"/>
    <w:rsid w:val="003E7AE3"/>
    <w:rsid w:val="003F0393"/>
    <w:rsid w:val="003F1043"/>
    <w:rsid w:val="003F1467"/>
    <w:rsid w:val="003F235A"/>
    <w:rsid w:val="003F337D"/>
    <w:rsid w:val="003F40EC"/>
    <w:rsid w:val="003F4166"/>
    <w:rsid w:val="003F4750"/>
    <w:rsid w:val="003F4D87"/>
    <w:rsid w:val="003F56A2"/>
    <w:rsid w:val="003F5919"/>
    <w:rsid w:val="003F5A02"/>
    <w:rsid w:val="003F73BA"/>
    <w:rsid w:val="003F790D"/>
    <w:rsid w:val="003F7A85"/>
    <w:rsid w:val="00400C23"/>
    <w:rsid w:val="00401565"/>
    <w:rsid w:val="004031FE"/>
    <w:rsid w:val="00403660"/>
    <w:rsid w:val="0040366D"/>
    <w:rsid w:val="00403CA6"/>
    <w:rsid w:val="00403ECB"/>
    <w:rsid w:val="00404B00"/>
    <w:rsid w:val="00405998"/>
    <w:rsid w:val="0040677A"/>
    <w:rsid w:val="00407A2D"/>
    <w:rsid w:val="0041204E"/>
    <w:rsid w:val="00412DBC"/>
    <w:rsid w:val="004135A4"/>
    <w:rsid w:val="0041360B"/>
    <w:rsid w:val="004136F6"/>
    <w:rsid w:val="004137B5"/>
    <w:rsid w:val="004141F8"/>
    <w:rsid w:val="0041492D"/>
    <w:rsid w:val="0041616D"/>
    <w:rsid w:val="00416537"/>
    <w:rsid w:val="00416717"/>
    <w:rsid w:val="00416A96"/>
    <w:rsid w:val="0041722D"/>
    <w:rsid w:val="00417240"/>
    <w:rsid w:val="00417688"/>
    <w:rsid w:val="0042099F"/>
    <w:rsid w:val="0042124F"/>
    <w:rsid w:val="004212CD"/>
    <w:rsid w:val="00421419"/>
    <w:rsid w:val="00421C41"/>
    <w:rsid w:val="0042248E"/>
    <w:rsid w:val="004227DA"/>
    <w:rsid w:val="0042334F"/>
    <w:rsid w:val="0042362F"/>
    <w:rsid w:val="00423733"/>
    <w:rsid w:val="004240F8"/>
    <w:rsid w:val="0042420B"/>
    <w:rsid w:val="00424755"/>
    <w:rsid w:val="00424A99"/>
    <w:rsid w:val="00424F9B"/>
    <w:rsid w:val="00425CEA"/>
    <w:rsid w:val="0042605E"/>
    <w:rsid w:val="0042631F"/>
    <w:rsid w:val="00427011"/>
    <w:rsid w:val="00427179"/>
    <w:rsid w:val="0042745D"/>
    <w:rsid w:val="00427661"/>
    <w:rsid w:val="00427DBE"/>
    <w:rsid w:val="00430126"/>
    <w:rsid w:val="00430A47"/>
    <w:rsid w:val="004314D5"/>
    <w:rsid w:val="004319BB"/>
    <w:rsid w:val="00431D61"/>
    <w:rsid w:val="00433BE7"/>
    <w:rsid w:val="00433E80"/>
    <w:rsid w:val="00434959"/>
    <w:rsid w:val="00434A0F"/>
    <w:rsid w:val="00434B00"/>
    <w:rsid w:val="0043568E"/>
    <w:rsid w:val="00435908"/>
    <w:rsid w:val="004363C3"/>
    <w:rsid w:val="00436C07"/>
    <w:rsid w:val="0043772C"/>
    <w:rsid w:val="00437C5B"/>
    <w:rsid w:val="00437DFD"/>
    <w:rsid w:val="00440758"/>
    <w:rsid w:val="00440AA8"/>
    <w:rsid w:val="00441B51"/>
    <w:rsid w:val="00442CE6"/>
    <w:rsid w:val="00443E4F"/>
    <w:rsid w:val="004448B2"/>
    <w:rsid w:val="00444F3E"/>
    <w:rsid w:val="00444F92"/>
    <w:rsid w:val="0044557D"/>
    <w:rsid w:val="00446784"/>
    <w:rsid w:val="004468D6"/>
    <w:rsid w:val="0044695D"/>
    <w:rsid w:val="00446BB8"/>
    <w:rsid w:val="00446F49"/>
    <w:rsid w:val="00447664"/>
    <w:rsid w:val="00450125"/>
    <w:rsid w:val="004506E4"/>
    <w:rsid w:val="004506E6"/>
    <w:rsid w:val="004509C4"/>
    <w:rsid w:val="00450BA7"/>
    <w:rsid w:val="00450BB7"/>
    <w:rsid w:val="00451332"/>
    <w:rsid w:val="004516C4"/>
    <w:rsid w:val="00452008"/>
    <w:rsid w:val="0045249C"/>
    <w:rsid w:val="00453889"/>
    <w:rsid w:val="004543EB"/>
    <w:rsid w:val="00454822"/>
    <w:rsid w:val="00454CD1"/>
    <w:rsid w:val="00454DE9"/>
    <w:rsid w:val="00455195"/>
    <w:rsid w:val="004557F6"/>
    <w:rsid w:val="0045797B"/>
    <w:rsid w:val="00457DF8"/>
    <w:rsid w:val="00460ABB"/>
    <w:rsid w:val="00461DCD"/>
    <w:rsid w:val="0046202F"/>
    <w:rsid w:val="0046280A"/>
    <w:rsid w:val="00462B90"/>
    <w:rsid w:val="00462D34"/>
    <w:rsid w:val="00462E60"/>
    <w:rsid w:val="00463E08"/>
    <w:rsid w:val="00464633"/>
    <w:rsid w:val="004648F5"/>
    <w:rsid w:val="0046537B"/>
    <w:rsid w:val="00465DB3"/>
    <w:rsid w:val="00465F34"/>
    <w:rsid w:val="004667AD"/>
    <w:rsid w:val="004669AD"/>
    <w:rsid w:val="0046701E"/>
    <w:rsid w:val="00467A55"/>
    <w:rsid w:val="0047095E"/>
    <w:rsid w:val="00470AF5"/>
    <w:rsid w:val="00470B4E"/>
    <w:rsid w:val="00470BC7"/>
    <w:rsid w:val="00470FB9"/>
    <w:rsid w:val="0047196D"/>
    <w:rsid w:val="00471C99"/>
    <w:rsid w:val="00471CAE"/>
    <w:rsid w:val="00471CD6"/>
    <w:rsid w:val="00472612"/>
    <w:rsid w:val="00473669"/>
    <w:rsid w:val="00474027"/>
    <w:rsid w:val="00474777"/>
    <w:rsid w:val="004757CE"/>
    <w:rsid w:val="0047596D"/>
    <w:rsid w:val="004765AE"/>
    <w:rsid w:val="004770F7"/>
    <w:rsid w:val="00477F95"/>
    <w:rsid w:val="004801AD"/>
    <w:rsid w:val="00480BE7"/>
    <w:rsid w:val="00480DE6"/>
    <w:rsid w:val="00480E0F"/>
    <w:rsid w:val="00481284"/>
    <w:rsid w:val="0048173C"/>
    <w:rsid w:val="00481985"/>
    <w:rsid w:val="004824DC"/>
    <w:rsid w:val="00482D3D"/>
    <w:rsid w:val="00483DED"/>
    <w:rsid w:val="004849C1"/>
    <w:rsid w:val="00484CE5"/>
    <w:rsid w:val="00486929"/>
    <w:rsid w:val="004879C5"/>
    <w:rsid w:val="00487C17"/>
    <w:rsid w:val="00487D98"/>
    <w:rsid w:val="00487F4E"/>
    <w:rsid w:val="00490D05"/>
    <w:rsid w:val="00491D17"/>
    <w:rsid w:val="00491D9E"/>
    <w:rsid w:val="00491EFE"/>
    <w:rsid w:val="00491F1E"/>
    <w:rsid w:val="00492318"/>
    <w:rsid w:val="004923C6"/>
    <w:rsid w:val="0049334F"/>
    <w:rsid w:val="0049373E"/>
    <w:rsid w:val="00493F61"/>
    <w:rsid w:val="0049458E"/>
    <w:rsid w:val="00494F75"/>
    <w:rsid w:val="00495163"/>
    <w:rsid w:val="004958A4"/>
    <w:rsid w:val="00495A25"/>
    <w:rsid w:val="00495A7B"/>
    <w:rsid w:val="00496301"/>
    <w:rsid w:val="00496524"/>
    <w:rsid w:val="00496D1C"/>
    <w:rsid w:val="0049730A"/>
    <w:rsid w:val="0049731D"/>
    <w:rsid w:val="0049765B"/>
    <w:rsid w:val="00497AD7"/>
    <w:rsid w:val="004A1729"/>
    <w:rsid w:val="004A17C0"/>
    <w:rsid w:val="004A2790"/>
    <w:rsid w:val="004A2D9C"/>
    <w:rsid w:val="004A300E"/>
    <w:rsid w:val="004A3BC0"/>
    <w:rsid w:val="004A43BE"/>
    <w:rsid w:val="004A4573"/>
    <w:rsid w:val="004A4BAD"/>
    <w:rsid w:val="004A50DD"/>
    <w:rsid w:val="004A5B04"/>
    <w:rsid w:val="004A677B"/>
    <w:rsid w:val="004A777D"/>
    <w:rsid w:val="004A77F5"/>
    <w:rsid w:val="004A791E"/>
    <w:rsid w:val="004A7EA5"/>
    <w:rsid w:val="004B110E"/>
    <w:rsid w:val="004B13C4"/>
    <w:rsid w:val="004B1F42"/>
    <w:rsid w:val="004B2205"/>
    <w:rsid w:val="004B2240"/>
    <w:rsid w:val="004B27E9"/>
    <w:rsid w:val="004B2AA0"/>
    <w:rsid w:val="004B3DB8"/>
    <w:rsid w:val="004B51B8"/>
    <w:rsid w:val="004B6616"/>
    <w:rsid w:val="004B6D8A"/>
    <w:rsid w:val="004B73B6"/>
    <w:rsid w:val="004B7DD4"/>
    <w:rsid w:val="004C0659"/>
    <w:rsid w:val="004C0843"/>
    <w:rsid w:val="004C0CEA"/>
    <w:rsid w:val="004C205C"/>
    <w:rsid w:val="004C22E0"/>
    <w:rsid w:val="004C2944"/>
    <w:rsid w:val="004C362D"/>
    <w:rsid w:val="004C3947"/>
    <w:rsid w:val="004C551D"/>
    <w:rsid w:val="004C5761"/>
    <w:rsid w:val="004C5856"/>
    <w:rsid w:val="004C5A1B"/>
    <w:rsid w:val="004C63C3"/>
    <w:rsid w:val="004C63EE"/>
    <w:rsid w:val="004C654B"/>
    <w:rsid w:val="004C7764"/>
    <w:rsid w:val="004C7806"/>
    <w:rsid w:val="004D06E0"/>
    <w:rsid w:val="004D0905"/>
    <w:rsid w:val="004D0A7F"/>
    <w:rsid w:val="004D0C1D"/>
    <w:rsid w:val="004D0D22"/>
    <w:rsid w:val="004D0E0F"/>
    <w:rsid w:val="004D0FAD"/>
    <w:rsid w:val="004D1051"/>
    <w:rsid w:val="004D3D2C"/>
    <w:rsid w:val="004D3EB6"/>
    <w:rsid w:val="004D5849"/>
    <w:rsid w:val="004D5FCC"/>
    <w:rsid w:val="004D6371"/>
    <w:rsid w:val="004D695D"/>
    <w:rsid w:val="004D755C"/>
    <w:rsid w:val="004D79B7"/>
    <w:rsid w:val="004E0A77"/>
    <w:rsid w:val="004E0BBF"/>
    <w:rsid w:val="004E1263"/>
    <w:rsid w:val="004E18A3"/>
    <w:rsid w:val="004E1D18"/>
    <w:rsid w:val="004E26EC"/>
    <w:rsid w:val="004E2FD0"/>
    <w:rsid w:val="004E31DB"/>
    <w:rsid w:val="004E3267"/>
    <w:rsid w:val="004E33F8"/>
    <w:rsid w:val="004E35C5"/>
    <w:rsid w:val="004E392D"/>
    <w:rsid w:val="004E3AE5"/>
    <w:rsid w:val="004E3C83"/>
    <w:rsid w:val="004E4BCE"/>
    <w:rsid w:val="004E4C64"/>
    <w:rsid w:val="004E4D13"/>
    <w:rsid w:val="004E5160"/>
    <w:rsid w:val="004E61C7"/>
    <w:rsid w:val="004E6213"/>
    <w:rsid w:val="004E630B"/>
    <w:rsid w:val="004E67FC"/>
    <w:rsid w:val="004E7384"/>
    <w:rsid w:val="004E7F0B"/>
    <w:rsid w:val="004E7F15"/>
    <w:rsid w:val="004E7F1D"/>
    <w:rsid w:val="004F0C52"/>
    <w:rsid w:val="004F12E2"/>
    <w:rsid w:val="004F1664"/>
    <w:rsid w:val="004F21D0"/>
    <w:rsid w:val="004F28F9"/>
    <w:rsid w:val="004F3280"/>
    <w:rsid w:val="004F3D63"/>
    <w:rsid w:val="004F40F3"/>
    <w:rsid w:val="004F43C1"/>
    <w:rsid w:val="004F4AB2"/>
    <w:rsid w:val="004F5AAA"/>
    <w:rsid w:val="004F5F31"/>
    <w:rsid w:val="004F6141"/>
    <w:rsid w:val="004F6B8C"/>
    <w:rsid w:val="004F6CC7"/>
    <w:rsid w:val="004F6FEF"/>
    <w:rsid w:val="004F7200"/>
    <w:rsid w:val="004F74BA"/>
    <w:rsid w:val="004F7732"/>
    <w:rsid w:val="004F78D1"/>
    <w:rsid w:val="00500949"/>
    <w:rsid w:val="0050099E"/>
    <w:rsid w:val="00500CD1"/>
    <w:rsid w:val="00501E1C"/>
    <w:rsid w:val="00501E2C"/>
    <w:rsid w:val="00502612"/>
    <w:rsid w:val="00502D17"/>
    <w:rsid w:val="005030D8"/>
    <w:rsid w:val="00503B29"/>
    <w:rsid w:val="00503DC5"/>
    <w:rsid w:val="0050402B"/>
    <w:rsid w:val="005044DC"/>
    <w:rsid w:val="0050519E"/>
    <w:rsid w:val="005055A0"/>
    <w:rsid w:val="00505CBD"/>
    <w:rsid w:val="0050649F"/>
    <w:rsid w:val="005064B0"/>
    <w:rsid w:val="00506C1D"/>
    <w:rsid w:val="0050750E"/>
    <w:rsid w:val="00507874"/>
    <w:rsid w:val="00510619"/>
    <w:rsid w:val="0051074D"/>
    <w:rsid w:val="005115F3"/>
    <w:rsid w:val="005121CC"/>
    <w:rsid w:val="00512BA4"/>
    <w:rsid w:val="0051355E"/>
    <w:rsid w:val="005136FF"/>
    <w:rsid w:val="00513794"/>
    <w:rsid w:val="00513FED"/>
    <w:rsid w:val="00514208"/>
    <w:rsid w:val="00514460"/>
    <w:rsid w:val="00514987"/>
    <w:rsid w:val="00514D17"/>
    <w:rsid w:val="00514F69"/>
    <w:rsid w:val="00514FBD"/>
    <w:rsid w:val="00515810"/>
    <w:rsid w:val="0051587F"/>
    <w:rsid w:val="0051597A"/>
    <w:rsid w:val="00515B64"/>
    <w:rsid w:val="00516018"/>
    <w:rsid w:val="00516377"/>
    <w:rsid w:val="00516777"/>
    <w:rsid w:val="0051687F"/>
    <w:rsid w:val="005174E3"/>
    <w:rsid w:val="00517C3C"/>
    <w:rsid w:val="00517CDA"/>
    <w:rsid w:val="00517FA8"/>
    <w:rsid w:val="005201D9"/>
    <w:rsid w:val="005204C2"/>
    <w:rsid w:val="00520726"/>
    <w:rsid w:val="00520B50"/>
    <w:rsid w:val="00521065"/>
    <w:rsid w:val="00521CD2"/>
    <w:rsid w:val="005223F1"/>
    <w:rsid w:val="00522421"/>
    <w:rsid w:val="00522655"/>
    <w:rsid w:val="00522B5E"/>
    <w:rsid w:val="00522BAB"/>
    <w:rsid w:val="005245D6"/>
    <w:rsid w:val="005248BF"/>
    <w:rsid w:val="005248DB"/>
    <w:rsid w:val="00525344"/>
    <w:rsid w:val="00526518"/>
    <w:rsid w:val="00526639"/>
    <w:rsid w:val="00526FF6"/>
    <w:rsid w:val="00527095"/>
    <w:rsid w:val="005272FB"/>
    <w:rsid w:val="00527DD7"/>
    <w:rsid w:val="005302A5"/>
    <w:rsid w:val="0053061A"/>
    <w:rsid w:val="005307CB"/>
    <w:rsid w:val="00530F8C"/>
    <w:rsid w:val="005315A6"/>
    <w:rsid w:val="00531CE1"/>
    <w:rsid w:val="00532F02"/>
    <w:rsid w:val="00533893"/>
    <w:rsid w:val="00533B13"/>
    <w:rsid w:val="00534376"/>
    <w:rsid w:val="005343B2"/>
    <w:rsid w:val="005343FE"/>
    <w:rsid w:val="00534746"/>
    <w:rsid w:val="00534A74"/>
    <w:rsid w:val="00534DAB"/>
    <w:rsid w:val="00535859"/>
    <w:rsid w:val="00535A2B"/>
    <w:rsid w:val="00535D34"/>
    <w:rsid w:val="0053606E"/>
    <w:rsid w:val="00536103"/>
    <w:rsid w:val="00536115"/>
    <w:rsid w:val="00536B38"/>
    <w:rsid w:val="00536E67"/>
    <w:rsid w:val="005379F1"/>
    <w:rsid w:val="00537C7B"/>
    <w:rsid w:val="0054055D"/>
    <w:rsid w:val="005411E9"/>
    <w:rsid w:val="00541403"/>
    <w:rsid w:val="005414B0"/>
    <w:rsid w:val="00541D97"/>
    <w:rsid w:val="00542589"/>
    <w:rsid w:val="00542AF1"/>
    <w:rsid w:val="0054327F"/>
    <w:rsid w:val="005441A9"/>
    <w:rsid w:val="0054468A"/>
    <w:rsid w:val="00545182"/>
    <w:rsid w:val="005455AA"/>
    <w:rsid w:val="00545BBC"/>
    <w:rsid w:val="00545DD5"/>
    <w:rsid w:val="00545E7C"/>
    <w:rsid w:val="00546E2C"/>
    <w:rsid w:val="00547576"/>
    <w:rsid w:val="00547BA8"/>
    <w:rsid w:val="00550119"/>
    <w:rsid w:val="0055065F"/>
    <w:rsid w:val="0055117A"/>
    <w:rsid w:val="005516D6"/>
    <w:rsid w:val="005519E1"/>
    <w:rsid w:val="00551A8F"/>
    <w:rsid w:val="005529BD"/>
    <w:rsid w:val="005530CB"/>
    <w:rsid w:val="00553F58"/>
    <w:rsid w:val="00554076"/>
    <w:rsid w:val="005540A2"/>
    <w:rsid w:val="0055465C"/>
    <w:rsid w:val="00554774"/>
    <w:rsid w:val="00554A09"/>
    <w:rsid w:val="00554AEF"/>
    <w:rsid w:val="00554CD3"/>
    <w:rsid w:val="00554FFE"/>
    <w:rsid w:val="005559AE"/>
    <w:rsid w:val="00556566"/>
    <w:rsid w:val="00556F42"/>
    <w:rsid w:val="00557157"/>
    <w:rsid w:val="005601C8"/>
    <w:rsid w:val="0056063F"/>
    <w:rsid w:val="005606AB"/>
    <w:rsid w:val="005613DF"/>
    <w:rsid w:val="00561C83"/>
    <w:rsid w:val="00561F06"/>
    <w:rsid w:val="005624AC"/>
    <w:rsid w:val="005627CF"/>
    <w:rsid w:val="00562AE1"/>
    <w:rsid w:val="00562B3B"/>
    <w:rsid w:val="00563971"/>
    <w:rsid w:val="00563A04"/>
    <w:rsid w:val="00563A2A"/>
    <w:rsid w:val="00563ABE"/>
    <w:rsid w:val="00563DB8"/>
    <w:rsid w:val="00565A3A"/>
    <w:rsid w:val="0056665E"/>
    <w:rsid w:val="0056668D"/>
    <w:rsid w:val="005669CB"/>
    <w:rsid w:val="0056728F"/>
    <w:rsid w:val="0056780F"/>
    <w:rsid w:val="00567AE4"/>
    <w:rsid w:val="005709DA"/>
    <w:rsid w:val="00570F67"/>
    <w:rsid w:val="00571132"/>
    <w:rsid w:val="00572196"/>
    <w:rsid w:val="0057266C"/>
    <w:rsid w:val="00573285"/>
    <w:rsid w:val="00573637"/>
    <w:rsid w:val="00573821"/>
    <w:rsid w:val="0057392B"/>
    <w:rsid w:val="005739DD"/>
    <w:rsid w:val="00573B0B"/>
    <w:rsid w:val="00573EA7"/>
    <w:rsid w:val="00573F14"/>
    <w:rsid w:val="00573F7C"/>
    <w:rsid w:val="00573F85"/>
    <w:rsid w:val="00574088"/>
    <w:rsid w:val="00574BB7"/>
    <w:rsid w:val="00574C7F"/>
    <w:rsid w:val="00574CD1"/>
    <w:rsid w:val="00574E4A"/>
    <w:rsid w:val="005753F8"/>
    <w:rsid w:val="0057552F"/>
    <w:rsid w:val="00575A7C"/>
    <w:rsid w:val="00576389"/>
    <w:rsid w:val="00576D11"/>
    <w:rsid w:val="00577EF0"/>
    <w:rsid w:val="00580718"/>
    <w:rsid w:val="00580853"/>
    <w:rsid w:val="00580E94"/>
    <w:rsid w:val="00581494"/>
    <w:rsid w:val="00581915"/>
    <w:rsid w:val="00581E69"/>
    <w:rsid w:val="00582428"/>
    <w:rsid w:val="005825E3"/>
    <w:rsid w:val="0058268C"/>
    <w:rsid w:val="005836E8"/>
    <w:rsid w:val="005841BF"/>
    <w:rsid w:val="005844B9"/>
    <w:rsid w:val="00584512"/>
    <w:rsid w:val="005851B5"/>
    <w:rsid w:val="00585CDD"/>
    <w:rsid w:val="00586411"/>
    <w:rsid w:val="0058676F"/>
    <w:rsid w:val="00586979"/>
    <w:rsid w:val="00587B05"/>
    <w:rsid w:val="00587E94"/>
    <w:rsid w:val="005900E4"/>
    <w:rsid w:val="0059029A"/>
    <w:rsid w:val="00590A63"/>
    <w:rsid w:val="00590AFA"/>
    <w:rsid w:val="00590C86"/>
    <w:rsid w:val="005918DD"/>
    <w:rsid w:val="00591A0C"/>
    <w:rsid w:val="005926F4"/>
    <w:rsid w:val="005929F4"/>
    <w:rsid w:val="00592DD4"/>
    <w:rsid w:val="00593904"/>
    <w:rsid w:val="005943D6"/>
    <w:rsid w:val="0059462C"/>
    <w:rsid w:val="00594CC5"/>
    <w:rsid w:val="00594E29"/>
    <w:rsid w:val="00594E87"/>
    <w:rsid w:val="00594EF9"/>
    <w:rsid w:val="005952FB"/>
    <w:rsid w:val="005953E0"/>
    <w:rsid w:val="0059541F"/>
    <w:rsid w:val="00595B69"/>
    <w:rsid w:val="00595EA4"/>
    <w:rsid w:val="00595EA6"/>
    <w:rsid w:val="00596D63"/>
    <w:rsid w:val="00597D7E"/>
    <w:rsid w:val="005A07C3"/>
    <w:rsid w:val="005A0B81"/>
    <w:rsid w:val="005A0BB4"/>
    <w:rsid w:val="005A14AD"/>
    <w:rsid w:val="005A1D9F"/>
    <w:rsid w:val="005A2F62"/>
    <w:rsid w:val="005A300E"/>
    <w:rsid w:val="005A3393"/>
    <w:rsid w:val="005A3517"/>
    <w:rsid w:val="005A3689"/>
    <w:rsid w:val="005A40F7"/>
    <w:rsid w:val="005A4AE0"/>
    <w:rsid w:val="005A4FC4"/>
    <w:rsid w:val="005A5155"/>
    <w:rsid w:val="005A5873"/>
    <w:rsid w:val="005A69CA"/>
    <w:rsid w:val="005A6F6D"/>
    <w:rsid w:val="005A74DF"/>
    <w:rsid w:val="005A797C"/>
    <w:rsid w:val="005B014D"/>
    <w:rsid w:val="005B0731"/>
    <w:rsid w:val="005B1476"/>
    <w:rsid w:val="005B161E"/>
    <w:rsid w:val="005B1749"/>
    <w:rsid w:val="005B1AAD"/>
    <w:rsid w:val="005B1B3A"/>
    <w:rsid w:val="005B2942"/>
    <w:rsid w:val="005B364E"/>
    <w:rsid w:val="005B3939"/>
    <w:rsid w:val="005B3D64"/>
    <w:rsid w:val="005B3D75"/>
    <w:rsid w:val="005B3E0D"/>
    <w:rsid w:val="005B443D"/>
    <w:rsid w:val="005B4A45"/>
    <w:rsid w:val="005B4E9E"/>
    <w:rsid w:val="005B541D"/>
    <w:rsid w:val="005B59AC"/>
    <w:rsid w:val="005B5EB0"/>
    <w:rsid w:val="005B6CAC"/>
    <w:rsid w:val="005B7180"/>
    <w:rsid w:val="005B73C0"/>
    <w:rsid w:val="005B765C"/>
    <w:rsid w:val="005B7844"/>
    <w:rsid w:val="005C0448"/>
    <w:rsid w:val="005C0624"/>
    <w:rsid w:val="005C07B1"/>
    <w:rsid w:val="005C14CB"/>
    <w:rsid w:val="005C1DFF"/>
    <w:rsid w:val="005C2073"/>
    <w:rsid w:val="005C24CF"/>
    <w:rsid w:val="005C27B2"/>
    <w:rsid w:val="005C2D7A"/>
    <w:rsid w:val="005C2F80"/>
    <w:rsid w:val="005C32B6"/>
    <w:rsid w:val="005C3EA8"/>
    <w:rsid w:val="005C4221"/>
    <w:rsid w:val="005C42B9"/>
    <w:rsid w:val="005C5654"/>
    <w:rsid w:val="005C5997"/>
    <w:rsid w:val="005C71B2"/>
    <w:rsid w:val="005C73F2"/>
    <w:rsid w:val="005C755E"/>
    <w:rsid w:val="005C79B6"/>
    <w:rsid w:val="005D067E"/>
    <w:rsid w:val="005D0908"/>
    <w:rsid w:val="005D0CC8"/>
    <w:rsid w:val="005D0FD8"/>
    <w:rsid w:val="005D1D64"/>
    <w:rsid w:val="005D2401"/>
    <w:rsid w:val="005D2BDA"/>
    <w:rsid w:val="005D3B7A"/>
    <w:rsid w:val="005D3FC8"/>
    <w:rsid w:val="005D3FF7"/>
    <w:rsid w:val="005D43F4"/>
    <w:rsid w:val="005D4CFA"/>
    <w:rsid w:val="005D60BD"/>
    <w:rsid w:val="005D6594"/>
    <w:rsid w:val="005D6712"/>
    <w:rsid w:val="005D7BC3"/>
    <w:rsid w:val="005D7BFE"/>
    <w:rsid w:val="005E005F"/>
    <w:rsid w:val="005E0A84"/>
    <w:rsid w:val="005E132C"/>
    <w:rsid w:val="005E1A4A"/>
    <w:rsid w:val="005E1BED"/>
    <w:rsid w:val="005E241C"/>
    <w:rsid w:val="005E25F9"/>
    <w:rsid w:val="005E28DE"/>
    <w:rsid w:val="005E2CDB"/>
    <w:rsid w:val="005E32CE"/>
    <w:rsid w:val="005E32ED"/>
    <w:rsid w:val="005E3463"/>
    <w:rsid w:val="005E3AD4"/>
    <w:rsid w:val="005E3D9D"/>
    <w:rsid w:val="005E5830"/>
    <w:rsid w:val="005E610C"/>
    <w:rsid w:val="005E61CD"/>
    <w:rsid w:val="005E6F57"/>
    <w:rsid w:val="005E77C4"/>
    <w:rsid w:val="005F0732"/>
    <w:rsid w:val="005F0A07"/>
    <w:rsid w:val="005F0A76"/>
    <w:rsid w:val="005F19D7"/>
    <w:rsid w:val="005F1F2F"/>
    <w:rsid w:val="005F250B"/>
    <w:rsid w:val="005F25F1"/>
    <w:rsid w:val="005F2C98"/>
    <w:rsid w:val="005F3010"/>
    <w:rsid w:val="005F31F1"/>
    <w:rsid w:val="005F35A4"/>
    <w:rsid w:val="005F39F8"/>
    <w:rsid w:val="005F3A2A"/>
    <w:rsid w:val="005F4835"/>
    <w:rsid w:val="005F5048"/>
    <w:rsid w:val="005F765D"/>
    <w:rsid w:val="005F7F04"/>
    <w:rsid w:val="0060014B"/>
    <w:rsid w:val="0060044A"/>
    <w:rsid w:val="006004CA"/>
    <w:rsid w:val="00600B29"/>
    <w:rsid w:val="00600EC7"/>
    <w:rsid w:val="0060176D"/>
    <w:rsid w:val="006026C5"/>
    <w:rsid w:val="00602C69"/>
    <w:rsid w:val="00602DCE"/>
    <w:rsid w:val="006033DD"/>
    <w:rsid w:val="00603DA2"/>
    <w:rsid w:val="00604EF5"/>
    <w:rsid w:val="006053C7"/>
    <w:rsid w:val="00605AF1"/>
    <w:rsid w:val="00605BA1"/>
    <w:rsid w:val="0061011F"/>
    <w:rsid w:val="0061079A"/>
    <w:rsid w:val="00610FC5"/>
    <w:rsid w:val="00611420"/>
    <w:rsid w:val="00611504"/>
    <w:rsid w:val="00611C7D"/>
    <w:rsid w:val="00612183"/>
    <w:rsid w:val="00612977"/>
    <w:rsid w:val="00613361"/>
    <w:rsid w:val="00613661"/>
    <w:rsid w:val="00613D18"/>
    <w:rsid w:val="00613F49"/>
    <w:rsid w:val="00613FC7"/>
    <w:rsid w:val="00615134"/>
    <w:rsid w:val="0061594A"/>
    <w:rsid w:val="00615C97"/>
    <w:rsid w:val="006163A8"/>
    <w:rsid w:val="00616CF5"/>
    <w:rsid w:val="00616F14"/>
    <w:rsid w:val="006171BB"/>
    <w:rsid w:val="006171F6"/>
    <w:rsid w:val="00617E00"/>
    <w:rsid w:val="00620EAB"/>
    <w:rsid w:val="0062117A"/>
    <w:rsid w:val="00621705"/>
    <w:rsid w:val="00621AAD"/>
    <w:rsid w:val="006227D2"/>
    <w:rsid w:val="0062284E"/>
    <w:rsid w:val="00623C36"/>
    <w:rsid w:val="006243ED"/>
    <w:rsid w:val="00624498"/>
    <w:rsid w:val="006244DB"/>
    <w:rsid w:val="006245B6"/>
    <w:rsid w:val="006249B4"/>
    <w:rsid w:val="00625464"/>
    <w:rsid w:val="0062599F"/>
    <w:rsid w:val="0062761B"/>
    <w:rsid w:val="00627683"/>
    <w:rsid w:val="006279EE"/>
    <w:rsid w:val="00627C09"/>
    <w:rsid w:val="00630AED"/>
    <w:rsid w:val="00630BDA"/>
    <w:rsid w:val="00631A73"/>
    <w:rsid w:val="00631C6B"/>
    <w:rsid w:val="00631FC4"/>
    <w:rsid w:val="00632011"/>
    <w:rsid w:val="00632089"/>
    <w:rsid w:val="006320E3"/>
    <w:rsid w:val="006326B0"/>
    <w:rsid w:val="00632979"/>
    <w:rsid w:val="00632DD9"/>
    <w:rsid w:val="00634BED"/>
    <w:rsid w:val="00634D8E"/>
    <w:rsid w:val="00635214"/>
    <w:rsid w:val="00635779"/>
    <w:rsid w:val="006358D4"/>
    <w:rsid w:val="00636556"/>
    <w:rsid w:val="006366F8"/>
    <w:rsid w:val="00636D4E"/>
    <w:rsid w:val="0063767D"/>
    <w:rsid w:val="00637C9E"/>
    <w:rsid w:val="00640794"/>
    <w:rsid w:val="00640C97"/>
    <w:rsid w:val="00641539"/>
    <w:rsid w:val="006418A4"/>
    <w:rsid w:val="00641A28"/>
    <w:rsid w:val="00641CFB"/>
    <w:rsid w:val="00641E1D"/>
    <w:rsid w:val="006427FA"/>
    <w:rsid w:val="00643444"/>
    <w:rsid w:val="006436AD"/>
    <w:rsid w:val="006436E6"/>
    <w:rsid w:val="00643998"/>
    <w:rsid w:val="006444D3"/>
    <w:rsid w:val="006449FE"/>
    <w:rsid w:val="00645565"/>
    <w:rsid w:val="00645610"/>
    <w:rsid w:val="00645FFE"/>
    <w:rsid w:val="0064605F"/>
    <w:rsid w:val="0064638E"/>
    <w:rsid w:val="006471AB"/>
    <w:rsid w:val="00647F8A"/>
    <w:rsid w:val="006500AE"/>
    <w:rsid w:val="006503C2"/>
    <w:rsid w:val="00650822"/>
    <w:rsid w:val="00650F58"/>
    <w:rsid w:val="0065110E"/>
    <w:rsid w:val="0065152F"/>
    <w:rsid w:val="00652C4A"/>
    <w:rsid w:val="006531FD"/>
    <w:rsid w:val="00654360"/>
    <w:rsid w:val="0065524E"/>
    <w:rsid w:val="006552CA"/>
    <w:rsid w:val="00655A7F"/>
    <w:rsid w:val="006563F8"/>
    <w:rsid w:val="00656FB2"/>
    <w:rsid w:val="0065713C"/>
    <w:rsid w:val="006571F3"/>
    <w:rsid w:val="00660214"/>
    <w:rsid w:val="00660281"/>
    <w:rsid w:val="006607C5"/>
    <w:rsid w:val="00660B84"/>
    <w:rsid w:val="00661577"/>
    <w:rsid w:val="006615B8"/>
    <w:rsid w:val="0066245A"/>
    <w:rsid w:val="006625C6"/>
    <w:rsid w:val="0066267F"/>
    <w:rsid w:val="00662A46"/>
    <w:rsid w:val="0066397D"/>
    <w:rsid w:val="00663DE5"/>
    <w:rsid w:val="00664BE9"/>
    <w:rsid w:val="006657C1"/>
    <w:rsid w:val="0066605B"/>
    <w:rsid w:val="00666F76"/>
    <w:rsid w:val="00667537"/>
    <w:rsid w:val="0066763B"/>
    <w:rsid w:val="00667C16"/>
    <w:rsid w:val="006701BF"/>
    <w:rsid w:val="00670B97"/>
    <w:rsid w:val="006717AF"/>
    <w:rsid w:val="00671A27"/>
    <w:rsid w:val="00672067"/>
    <w:rsid w:val="00672F84"/>
    <w:rsid w:val="00673717"/>
    <w:rsid w:val="00673DF9"/>
    <w:rsid w:val="00674471"/>
    <w:rsid w:val="00675492"/>
    <w:rsid w:val="00675528"/>
    <w:rsid w:val="00675A7F"/>
    <w:rsid w:val="00675D52"/>
    <w:rsid w:val="0067675A"/>
    <w:rsid w:val="00676A59"/>
    <w:rsid w:val="00676B6D"/>
    <w:rsid w:val="006776CF"/>
    <w:rsid w:val="00677797"/>
    <w:rsid w:val="00677A02"/>
    <w:rsid w:val="006801B4"/>
    <w:rsid w:val="006803CC"/>
    <w:rsid w:val="00681882"/>
    <w:rsid w:val="006830C0"/>
    <w:rsid w:val="006833E5"/>
    <w:rsid w:val="00683EE5"/>
    <w:rsid w:val="00684A29"/>
    <w:rsid w:val="006855CB"/>
    <w:rsid w:val="0068563A"/>
    <w:rsid w:val="00686431"/>
    <w:rsid w:val="00686582"/>
    <w:rsid w:val="00686658"/>
    <w:rsid w:val="006870DB"/>
    <w:rsid w:val="00687EE2"/>
    <w:rsid w:val="0069090B"/>
    <w:rsid w:val="00690DEB"/>
    <w:rsid w:val="0069171C"/>
    <w:rsid w:val="00691813"/>
    <w:rsid w:val="006918F6"/>
    <w:rsid w:val="006922C7"/>
    <w:rsid w:val="006926D1"/>
    <w:rsid w:val="006936E3"/>
    <w:rsid w:val="0069389F"/>
    <w:rsid w:val="00693B17"/>
    <w:rsid w:val="00694245"/>
    <w:rsid w:val="006945DE"/>
    <w:rsid w:val="006961E9"/>
    <w:rsid w:val="00696D1D"/>
    <w:rsid w:val="00697287"/>
    <w:rsid w:val="006A10AE"/>
    <w:rsid w:val="006A15B7"/>
    <w:rsid w:val="006A166C"/>
    <w:rsid w:val="006A21D6"/>
    <w:rsid w:val="006A2837"/>
    <w:rsid w:val="006A286A"/>
    <w:rsid w:val="006A3383"/>
    <w:rsid w:val="006A3AFD"/>
    <w:rsid w:val="006A414E"/>
    <w:rsid w:val="006A4438"/>
    <w:rsid w:val="006A4CB5"/>
    <w:rsid w:val="006A52D0"/>
    <w:rsid w:val="006A538B"/>
    <w:rsid w:val="006A53B5"/>
    <w:rsid w:val="006A56FF"/>
    <w:rsid w:val="006A5F64"/>
    <w:rsid w:val="006A69E9"/>
    <w:rsid w:val="006A7851"/>
    <w:rsid w:val="006A7F5E"/>
    <w:rsid w:val="006B08A8"/>
    <w:rsid w:val="006B0903"/>
    <w:rsid w:val="006B0E15"/>
    <w:rsid w:val="006B11B7"/>
    <w:rsid w:val="006B15E3"/>
    <w:rsid w:val="006B30F0"/>
    <w:rsid w:val="006B33DC"/>
    <w:rsid w:val="006B3BBF"/>
    <w:rsid w:val="006B3BCD"/>
    <w:rsid w:val="006B45F5"/>
    <w:rsid w:val="006B4D5F"/>
    <w:rsid w:val="006B4DB5"/>
    <w:rsid w:val="006B4EF7"/>
    <w:rsid w:val="006B61AC"/>
    <w:rsid w:val="006B64F7"/>
    <w:rsid w:val="006B6595"/>
    <w:rsid w:val="006B6C08"/>
    <w:rsid w:val="006B6EFD"/>
    <w:rsid w:val="006C0984"/>
    <w:rsid w:val="006C1F4E"/>
    <w:rsid w:val="006C225D"/>
    <w:rsid w:val="006C22AF"/>
    <w:rsid w:val="006C24EE"/>
    <w:rsid w:val="006C2C69"/>
    <w:rsid w:val="006C2D16"/>
    <w:rsid w:val="006C349D"/>
    <w:rsid w:val="006C3609"/>
    <w:rsid w:val="006C46ED"/>
    <w:rsid w:val="006C4729"/>
    <w:rsid w:val="006C6FB8"/>
    <w:rsid w:val="006C75AD"/>
    <w:rsid w:val="006C77C3"/>
    <w:rsid w:val="006C79D1"/>
    <w:rsid w:val="006C7CDC"/>
    <w:rsid w:val="006D032B"/>
    <w:rsid w:val="006D0CA0"/>
    <w:rsid w:val="006D1CFF"/>
    <w:rsid w:val="006D1D32"/>
    <w:rsid w:val="006D1F75"/>
    <w:rsid w:val="006D297F"/>
    <w:rsid w:val="006D2FC6"/>
    <w:rsid w:val="006D301F"/>
    <w:rsid w:val="006D35DD"/>
    <w:rsid w:val="006D3908"/>
    <w:rsid w:val="006D3C0F"/>
    <w:rsid w:val="006D4051"/>
    <w:rsid w:val="006D4338"/>
    <w:rsid w:val="006D4372"/>
    <w:rsid w:val="006D4B2E"/>
    <w:rsid w:val="006D4EFB"/>
    <w:rsid w:val="006D5345"/>
    <w:rsid w:val="006D5B6C"/>
    <w:rsid w:val="006D5B76"/>
    <w:rsid w:val="006D5FF1"/>
    <w:rsid w:val="006D68A1"/>
    <w:rsid w:val="006D6CBB"/>
    <w:rsid w:val="006D705C"/>
    <w:rsid w:val="006D7238"/>
    <w:rsid w:val="006D7404"/>
    <w:rsid w:val="006D77FC"/>
    <w:rsid w:val="006E06F4"/>
    <w:rsid w:val="006E1147"/>
    <w:rsid w:val="006E24AF"/>
    <w:rsid w:val="006E28C6"/>
    <w:rsid w:val="006E295F"/>
    <w:rsid w:val="006E3961"/>
    <w:rsid w:val="006E3D2A"/>
    <w:rsid w:val="006E4611"/>
    <w:rsid w:val="006E46C6"/>
    <w:rsid w:val="006E5633"/>
    <w:rsid w:val="006E585C"/>
    <w:rsid w:val="006E5AC9"/>
    <w:rsid w:val="006E6903"/>
    <w:rsid w:val="006E6AED"/>
    <w:rsid w:val="006F0225"/>
    <w:rsid w:val="006F07AF"/>
    <w:rsid w:val="006F1000"/>
    <w:rsid w:val="006F2324"/>
    <w:rsid w:val="006F3042"/>
    <w:rsid w:val="006F30ED"/>
    <w:rsid w:val="006F36E7"/>
    <w:rsid w:val="006F3AC9"/>
    <w:rsid w:val="006F3C64"/>
    <w:rsid w:val="006F40C6"/>
    <w:rsid w:val="006F4452"/>
    <w:rsid w:val="006F6017"/>
    <w:rsid w:val="006F64AF"/>
    <w:rsid w:val="006F64E5"/>
    <w:rsid w:val="006F683E"/>
    <w:rsid w:val="00700BFA"/>
    <w:rsid w:val="00701E7A"/>
    <w:rsid w:val="0070217C"/>
    <w:rsid w:val="00702558"/>
    <w:rsid w:val="007028EC"/>
    <w:rsid w:val="00703095"/>
    <w:rsid w:val="007034AB"/>
    <w:rsid w:val="00703A6D"/>
    <w:rsid w:val="00703A96"/>
    <w:rsid w:val="00703CC4"/>
    <w:rsid w:val="0070441C"/>
    <w:rsid w:val="00705CF7"/>
    <w:rsid w:val="00706AB1"/>
    <w:rsid w:val="00707014"/>
    <w:rsid w:val="00707526"/>
    <w:rsid w:val="00707877"/>
    <w:rsid w:val="00707C1C"/>
    <w:rsid w:val="007100C0"/>
    <w:rsid w:val="00710CB8"/>
    <w:rsid w:val="0071126E"/>
    <w:rsid w:val="00711AD9"/>
    <w:rsid w:val="007121BC"/>
    <w:rsid w:val="00712E57"/>
    <w:rsid w:val="00714126"/>
    <w:rsid w:val="00714CA3"/>
    <w:rsid w:val="007150D7"/>
    <w:rsid w:val="00717572"/>
    <w:rsid w:val="0072002E"/>
    <w:rsid w:val="007200FA"/>
    <w:rsid w:val="007203F1"/>
    <w:rsid w:val="007204DF"/>
    <w:rsid w:val="0072062C"/>
    <w:rsid w:val="0072069A"/>
    <w:rsid w:val="0072086D"/>
    <w:rsid w:val="007216EF"/>
    <w:rsid w:val="00721ADA"/>
    <w:rsid w:val="00721BA8"/>
    <w:rsid w:val="007220C6"/>
    <w:rsid w:val="007220F5"/>
    <w:rsid w:val="007233B5"/>
    <w:rsid w:val="00723629"/>
    <w:rsid w:val="00723D03"/>
    <w:rsid w:val="00724023"/>
    <w:rsid w:val="007241DF"/>
    <w:rsid w:val="00724D2F"/>
    <w:rsid w:val="007258D1"/>
    <w:rsid w:val="0072596D"/>
    <w:rsid w:val="007261AA"/>
    <w:rsid w:val="00726515"/>
    <w:rsid w:val="00726986"/>
    <w:rsid w:val="007270AB"/>
    <w:rsid w:val="0072796F"/>
    <w:rsid w:val="00730EE8"/>
    <w:rsid w:val="00731167"/>
    <w:rsid w:val="00731862"/>
    <w:rsid w:val="0073212D"/>
    <w:rsid w:val="007328A7"/>
    <w:rsid w:val="00732AF0"/>
    <w:rsid w:val="00732D9A"/>
    <w:rsid w:val="007333F4"/>
    <w:rsid w:val="00733831"/>
    <w:rsid w:val="007342C4"/>
    <w:rsid w:val="00734C44"/>
    <w:rsid w:val="00734EB8"/>
    <w:rsid w:val="007356DA"/>
    <w:rsid w:val="007358EB"/>
    <w:rsid w:val="00736108"/>
    <w:rsid w:val="00736B19"/>
    <w:rsid w:val="00736F19"/>
    <w:rsid w:val="00737A04"/>
    <w:rsid w:val="007404EA"/>
    <w:rsid w:val="00740F4A"/>
    <w:rsid w:val="0074121C"/>
    <w:rsid w:val="007412BF"/>
    <w:rsid w:val="00742636"/>
    <w:rsid w:val="007426C6"/>
    <w:rsid w:val="00742805"/>
    <w:rsid w:val="0074347C"/>
    <w:rsid w:val="007435A1"/>
    <w:rsid w:val="00743ADB"/>
    <w:rsid w:val="00744CDD"/>
    <w:rsid w:val="00744CFE"/>
    <w:rsid w:val="00745001"/>
    <w:rsid w:val="00745273"/>
    <w:rsid w:val="007456D8"/>
    <w:rsid w:val="00745722"/>
    <w:rsid w:val="007459A4"/>
    <w:rsid w:val="007459CE"/>
    <w:rsid w:val="00746036"/>
    <w:rsid w:val="0074617D"/>
    <w:rsid w:val="0074641D"/>
    <w:rsid w:val="007468BA"/>
    <w:rsid w:val="00746971"/>
    <w:rsid w:val="00746B25"/>
    <w:rsid w:val="0074748D"/>
    <w:rsid w:val="00747982"/>
    <w:rsid w:val="00751708"/>
    <w:rsid w:val="00751869"/>
    <w:rsid w:val="00751E9A"/>
    <w:rsid w:val="007522EA"/>
    <w:rsid w:val="00752B60"/>
    <w:rsid w:val="00752C4A"/>
    <w:rsid w:val="007538EC"/>
    <w:rsid w:val="007539BE"/>
    <w:rsid w:val="007540E9"/>
    <w:rsid w:val="00754F26"/>
    <w:rsid w:val="0075534D"/>
    <w:rsid w:val="00755A45"/>
    <w:rsid w:val="00755B19"/>
    <w:rsid w:val="00755D66"/>
    <w:rsid w:val="00755EF6"/>
    <w:rsid w:val="007563B3"/>
    <w:rsid w:val="00757A9B"/>
    <w:rsid w:val="00757F77"/>
    <w:rsid w:val="00760131"/>
    <w:rsid w:val="00760893"/>
    <w:rsid w:val="00762735"/>
    <w:rsid w:val="007644C9"/>
    <w:rsid w:val="007650D8"/>
    <w:rsid w:val="007651B6"/>
    <w:rsid w:val="0076573E"/>
    <w:rsid w:val="007664C9"/>
    <w:rsid w:val="00766570"/>
    <w:rsid w:val="007670C5"/>
    <w:rsid w:val="00767FF9"/>
    <w:rsid w:val="0077024C"/>
    <w:rsid w:val="00770F4D"/>
    <w:rsid w:val="00771AA6"/>
    <w:rsid w:val="00771AF0"/>
    <w:rsid w:val="007722B7"/>
    <w:rsid w:val="007722D7"/>
    <w:rsid w:val="0077231B"/>
    <w:rsid w:val="00772773"/>
    <w:rsid w:val="007731F0"/>
    <w:rsid w:val="0077366E"/>
    <w:rsid w:val="00773B5D"/>
    <w:rsid w:val="00774418"/>
    <w:rsid w:val="00774974"/>
    <w:rsid w:val="00774B1D"/>
    <w:rsid w:val="00774FB1"/>
    <w:rsid w:val="00775BCD"/>
    <w:rsid w:val="00775CF7"/>
    <w:rsid w:val="00776209"/>
    <w:rsid w:val="007763CC"/>
    <w:rsid w:val="00776519"/>
    <w:rsid w:val="007765F0"/>
    <w:rsid w:val="0077665E"/>
    <w:rsid w:val="007768EA"/>
    <w:rsid w:val="007769A8"/>
    <w:rsid w:val="00776CC6"/>
    <w:rsid w:val="00777611"/>
    <w:rsid w:val="0078020F"/>
    <w:rsid w:val="00780695"/>
    <w:rsid w:val="0078073A"/>
    <w:rsid w:val="007807FF"/>
    <w:rsid w:val="00780900"/>
    <w:rsid w:val="00780F51"/>
    <w:rsid w:val="007810FC"/>
    <w:rsid w:val="0078133F"/>
    <w:rsid w:val="00781CA2"/>
    <w:rsid w:val="007822D6"/>
    <w:rsid w:val="0078236F"/>
    <w:rsid w:val="00782873"/>
    <w:rsid w:val="007829D0"/>
    <w:rsid w:val="00782BDC"/>
    <w:rsid w:val="00782EFA"/>
    <w:rsid w:val="00783428"/>
    <w:rsid w:val="00783850"/>
    <w:rsid w:val="00783DFC"/>
    <w:rsid w:val="007844D6"/>
    <w:rsid w:val="00785C60"/>
    <w:rsid w:val="00786029"/>
    <w:rsid w:val="00786940"/>
    <w:rsid w:val="00787719"/>
    <w:rsid w:val="00790556"/>
    <w:rsid w:val="00790A4D"/>
    <w:rsid w:val="00790C28"/>
    <w:rsid w:val="00790CE7"/>
    <w:rsid w:val="00790F7C"/>
    <w:rsid w:val="00791200"/>
    <w:rsid w:val="007912DC"/>
    <w:rsid w:val="0079178D"/>
    <w:rsid w:val="007917C3"/>
    <w:rsid w:val="00791A7A"/>
    <w:rsid w:val="007922B1"/>
    <w:rsid w:val="0079304F"/>
    <w:rsid w:val="0079392C"/>
    <w:rsid w:val="00793C1F"/>
    <w:rsid w:val="00793DCD"/>
    <w:rsid w:val="00794565"/>
    <w:rsid w:val="00794BF9"/>
    <w:rsid w:val="007957F9"/>
    <w:rsid w:val="0079592E"/>
    <w:rsid w:val="007962D5"/>
    <w:rsid w:val="00796969"/>
    <w:rsid w:val="00796984"/>
    <w:rsid w:val="00796BFC"/>
    <w:rsid w:val="00797636"/>
    <w:rsid w:val="007A0234"/>
    <w:rsid w:val="007A039D"/>
    <w:rsid w:val="007A06DD"/>
    <w:rsid w:val="007A1ABA"/>
    <w:rsid w:val="007A1B4A"/>
    <w:rsid w:val="007A2355"/>
    <w:rsid w:val="007A2AA0"/>
    <w:rsid w:val="007A4573"/>
    <w:rsid w:val="007A55FC"/>
    <w:rsid w:val="007A626B"/>
    <w:rsid w:val="007A7BDA"/>
    <w:rsid w:val="007B040A"/>
    <w:rsid w:val="007B056A"/>
    <w:rsid w:val="007B0A2F"/>
    <w:rsid w:val="007B0B12"/>
    <w:rsid w:val="007B1691"/>
    <w:rsid w:val="007B181B"/>
    <w:rsid w:val="007B219F"/>
    <w:rsid w:val="007B2508"/>
    <w:rsid w:val="007B2B07"/>
    <w:rsid w:val="007B31C5"/>
    <w:rsid w:val="007B3B6C"/>
    <w:rsid w:val="007B3CDE"/>
    <w:rsid w:val="007B3F7C"/>
    <w:rsid w:val="007B40C0"/>
    <w:rsid w:val="007B444E"/>
    <w:rsid w:val="007B4F70"/>
    <w:rsid w:val="007B63B7"/>
    <w:rsid w:val="007B6624"/>
    <w:rsid w:val="007B759A"/>
    <w:rsid w:val="007B7736"/>
    <w:rsid w:val="007B7808"/>
    <w:rsid w:val="007C05E2"/>
    <w:rsid w:val="007C0946"/>
    <w:rsid w:val="007C0D24"/>
    <w:rsid w:val="007C0F38"/>
    <w:rsid w:val="007C10B6"/>
    <w:rsid w:val="007C230D"/>
    <w:rsid w:val="007C256F"/>
    <w:rsid w:val="007C2633"/>
    <w:rsid w:val="007C2661"/>
    <w:rsid w:val="007C2E3E"/>
    <w:rsid w:val="007C35AC"/>
    <w:rsid w:val="007C3B9A"/>
    <w:rsid w:val="007C4661"/>
    <w:rsid w:val="007C4F69"/>
    <w:rsid w:val="007C51E7"/>
    <w:rsid w:val="007C598C"/>
    <w:rsid w:val="007C5D7A"/>
    <w:rsid w:val="007C603F"/>
    <w:rsid w:val="007C6515"/>
    <w:rsid w:val="007C6776"/>
    <w:rsid w:val="007C6EBD"/>
    <w:rsid w:val="007C7002"/>
    <w:rsid w:val="007C7D8B"/>
    <w:rsid w:val="007D0195"/>
    <w:rsid w:val="007D0546"/>
    <w:rsid w:val="007D08DE"/>
    <w:rsid w:val="007D093B"/>
    <w:rsid w:val="007D14B2"/>
    <w:rsid w:val="007D17C6"/>
    <w:rsid w:val="007D1C79"/>
    <w:rsid w:val="007D203B"/>
    <w:rsid w:val="007D2B56"/>
    <w:rsid w:val="007D2BAF"/>
    <w:rsid w:val="007D3216"/>
    <w:rsid w:val="007D3E3C"/>
    <w:rsid w:val="007D419A"/>
    <w:rsid w:val="007D44A2"/>
    <w:rsid w:val="007D468F"/>
    <w:rsid w:val="007D49D1"/>
    <w:rsid w:val="007D4FCA"/>
    <w:rsid w:val="007D76C6"/>
    <w:rsid w:val="007D7E04"/>
    <w:rsid w:val="007E026F"/>
    <w:rsid w:val="007E0B92"/>
    <w:rsid w:val="007E0BF0"/>
    <w:rsid w:val="007E179F"/>
    <w:rsid w:val="007E1A68"/>
    <w:rsid w:val="007E1B1A"/>
    <w:rsid w:val="007E3410"/>
    <w:rsid w:val="007E3B51"/>
    <w:rsid w:val="007E405A"/>
    <w:rsid w:val="007E470E"/>
    <w:rsid w:val="007E4B41"/>
    <w:rsid w:val="007E4BF4"/>
    <w:rsid w:val="007E4CC2"/>
    <w:rsid w:val="007E4E9B"/>
    <w:rsid w:val="007E6009"/>
    <w:rsid w:val="007E60CF"/>
    <w:rsid w:val="007E7087"/>
    <w:rsid w:val="007E7088"/>
    <w:rsid w:val="007E7342"/>
    <w:rsid w:val="007E7420"/>
    <w:rsid w:val="007E749A"/>
    <w:rsid w:val="007E7A99"/>
    <w:rsid w:val="007E7CAC"/>
    <w:rsid w:val="007E7D86"/>
    <w:rsid w:val="007F07E1"/>
    <w:rsid w:val="007F2051"/>
    <w:rsid w:val="007F2598"/>
    <w:rsid w:val="007F300E"/>
    <w:rsid w:val="007F376C"/>
    <w:rsid w:val="007F37B1"/>
    <w:rsid w:val="007F3C65"/>
    <w:rsid w:val="007F4172"/>
    <w:rsid w:val="007F47C3"/>
    <w:rsid w:val="007F4B17"/>
    <w:rsid w:val="007F5232"/>
    <w:rsid w:val="007F55CE"/>
    <w:rsid w:val="007F6182"/>
    <w:rsid w:val="007F63E3"/>
    <w:rsid w:val="007F6448"/>
    <w:rsid w:val="007F6463"/>
    <w:rsid w:val="007F6474"/>
    <w:rsid w:val="007F64B9"/>
    <w:rsid w:val="007F6A0A"/>
    <w:rsid w:val="007F6BA7"/>
    <w:rsid w:val="00800B95"/>
    <w:rsid w:val="008011D0"/>
    <w:rsid w:val="00801C41"/>
    <w:rsid w:val="00802BBC"/>
    <w:rsid w:val="00804623"/>
    <w:rsid w:val="00805D42"/>
    <w:rsid w:val="00805D6F"/>
    <w:rsid w:val="0080619E"/>
    <w:rsid w:val="00806432"/>
    <w:rsid w:val="008065FD"/>
    <w:rsid w:val="00806BF0"/>
    <w:rsid w:val="0080741C"/>
    <w:rsid w:val="008075E0"/>
    <w:rsid w:val="008079F6"/>
    <w:rsid w:val="00807A82"/>
    <w:rsid w:val="008103D4"/>
    <w:rsid w:val="00810423"/>
    <w:rsid w:val="008106C9"/>
    <w:rsid w:val="00810D76"/>
    <w:rsid w:val="00810E43"/>
    <w:rsid w:val="00811880"/>
    <w:rsid w:val="00811E4F"/>
    <w:rsid w:val="00812779"/>
    <w:rsid w:val="00813779"/>
    <w:rsid w:val="00813BF1"/>
    <w:rsid w:val="008143E3"/>
    <w:rsid w:val="008144F9"/>
    <w:rsid w:val="008145DB"/>
    <w:rsid w:val="008152AB"/>
    <w:rsid w:val="008155CA"/>
    <w:rsid w:val="00815D2E"/>
    <w:rsid w:val="00816351"/>
    <w:rsid w:val="00816E9E"/>
    <w:rsid w:val="008200FB"/>
    <w:rsid w:val="00820314"/>
    <w:rsid w:val="008203E6"/>
    <w:rsid w:val="0082043A"/>
    <w:rsid w:val="0082050A"/>
    <w:rsid w:val="0082113D"/>
    <w:rsid w:val="00821E09"/>
    <w:rsid w:val="00822012"/>
    <w:rsid w:val="00822523"/>
    <w:rsid w:val="00822DF3"/>
    <w:rsid w:val="00822E50"/>
    <w:rsid w:val="008236D0"/>
    <w:rsid w:val="00824070"/>
    <w:rsid w:val="008254EB"/>
    <w:rsid w:val="008257D4"/>
    <w:rsid w:val="00825DF7"/>
    <w:rsid w:val="0082603B"/>
    <w:rsid w:val="00826123"/>
    <w:rsid w:val="008273A3"/>
    <w:rsid w:val="00830153"/>
    <w:rsid w:val="00830CF2"/>
    <w:rsid w:val="00830DC5"/>
    <w:rsid w:val="00830DCC"/>
    <w:rsid w:val="00830EDE"/>
    <w:rsid w:val="008312A8"/>
    <w:rsid w:val="00831E74"/>
    <w:rsid w:val="008323D1"/>
    <w:rsid w:val="008326D1"/>
    <w:rsid w:val="00832761"/>
    <w:rsid w:val="0083357B"/>
    <w:rsid w:val="008335AD"/>
    <w:rsid w:val="008336C6"/>
    <w:rsid w:val="00834F3E"/>
    <w:rsid w:val="008359DB"/>
    <w:rsid w:val="00837503"/>
    <w:rsid w:val="00837768"/>
    <w:rsid w:val="00837BD9"/>
    <w:rsid w:val="0084017C"/>
    <w:rsid w:val="008405F4"/>
    <w:rsid w:val="0084074C"/>
    <w:rsid w:val="00840B3E"/>
    <w:rsid w:val="00840BF0"/>
    <w:rsid w:val="0084127F"/>
    <w:rsid w:val="008413AA"/>
    <w:rsid w:val="00841B96"/>
    <w:rsid w:val="00841C52"/>
    <w:rsid w:val="00842069"/>
    <w:rsid w:val="008428F3"/>
    <w:rsid w:val="0084310F"/>
    <w:rsid w:val="008434BD"/>
    <w:rsid w:val="00844C1C"/>
    <w:rsid w:val="008454ED"/>
    <w:rsid w:val="00845F8E"/>
    <w:rsid w:val="008472B6"/>
    <w:rsid w:val="0085075C"/>
    <w:rsid w:val="00850F1B"/>
    <w:rsid w:val="008519C6"/>
    <w:rsid w:val="00852180"/>
    <w:rsid w:val="00852878"/>
    <w:rsid w:val="008529C8"/>
    <w:rsid w:val="008531DF"/>
    <w:rsid w:val="0085332D"/>
    <w:rsid w:val="0085434E"/>
    <w:rsid w:val="00854647"/>
    <w:rsid w:val="008547C6"/>
    <w:rsid w:val="008548E0"/>
    <w:rsid w:val="00854945"/>
    <w:rsid w:val="00854AE4"/>
    <w:rsid w:val="008553A2"/>
    <w:rsid w:val="008560DE"/>
    <w:rsid w:val="0085686C"/>
    <w:rsid w:val="008576C1"/>
    <w:rsid w:val="00857F73"/>
    <w:rsid w:val="00861AE1"/>
    <w:rsid w:val="00861D5C"/>
    <w:rsid w:val="00862038"/>
    <w:rsid w:val="008623F1"/>
    <w:rsid w:val="00862695"/>
    <w:rsid w:val="00862CBE"/>
    <w:rsid w:val="00862E56"/>
    <w:rsid w:val="00863C16"/>
    <w:rsid w:val="00864174"/>
    <w:rsid w:val="0086456B"/>
    <w:rsid w:val="00864D98"/>
    <w:rsid w:val="00864DC2"/>
    <w:rsid w:val="00864F18"/>
    <w:rsid w:val="0086512E"/>
    <w:rsid w:val="008654A7"/>
    <w:rsid w:val="00865684"/>
    <w:rsid w:val="0086654B"/>
    <w:rsid w:val="008665B3"/>
    <w:rsid w:val="00866739"/>
    <w:rsid w:val="00866778"/>
    <w:rsid w:val="008675CE"/>
    <w:rsid w:val="00867BBF"/>
    <w:rsid w:val="00867CAD"/>
    <w:rsid w:val="00867EDE"/>
    <w:rsid w:val="00867FE6"/>
    <w:rsid w:val="00870898"/>
    <w:rsid w:val="00871A35"/>
    <w:rsid w:val="008723D7"/>
    <w:rsid w:val="0087257A"/>
    <w:rsid w:val="00872851"/>
    <w:rsid w:val="008728E8"/>
    <w:rsid w:val="0087296A"/>
    <w:rsid w:val="00872AEB"/>
    <w:rsid w:val="00872F39"/>
    <w:rsid w:val="00873012"/>
    <w:rsid w:val="0087308D"/>
    <w:rsid w:val="008732DE"/>
    <w:rsid w:val="00873C10"/>
    <w:rsid w:val="00873C70"/>
    <w:rsid w:val="0087400B"/>
    <w:rsid w:val="00874513"/>
    <w:rsid w:val="008762F2"/>
    <w:rsid w:val="00876DCB"/>
    <w:rsid w:val="008777AB"/>
    <w:rsid w:val="00877BCE"/>
    <w:rsid w:val="00877E19"/>
    <w:rsid w:val="0088042F"/>
    <w:rsid w:val="00880B44"/>
    <w:rsid w:val="00880BA4"/>
    <w:rsid w:val="00881A58"/>
    <w:rsid w:val="00881EA7"/>
    <w:rsid w:val="0088319A"/>
    <w:rsid w:val="008831C4"/>
    <w:rsid w:val="008834B9"/>
    <w:rsid w:val="00883874"/>
    <w:rsid w:val="00883D3F"/>
    <w:rsid w:val="00884096"/>
    <w:rsid w:val="0088412B"/>
    <w:rsid w:val="00884835"/>
    <w:rsid w:val="0088507C"/>
    <w:rsid w:val="00885659"/>
    <w:rsid w:val="008858F5"/>
    <w:rsid w:val="00886192"/>
    <w:rsid w:val="0088625C"/>
    <w:rsid w:val="00886EF8"/>
    <w:rsid w:val="0088759C"/>
    <w:rsid w:val="008878CC"/>
    <w:rsid w:val="00890CEA"/>
    <w:rsid w:val="00891736"/>
    <w:rsid w:val="00891AF1"/>
    <w:rsid w:val="00891E02"/>
    <w:rsid w:val="00892407"/>
    <w:rsid w:val="008928FA"/>
    <w:rsid w:val="00893FCF"/>
    <w:rsid w:val="00893FFC"/>
    <w:rsid w:val="0089576D"/>
    <w:rsid w:val="008963A5"/>
    <w:rsid w:val="0089659E"/>
    <w:rsid w:val="00896F46"/>
    <w:rsid w:val="00897159"/>
    <w:rsid w:val="00897410"/>
    <w:rsid w:val="008A02EA"/>
    <w:rsid w:val="008A05C7"/>
    <w:rsid w:val="008A1315"/>
    <w:rsid w:val="008A1832"/>
    <w:rsid w:val="008A29AF"/>
    <w:rsid w:val="008A2BB4"/>
    <w:rsid w:val="008A465C"/>
    <w:rsid w:val="008A548A"/>
    <w:rsid w:val="008A5EA6"/>
    <w:rsid w:val="008A6C50"/>
    <w:rsid w:val="008A70A2"/>
    <w:rsid w:val="008A71FF"/>
    <w:rsid w:val="008A793B"/>
    <w:rsid w:val="008A79FC"/>
    <w:rsid w:val="008B1252"/>
    <w:rsid w:val="008B15CD"/>
    <w:rsid w:val="008B1640"/>
    <w:rsid w:val="008B1994"/>
    <w:rsid w:val="008B1A15"/>
    <w:rsid w:val="008B20F9"/>
    <w:rsid w:val="008B2203"/>
    <w:rsid w:val="008B2E14"/>
    <w:rsid w:val="008B397C"/>
    <w:rsid w:val="008B3C0F"/>
    <w:rsid w:val="008B3D48"/>
    <w:rsid w:val="008B40B8"/>
    <w:rsid w:val="008B448C"/>
    <w:rsid w:val="008B45F6"/>
    <w:rsid w:val="008B487B"/>
    <w:rsid w:val="008B6190"/>
    <w:rsid w:val="008B656D"/>
    <w:rsid w:val="008B6A24"/>
    <w:rsid w:val="008B768D"/>
    <w:rsid w:val="008B7960"/>
    <w:rsid w:val="008B7B24"/>
    <w:rsid w:val="008C0043"/>
    <w:rsid w:val="008C02DF"/>
    <w:rsid w:val="008C0F99"/>
    <w:rsid w:val="008C1BA5"/>
    <w:rsid w:val="008C397D"/>
    <w:rsid w:val="008C3B92"/>
    <w:rsid w:val="008C489A"/>
    <w:rsid w:val="008C4EDF"/>
    <w:rsid w:val="008C5038"/>
    <w:rsid w:val="008C5915"/>
    <w:rsid w:val="008C6397"/>
    <w:rsid w:val="008C715E"/>
    <w:rsid w:val="008C7265"/>
    <w:rsid w:val="008C7EAE"/>
    <w:rsid w:val="008D11C1"/>
    <w:rsid w:val="008D1B74"/>
    <w:rsid w:val="008D1F09"/>
    <w:rsid w:val="008D26B3"/>
    <w:rsid w:val="008D3243"/>
    <w:rsid w:val="008D3F12"/>
    <w:rsid w:val="008D4A72"/>
    <w:rsid w:val="008D4CC9"/>
    <w:rsid w:val="008D583F"/>
    <w:rsid w:val="008D6097"/>
    <w:rsid w:val="008D6113"/>
    <w:rsid w:val="008D613D"/>
    <w:rsid w:val="008D6C91"/>
    <w:rsid w:val="008D6C9B"/>
    <w:rsid w:val="008D73D3"/>
    <w:rsid w:val="008D74A4"/>
    <w:rsid w:val="008D766B"/>
    <w:rsid w:val="008D7929"/>
    <w:rsid w:val="008D7B3A"/>
    <w:rsid w:val="008D7BDA"/>
    <w:rsid w:val="008D7F46"/>
    <w:rsid w:val="008D7F47"/>
    <w:rsid w:val="008E056D"/>
    <w:rsid w:val="008E3C66"/>
    <w:rsid w:val="008E411D"/>
    <w:rsid w:val="008E41F9"/>
    <w:rsid w:val="008E47CA"/>
    <w:rsid w:val="008E5076"/>
    <w:rsid w:val="008E51F7"/>
    <w:rsid w:val="008E54E8"/>
    <w:rsid w:val="008E57B6"/>
    <w:rsid w:val="008E57BB"/>
    <w:rsid w:val="008E5EC7"/>
    <w:rsid w:val="008E6163"/>
    <w:rsid w:val="008E6409"/>
    <w:rsid w:val="008E6BC2"/>
    <w:rsid w:val="008E6C0B"/>
    <w:rsid w:val="008E6DDB"/>
    <w:rsid w:val="008E7258"/>
    <w:rsid w:val="008F0F72"/>
    <w:rsid w:val="008F122B"/>
    <w:rsid w:val="008F18FF"/>
    <w:rsid w:val="008F207C"/>
    <w:rsid w:val="008F2CF1"/>
    <w:rsid w:val="008F2EA2"/>
    <w:rsid w:val="008F3AFF"/>
    <w:rsid w:val="008F402F"/>
    <w:rsid w:val="008F4EB6"/>
    <w:rsid w:val="008F5080"/>
    <w:rsid w:val="008F5369"/>
    <w:rsid w:val="008F6F1D"/>
    <w:rsid w:val="009004A3"/>
    <w:rsid w:val="00900B65"/>
    <w:rsid w:val="00902F47"/>
    <w:rsid w:val="00903A3A"/>
    <w:rsid w:val="00903A7B"/>
    <w:rsid w:val="00903CA3"/>
    <w:rsid w:val="0090410F"/>
    <w:rsid w:val="00904362"/>
    <w:rsid w:val="0090490A"/>
    <w:rsid w:val="00904F21"/>
    <w:rsid w:val="00905143"/>
    <w:rsid w:val="009065F8"/>
    <w:rsid w:val="0090663A"/>
    <w:rsid w:val="00906A04"/>
    <w:rsid w:val="00906C69"/>
    <w:rsid w:val="00907241"/>
    <w:rsid w:val="00907D0F"/>
    <w:rsid w:val="00907EBA"/>
    <w:rsid w:val="00910440"/>
    <w:rsid w:val="009110E9"/>
    <w:rsid w:val="00911864"/>
    <w:rsid w:val="009118D5"/>
    <w:rsid w:val="00911CC8"/>
    <w:rsid w:val="00911D82"/>
    <w:rsid w:val="009120CD"/>
    <w:rsid w:val="00912362"/>
    <w:rsid w:val="0091244E"/>
    <w:rsid w:val="00912609"/>
    <w:rsid w:val="00912B11"/>
    <w:rsid w:val="00913F6F"/>
    <w:rsid w:val="00913F90"/>
    <w:rsid w:val="00915641"/>
    <w:rsid w:val="0091569B"/>
    <w:rsid w:val="00915C8D"/>
    <w:rsid w:val="00915E68"/>
    <w:rsid w:val="0091612E"/>
    <w:rsid w:val="00916892"/>
    <w:rsid w:val="00916936"/>
    <w:rsid w:val="009172B0"/>
    <w:rsid w:val="0091734D"/>
    <w:rsid w:val="00917814"/>
    <w:rsid w:val="0091798F"/>
    <w:rsid w:val="00917990"/>
    <w:rsid w:val="00917CB7"/>
    <w:rsid w:val="00920203"/>
    <w:rsid w:val="00920E0F"/>
    <w:rsid w:val="00920EDA"/>
    <w:rsid w:val="00920F7E"/>
    <w:rsid w:val="009217A4"/>
    <w:rsid w:val="00921829"/>
    <w:rsid w:val="00921D80"/>
    <w:rsid w:val="00922112"/>
    <w:rsid w:val="0092222D"/>
    <w:rsid w:val="009225B1"/>
    <w:rsid w:val="009226E5"/>
    <w:rsid w:val="00922FFE"/>
    <w:rsid w:val="009239A4"/>
    <w:rsid w:val="00923C08"/>
    <w:rsid w:val="00924926"/>
    <w:rsid w:val="0092494B"/>
    <w:rsid w:val="00924BBA"/>
    <w:rsid w:val="00924C3A"/>
    <w:rsid w:val="009252B5"/>
    <w:rsid w:val="00925BBF"/>
    <w:rsid w:val="009268CB"/>
    <w:rsid w:val="00926AC1"/>
    <w:rsid w:val="00926EDD"/>
    <w:rsid w:val="00930569"/>
    <w:rsid w:val="00930A20"/>
    <w:rsid w:val="009311E8"/>
    <w:rsid w:val="00931FD9"/>
    <w:rsid w:val="00932E41"/>
    <w:rsid w:val="0093305F"/>
    <w:rsid w:val="009333E3"/>
    <w:rsid w:val="00933447"/>
    <w:rsid w:val="00933D5D"/>
    <w:rsid w:val="00933E62"/>
    <w:rsid w:val="0093412F"/>
    <w:rsid w:val="009343D4"/>
    <w:rsid w:val="00935089"/>
    <w:rsid w:val="00935425"/>
    <w:rsid w:val="009356D8"/>
    <w:rsid w:val="00935BC5"/>
    <w:rsid w:val="00935F0E"/>
    <w:rsid w:val="009371E3"/>
    <w:rsid w:val="00937407"/>
    <w:rsid w:val="00937789"/>
    <w:rsid w:val="009378A5"/>
    <w:rsid w:val="009378E3"/>
    <w:rsid w:val="009402AE"/>
    <w:rsid w:val="009407C9"/>
    <w:rsid w:val="009409AA"/>
    <w:rsid w:val="00941545"/>
    <w:rsid w:val="0094202D"/>
    <w:rsid w:val="0094219A"/>
    <w:rsid w:val="0094251E"/>
    <w:rsid w:val="009434F0"/>
    <w:rsid w:val="00943CCB"/>
    <w:rsid w:val="00944825"/>
    <w:rsid w:val="0094496A"/>
    <w:rsid w:val="009449DC"/>
    <w:rsid w:val="009450C3"/>
    <w:rsid w:val="009451D7"/>
    <w:rsid w:val="009452D4"/>
    <w:rsid w:val="009453A7"/>
    <w:rsid w:val="00946505"/>
    <w:rsid w:val="00947083"/>
    <w:rsid w:val="009477F1"/>
    <w:rsid w:val="00947AC2"/>
    <w:rsid w:val="00950CD4"/>
    <w:rsid w:val="00953CD9"/>
    <w:rsid w:val="00954525"/>
    <w:rsid w:val="00954B43"/>
    <w:rsid w:val="00954E24"/>
    <w:rsid w:val="009555D3"/>
    <w:rsid w:val="0095646F"/>
    <w:rsid w:val="009565F6"/>
    <w:rsid w:val="0095687B"/>
    <w:rsid w:val="00956B3B"/>
    <w:rsid w:val="0095723B"/>
    <w:rsid w:val="0096028D"/>
    <w:rsid w:val="00960B15"/>
    <w:rsid w:val="00960FF2"/>
    <w:rsid w:val="00961208"/>
    <w:rsid w:val="00961BB4"/>
    <w:rsid w:val="009627E0"/>
    <w:rsid w:val="009628C4"/>
    <w:rsid w:val="009631C9"/>
    <w:rsid w:val="009646BC"/>
    <w:rsid w:val="00964D11"/>
    <w:rsid w:val="00965D1B"/>
    <w:rsid w:val="00966346"/>
    <w:rsid w:val="00966379"/>
    <w:rsid w:val="00966431"/>
    <w:rsid w:val="00967CB2"/>
    <w:rsid w:val="0097004A"/>
    <w:rsid w:val="0097065C"/>
    <w:rsid w:val="00971618"/>
    <w:rsid w:val="009718A3"/>
    <w:rsid w:val="00973F37"/>
    <w:rsid w:val="00974644"/>
    <w:rsid w:val="00974FEC"/>
    <w:rsid w:val="00975108"/>
    <w:rsid w:val="009751D4"/>
    <w:rsid w:val="009754E1"/>
    <w:rsid w:val="009757AF"/>
    <w:rsid w:val="0097736B"/>
    <w:rsid w:val="009775CC"/>
    <w:rsid w:val="009778DE"/>
    <w:rsid w:val="00980068"/>
    <w:rsid w:val="009801AE"/>
    <w:rsid w:val="009809D9"/>
    <w:rsid w:val="00980B17"/>
    <w:rsid w:val="00980C2D"/>
    <w:rsid w:val="00980D7D"/>
    <w:rsid w:val="00981746"/>
    <w:rsid w:val="00981A9A"/>
    <w:rsid w:val="00983D34"/>
    <w:rsid w:val="00983FF9"/>
    <w:rsid w:val="0098572F"/>
    <w:rsid w:val="00985967"/>
    <w:rsid w:val="00985B76"/>
    <w:rsid w:val="00986285"/>
    <w:rsid w:val="009868B0"/>
    <w:rsid w:val="009869CD"/>
    <w:rsid w:val="00987D06"/>
    <w:rsid w:val="00990051"/>
    <w:rsid w:val="009904B8"/>
    <w:rsid w:val="0099067C"/>
    <w:rsid w:val="009909DE"/>
    <w:rsid w:val="00990C7C"/>
    <w:rsid w:val="00990E61"/>
    <w:rsid w:val="00990F70"/>
    <w:rsid w:val="00990F7A"/>
    <w:rsid w:val="00991288"/>
    <w:rsid w:val="00991F18"/>
    <w:rsid w:val="009921C5"/>
    <w:rsid w:val="009921D9"/>
    <w:rsid w:val="009924CD"/>
    <w:rsid w:val="00992FD7"/>
    <w:rsid w:val="00993070"/>
    <w:rsid w:val="009933EE"/>
    <w:rsid w:val="0099369A"/>
    <w:rsid w:val="00993B3B"/>
    <w:rsid w:val="00993B4F"/>
    <w:rsid w:val="009940D9"/>
    <w:rsid w:val="00994785"/>
    <w:rsid w:val="00995162"/>
    <w:rsid w:val="00995C15"/>
    <w:rsid w:val="00995D84"/>
    <w:rsid w:val="009960F7"/>
    <w:rsid w:val="009965AE"/>
    <w:rsid w:val="00996AC4"/>
    <w:rsid w:val="00997D7C"/>
    <w:rsid w:val="00997FB6"/>
    <w:rsid w:val="009A0386"/>
    <w:rsid w:val="009A1353"/>
    <w:rsid w:val="009A1411"/>
    <w:rsid w:val="009A18DC"/>
    <w:rsid w:val="009A249F"/>
    <w:rsid w:val="009A2609"/>
    <w:rsid w:val="009A2F2C"/>
    <w:rsid w:val="009A395C"/>
    <w:rsid w:val="009A5569"/>
    <w:rsid w:val="009A674C"/>
    <w:rsid w:val="009A6A25"/>
    <w:rsid w:val="009A6A3E"/>
    <w:rsid w:val="009A6D42"/>
    <w:rsid w:val="009A6F61"/>
    <w:rsid w:val="009A7481"/>
    <w:rsid w:val="009A7DDD"/>
    <w:rsid w:val="009B0282"/>
    <w:rsid w:val="009B094F"/>
    <w:rsid w:val="009B0CC6"/>
    <w:rsid w:val="009B0CE1"/>
    <w:rsid w:val="009B1D08"/>
    <w:rsid w:val="009B1F2C"/>
    <w:rsid w:val="009B2388"/>
    <w:rsid w:val="009B2446"/>
    <w:rsid w:val="009B25EF"/>
    <w:rsid w:val="009B2D6A"/>
    <w:rsid w:val="009B31CC"/>
    <w:rsid w:val="009B320A"/>
    <w:rsid w:val="009B3AFB"/>
    <w:rsid w:val="009B3DEE"/>
    <w:rsid w:val="009B4734"/>
    <w:rsid w:val="009B4DEF"/>
    <w:rsid w:val="009B5200"/>
    <w:rsid w:val="009B5A1F"/>
    <w:rsid w:val="009B5D8D"/>
    <w:rsid w:val="009B705A"/>
    <w:rsid w:val="009C04D8"/>
    <w:rsid w:val="009C216D"/>
    <w:rsid w:val="009C2236"/>
    <w:rsid w:val="009C252C"/>
    <w:rsid w:val="009C2C45"/>
    <w:rsid w:val="009C2D71"/>
    <w:rsid w:val="009C2D92"/>
    <w:rsid w:val="009C2ED2"/>
    <w:rsid w:val="009C3E16"/>
    <w:rsid w:val="009C649D"/>
    <w:rsid w:val="009C660B"/>
    <w:rsid w:val="009C68DE"/>
    <w:rsid w:val="009C6F42"/>
    <w:rsid w:val="009C7A4B"/>
    <w:rsid w:val="009C7D50"/>
    <w:rsid w:val="009C7F9F"/>
    <w:rsid w:val="009D07EA"/>
    <w:rsid w:val="009D129F"/>
    <w:rsid w:val="009D28CE"/>
    <w:rsid w:val="009D2ED1"/>
    <w:rsid w:val="009D2F21"/>
    <w:rsid w:val="009D3047"/>
    <w:rsid w:val="009D3F6F"/>
    <w:rsid w:val="009D4AA2"/>
    <w:rsid w:val="009D512F"/>
    <w:rsid w:val="009D58A2"/>
    <w:rsid w:val="009D5AF1"/>
    <w:rsid w:val="009D6597"/>
    <w:rsid w:val="009D6849"/>
    <w:rsid w:val="009D7165"/>
    <w:rsid w:val="009E0474"/>
    <w:rsid w:val="009E05E7"/>
    <w:rsid w:val="009E0876"/>
    <w:rsid w:val="009E09A6"/>
    <w:rsid w:val="009E12A9"/>
    <w:rsid w:val="009E1310"/>
    <w:rsid w:val="009E1496"/>
    <w:rsid w:val="009E1641"/>
    <w:rsid w:val="009E1FB6"/>
    <w:rsid w:val="009E2B69"/>
    <w:rsid w:val="009E2C0D"/>
    <w:rsid w:val="009E3B31"/>
    <w:rsid w:val="009E45E6"/>
    <w:rsid w:val="009E493B"/>
    <w:rsid w:val="009E51F2"/>
    <w:rsid w:val="009E526C"/>
    <w:rsid w:val="009E5BB3"/>
    <w:rsid w:val="009E5F89"/>
    <w:rsid w:val="009E6979"/>
    <w:rsid w:val="009E6C3F"/>
    <w:rsid w:val="009E6D87"/>
    <w:rsid w:val="009E70B7"/>
    <w:rsid w:val="009E784C"/>
    <w:rsid w:val="009F0499"/>
    <w:rsid w:val="009F083C"/>
    <w:rsid w:val="009F08E8"/>
    <w:rsid w:val="009F0B20"/>
    <w:rsid w:val="009F0F88"/>
    <w:rsid w:val="009F169D"/>
    <w:rsid w:val="009F1F1A"/>
    <w:rsid w:val="009F2337"/>
    <w:rsid w:val="009F36D4"/>
    <w:rsid w:val="009F3A72"/>
    <w:rsid w:val="009F3DA8"/>
    <w:rsid w:val="009F521C"/>
    <w:rsid w:val="009F532C"/>
    <w:rsid w:val="009F5F0B"/>
    <w:rsid w:val="009F69CD"/>
    <w:rsid w:val="009F7110"/>
    <w:rsid w:val="009F712F"/>
    <w:rsid w:val="009F7804"/>
    <w:rsid w:val="009F7EC4"/>
    <w:rsid w:val="009F7FE8"/>
    <w:rsid w:val="00A005AB"/>
    <w:rsid w:val="00A005C9"/>
    <w:rsid w:val="00A0149B"/>
    <w:rsid w:val="00A029B6"/>
    <w:rsid w:val="00A02BFF"/>
    <w:rsid w:val="00A034AA"/>
    <w:rsid w:val="00A03956"/>
    <w:rsid w:val="00A0397D"/>
    <w:rsid w:val="00A03EB1"/>
    <w:rsid w:val="00A04E30"/>
    <w:rsid w:val="00A053A5"/>
    <w:rsid w:val="00A053B4"/>
    <w:rsid w:val="00A0632E"/>
    <w:rsid w:val="00A1037A"/>
    <w:rsid w:val="00A10B68"/>
    <w:rsid w:val="00A11734"/>
    <w:rsid w:val="00A11972"/>
    <w:rsid w:val="00A11C50"/>
    <w:rsid w:val="00A11C74"/>
    <w:rsid w:val="00A12325"/>
    <w:rsid w:val="00A1307B"/>
    <w:rsid w:val="00A1678D"/>
    <w:rsid w:val="00A17525"/>
    <w:rsid w:val="00A17FD9"/>
    <w:rsid w:val="00A2037B"/>
    <w:rsid w:val="00A2078D"/>
    <w:rsid w:val="00A20815"/>
    <w:rsid w:val="00A20B0A"/>
    <w:rsid w:val="00A20F5D"/>
    <w:rsid w:val="00A212C4"/>
    <w:rsid w:val="00A2136B"/>
    <w:rsid w:val="00A2151E"/>
    <w:rsid w:val="00A21D3F"/>
    <w:rsid w:val="00A22069"/>
    <w:rsid w:val="00A23DD9"/>
    <w:rsid w:val="00A2529A"/>
    <w:rsid w:val="00A25BCF"/>
    <w:rsid w:val="00A261FA"/>
    <w:rsid w:val="00A262B4"/>
    <w:rsid w:val="00A277F1"/>
    <w:rsid w:val="00A27D1F"/>
    <w:rsid w:val="00A27E31"/>
    <w:rsid w:val="00A27F0F"/>
    <w:rsid w:val="00A30359"/>
    <w:rsid w:val="00A30842"/>
    <w:rsid w:val="00A30880"/>
    <w:rsid w:val="00A308DC"/>
    <w:rsid w:val="00A308E6"/>
    <w:rsid w:val="00A30E63"/>
    <w:rsid w:val="00A3142D"/>
    <w:rsid w:val="00A31A39"/>
    <w:rsid w:val="00A32B63"/>
    <w:rsid w:val="00A32E10"/>
    <w:rsid w:val="00A32E67"/>
    <w:rsid w:val="00A32E70"/>
    <w:rsid w:val="00A333CE"/>
    <w:rsid w:val="00A335BF"/>
    <w:rsid w:val="00A3384C"/>
    <w:rsid w:val="00A34807"/>
    <w:rsid w:val="00A35A7E"/>
    <w:rsid w:val="00A35FE2"/>
    <w:rsid w:val="00A36B39"/>
    <w:rsid w:val="00A36E77"/>
    <w:rsid w:val="00A371AB"/>
    <w:rsid w:val="00A37688"/>
    <w:rsid w:val="00A37D8D"/>
    <w:rsid w:val="00A40587"/>
    <w:rsid w:val="00A4083D"/>
    <w:rsid w:val="00A40857"/>
    <w:rsid w:val="00A40DA2"/>
    <w:rsid w:val="00A41299"/>
    <w:rsid w:val="00A41423"/>
    <w:rsid w:val="00A4244F"/>
    <w:rsid w:val="00A424E6"/>
    <w:rsid w:val="00A42A43"/>
    <w:rsid w:val="00A42DC2"/>
    <w:rsid w:val="00A43170"/>
    <w:rsid w:val="00A43935"/>
    <w:rsid w:val="00A43B10"/>
    <w:rsid w:val="00A4411C"/>
    <w:rsid w:val="00A44181"/>
    <w:rsid w:val="00A44379"/>
    <w:rsid w:val="00A447A5"/>
    <w:rsid w:val="00A44A45"/>
    <w:rsid w:val="00A44A7E"/>
    <w:rsid w:val="00A44B42"/>
    <w:rsid w:val="00A45E82"/>
    <w:rsid w:val="00A45EF5"/>
    <w:rsid w:val="00A46A62"/>
    <w:rsid w:val="00A46D18"/>
    <w:rsid w:val="00A473E5"/>
    <w:rsid w:val="00A47952"/>
    <w:rsid w:val="00A47E61"/>
    <w:rsid w:val="00A50237"/>
    <w:rsid w:val="00A506EB"/>
    <w:rsid w:val="00A5139D"/>
    <w:rsid w:val="00A519A5"/>
    <w:rsid w:val="00A51A8E"/>
    <w:rsid w:val="00A51BE7"/>
    <w:rsid w:val="00A51F70"/>
    <w:rsid w:val="00A52063"/>
    <w:rsid w:val="00A520C8"/>
    <w:rsid w:val="00A5283F"/>
    <w:rsid w:val="00A52F25"/>
    <w:rsid w:val="00A53CC8"/>
    <w:rsid w:val="00A53D01"/>
    <w:rsid w:val="00A53E73"/>
    <w:rsid w:val="00A54625"/>
    <w:rsid w:val="00A556FA"/>
    <w:rsid w:val="00A55890"/>
    <w:rsid w:val="00A558B9"/>
    <w:rsid w:val="00A56809"/>
    <w:rsid w:val="00A56CE9"/>
    <w:rsid w:val="00A56D19"/>
    <w:rsid w:val="00A56EBD"/>
    <w:rsid w:val="00A572A4"/>
    <w:rsid w:val="00A57A29"/>
    <w:rsid w:val="00A57A35"/>
    <w:rsid w:val="00A57C18"/>
    <w:rsid w:val="00A60ACF"/>
    <w:rsid w:val="00A61501"/>
    <w:rsid w:val="00A61D81"/>
    <w:rsid w:val="00A62164"/>
    <w:rsid w:val="00A6218C"/>
    <w:rsid w:val="00A6248B"/>
    <w:rsid w:val="00A6264C"/>
    <w:rsid w:val="00A630D0"/>
    <w:rsid w:val="00A63189"/>
    <w:rsid w:val="00A6339C"/>
    <w:rsid w:val="00A636EB"/>
    <w:rsid w:val="00A63CE8"/>
    <w:rsid w:val="00A63E73"/>
    <w:rsid w:val="00A643C2"/>
    <w:rsid w:val="00A644C8"/>
    <w:rsid w:val="00A64580"/>
    <w:rsid w:val="00A64921"/>
    <w:rsid w:val="00A6496B"/>
    <w:rsid w:val="00A653E6"/>
    <w:rsid w:val="00A654C0"/>
    <w:rsid w:val="00A6555C"/>
    <w:rsid w:val="00A656C5"/>
    <w:rsid w:val="00A6615E"/>
    <w:rsid w:val="00A663A0"/>
    <w:rsid w:val="00A668F5"/>
    <w:rsid w:val="00A67BF0"/>
    <w:rsid w:val="00A67E4E"/>
    <w:rsid w:val="00A70308"/>
    <w:rsid w:val="00A704BC"/>
    <w:rsid w:val="00A714B4"/>
    <w:rsid w:val="00A71BAF"/>
    <w:rsid w:val="00A71C70"/>
    <w:rsid w:val="00A71C93"/>
    <w:rsid w:val="00A71C9A"/>
    <w:rsid w:val="00A725F1"/>
    <w:rsid w:val="00A728CA"/>
    <w:rsid w:val="00A72A98"/>
    <w:rsid w:val="00A7329E"/>
    <w:rsid w:val="00A73352"/>
    <w:rsid w:val="00A73A6E"/>
    <w:rsid w:val="00A73BD1"/>
    <w:rsid w:val="00A73EBC"/>
    <w:rsid w:val="00A73F9F"/>
    <w:rsid w:val="00A74749"/>
    <w:rsid w:val="00A74BC9"/>
    <w:rsid w:val="00A756CE"/>
    <w:rsid w:val="00A75AA1"/>
    <w:rsid w:val="00A75D79"/>
    <w:rsid w:val="00A75EC6"/>
    <w:rsid w:val="00A75EE1"/>
    <w:rsid w:val="00A76437"/>
    <w:rsid w:val="00A773F1"/>
    <w:rsid w:val="00A77537"/>
    <w:rsid w:val="00A77879"/>
    <w:rsid w:val="00A8047E"/>
    <w:rsid w:val="00A80AF4"/>
    <w:rsid w:val="00A80BF9"/>
    <w:rsid w:val="00A80CAF"/>
    <w:rsid w:val="00A80EAB"/>
    <w:rsid w:val="00A8155C"/>
    <w:rsid w:val="00A8166E"/>
    <w:rsid w:val="00A8214C"/>
    <w:rsid w:val="00A822A7"/>
    <w:rsid w:val="00A82C90"/>
    <w:rsid w:val="00A82E03"/>
    <w:rsid w:val="00A8347D"/>
    <w:rsid w:val="00A83A12"/>
    <w:rsid w:val="00A84843"/>
    <w:rsid w:val="00A8508C"/>
    <w:rsid w:val="00A852E4"/>
    <w:rsid w:val="00A85488"/>
    <w:rsid w:val="00A8570D"/>
    <w:rsid w:val="00A859A8"/>
    <w:rsid w:val="00A85C90"/>
    <w:rsid w:val="00A86E42"/>
    <w:rsid w:val="00A87005"/>
    <w:rsid w:val="00A870C3"/>
    <w:rsid w:val="00A902C8"/>
    <w:rsid w:val="00A90730"/>
    <w:rsid w:val="00A90ED2"/>
    <w:rsid w:val="00A90F85"/>
    <w:rsid w:val="00A9148F"/>
    <w:rsid w:val="00A91F85"/>
    <w:rsid w:val="00A92371"/>
    <w:rsid w:val="00A930AD"/>
    <w:rsid w:val="00A935DA"/>
    <w:rsid w:val="00A939C8"/>
    <w:rsid w:val="00A9539E"/>
    <w:rsid w:val="00A96073"/>
    <w:rsid w:val="00A96B4D"/>
    <w:rsid w:val="00A96B5C"/>
    <w:rsid w:val="00A96C5A"/>
    <w:rsid w:val="00A96EC4"/>
    <w:rsid w:val="00A97778"/>
    <w:rsid w:val="00AA02D9"/>
    <w:rsid w:val="00AA0444"/>
    <w:rsid w:val="00AA0C38"/>
    <w:rsid w:val="00AA0D01"/>
    <w:rsid w:val="00AA22DA"/>
    <w:rsid w:val="00AA235A"/>
    <w:rsid w:val="00AA239F"/>
    <w:rsid w:val="00AA2583"/>
    <w:rsid w:val="00AA287D"/>
    <w:rsid w:val="00AA288F"/>
    <w:rsid w:val="00AA34DD"/>
    <w:rsid w:val="00AA363C"/>
    <w:rsid w:val="00AA3B59"/>
    <w:rsid w:val="00AA3E96"/>
    <w:rsid w:val="00AA41DE"/>
    <w:rsid w:val="00AA45E5"/>
    <w:rsid w:val="00AA4644"/>
    <w:rsid w:val="00AA4D2F"/>
    <w:rsid w:val="00AA4D50"/>
    <w:rsid w:val="00AA4F61"/>
    <w:rsid w:val="00AA640F"/>
    <w:rsid w:val="00AA6B58"/>
    <w:rsid w:val="00AA718F"/>
    <w:rsid w:val="00AA7D16"/>
    <w:rsid w:val="00AA7E0E"/>
    <w:rsid w:val="00AB1A59"/>
    <w:rsid w:val="00AB1B63"/>
    <w:rsid w:val="00AB2110"/>
    <w:rsid w:val="00AB39DB"/>
    <w:rsid w:val="00AB427B"/>
    <w:rsid w:val="00AB4613"/>
    <w:rsid w:val="00AB4BC1"/>
    <w:rsid w:val="00AB4CFF"/>
    <w:rsid w:val="00AB52F2"/>
    <w:rsid w:val="00AB5708"/>
    <w:rsid w:val="00AB607C"/>
    <w:rsid w:val="00AB62B9"/>
    <w:rsid w:val="00AB630D"/>
    <w:rsid w:val="00AB673C"/>
    <w:rsid w:val="00AB6F3D"/>
    <w:rsid w:val="00AB700B"/>
    <w:rsid w:val="00AB7079"/>
    <w:rsid w:val="00AB793A"/>
    <w:rsid w:val="00AB7A26"/>
    <w:rsid w:val="00AC0407"/>
    <w:rsid w:val="00AC064A"/>
    <w:rsid w:val="00AC0FD7"/>
    <w:rsid w:val="00AC1ECA"/>
    <w:rsid w:val="00AC213E"/>
    <w:rsid w:val="00AC27BB"/>
    <w:rsid w:val="00AC2ADF"/>
    <w:rsid w:val="00AC2CF7"/>
    <w:rsid w:val="00AC3CED"/>
    <w:rsid w:val="00AC3D06"/>
    <w:rsid w:val="00AC4021"/>
    <w:rsid w:val="00AC434D"/>
    <w:rsid w:val="00AC436B"/>
    <w:rsid w:val="00AC49DF"/>
    <w:rsid w:val="00AC4A3D"/>
    <w:rsid w:val="00AC4AF8"/>
    <w:rsid w:val="00AC4B9E"/>
    <w:rsid w:val="00AC4EF2"/>
    <w:rsid w:val="00AC543D"/>
    <w:rsid w:val="00AC5611"/>
    <w:rsid w:val="00AC5C0B"/>
    <w:rsid w:val="00AC5F9F"/>
    <w:rsid w:val="00AD070F"/>
    <w:rsid w:val="00AD0CAD"/>
    <w:rsid w:val="00AD0F8F"/>
    <w:rsid w:val="00AD21AA"/>
    <w:rsid w:val="00AD25E7"/>
    <w:rsid w:val="00AD2E35"/>
    <w:rsid w:val="00AD3911"/>
    <w:rsid w:val="00AD3BCB"/>
    <w:rsid w:val="00AD3CE2"/>
    <w:rsid w:val="00AD5491"/>
    <w:rsid w:val="00AD6019"/>
    <w:rsid w:val="00AD69A2"/>
    <w:rsid w:val="00AD69F8"/>
    <w:rsid w:val="00AD6A41"/>
    <w:rsid w:val="00AD6A52"/>
    <w:rsid w:val="00AD7497"/>
    <w:rsid w:val="00AD77A5"/>
    <w:rsid w:val="00AD79B0"/>
    <w:rsid w:val="00AE003B"/>
    <w:rsid w:val="00AE06B9"/>
    <w:rsid w:val="00AE16A0"/>
    <w:rsid w:val="00AE177E"/>
    <w:rsid w:val="00AE1DEA"/>
    <w:rsid w:val="00AE33B1"/>
    <w:rsid w:val="00AE3A33"/>
    <w:rsid w:val="00AE495C"/>
    <w:rsid w:val="00AE4990"/>
    <w:rsid w:val="00AE5279"/>
    <w:rsid w:val="00AE595B"/>
    <w:rsid w:val="00AE6A3E"/>
    <w:rsid w:val="00AE6A6E"/>
    <w:rsid w:val="00AE70CD"/>
    <w:rsid w:val="00AE7168"/>
    <w:rsid w:val="00AE7744"/>
    <w:rsid w:val="00AF06FC"/>
    <w:rsid w:val="00AF0B2D"/>
    <w:rsid w:val="00AF1683"/>
    <w:rsid w:val="00AF27CA"/>
    <w:rsid w:val="00AF33B2"/>
    <w:rsid w:val="00AF3E79"/>
    <w:rsid w:val="00AF3F7F"/>
    <w:rsid w:val="00AF5E72"/>
    <w:rsid w:val="00AF684E"/>
    <w:rsid w:val="00AF7C86"/>
    <w:rsid w:val="00B0035F"/>
    <w:rsid w:val="00B006F0"/>
    <w:rsid w:val="00B00F15"/>
    <w:rsid w:val="00B012B0"/>
    <w:rsid w:val="00B0198C"/>
    <w:rsid w:val="00B01B71"/>
    <w:rsid w:val="00B01DA4"/>
    <w:rsid w:val="00B01F77"/>
    <w:rsid w:val="00B026F3"/>
    <w:rsid w:val="00B028C6"/>
    <w:rsid w:val="00B02991"/>
    <w:rsid w:val="00B02A46"/>
    <w:rsid w:val="00B032DA"/>
    <w:rsid w:val="00B03AFB"/>
    <w:rsid w:val="00B04A0C"/>
    <w:rsid w:val="00B051D4"/>
    <w:rsid w:val="00B05968"/>
    <w:rsid w:val="00B05A15"/>
    <w:rsid w:val="00B05B59"/>
    <w:rsid w:val="00B06E12"/>
    <w:rsid w:val="00B07069"/>
    <w:rsid w:val="00B07279"/>
    <w:rsid w:val="00B07A77"/>
    <w:rsid w:val="00B102F9"/>
    <w:rsid w:val="00B1141D"/>
    <w:rsid w:val="00B11FCC"/>
    <w:rsid w:val="00B123BA"/>
    <w:rsid w:val="00B13383"/>
    <w:rsid w:val="00B13437"/>
    <w:rsid w:val="00B13C69"/>
    <w:rsid w:val="00B13FD3"/>
    <w:rsid w:val="00B14258"/>
    <w:rsid w:val="00B14410"/>
    <w:rsid w:val="00B1532D"/>
    <w:rsid w:val="00B159DE"/>
    <w:rsid w:val="00B15F2F"/>
    <w:rsid w:val="00B162E5"/>
    <w:rsid w:val="00B166BE"/>
    <w:rsid w:val="00B171D2"/>
    <w:rsid w:val="00B172BA"/>
    <w:rsid w:val="00B179B6"/>
    <w:rsid w:val="00B17BE6"/>
    <w:rsid w:val="00B201B7"/>
    <w:rsid w:val="00B201F0"/>
    <w:rsid w:val="00B20708"/>
    <w:rsid w:val="00B21DC6"/>
    <w:rsid w:val="00B231C4"/>
    <w:rsid w:val="00B23F2B"/>
    <w:rsid w:val="00B2409B"/>
    <w:rsid w:val="00B24F81"/>
    <w:rsid w:val="00B2537D"/>
    <w:rsid w:val="00B255C6"/>
    <w:rsid w:val="00B25D08"/>
    <w:rsid w:val="00B25DE0"/>
    <w:rsid w:val="00B269B4"/>
    <w:rsid w:val="00B27203"/>
    <w:rsid w:val="00B305F1"/>
    <w:rsid w:val="00B308E0"/>
    <w:rsid w:val="00B30F18"/>
    <w:rsid w:val="00B314A3"/>
    <w:rsid w:val="00B32552"/>
    <w:rsid w:val="00B32C5F"/>
    <w:rsid w:val="00B3337B"/>
    <w:rsid w:val="00B34EAC"/>
    <w:rsid w:val="00B355E2"/>
    <w:rsid w:val="00B35728"/>
    <w:rsid w:val="00B35E5E"/>
    <w:rsid w:val="00B36FA6"/>
    <w:rsid w:val="00B405FC"/>
    <w:rsid w:val="00B406DD"/>
    <w:rsid w:val="00B40CD9"/>
    <w:rsid w:val="00B40CFB"/>
    <w:rsid w:val="00B40F28"/>
    <w:rsid w:val="00B4168E"/>
    <w:rsid w:val="00B41A41"/>
    <w:rsid w:val="00B41F24"/>
    <w:rsid w:val="00B44192"/>
    <w:rsid w:val="00B45361"/>
    <w:rsid w:val="00B45793"/>
    <w:rsid w:val="00B4594C"/>
    <w:rsid w:val="00B45E37"/>
    <w:rsid w:val="00B46677"/>
    <w:rsid w:val="00B469BD"/>
    <w:rsid w:val="00B46A15"/>
    <w:rsid w:val="00B46ABC"/>
    <w:rsid w:val="00B46BC0"/>
    <w:rsid w:val="00B46EE1"/>
    <w:rsid w:val="00B47773"/>
    <w:rsid w:val="00B477EF"/>
    <w:rsid w:val="00B47A08"/>
    <w:rsid w:val="00B47AD8"/>
    <w:rsid w:val="00B503E0"/>
    <w:rsid w:val="00B51951"/>
    <w:rsid w:val="00B51B7D"/>
    <w:rsid w:val="00B523CF"/>
    <w:rsid w:val="00B52D9B"/>
    <w:rsid w:val="00B532EF"/>
    <w:rsid w:val="00B54C68"/>
    <w:rsid w:val="00B550CE"/>
    <w:rsid w:val="00B563B2"/>
    <w:rsid w:val="00B56739"/>
    <w:rsid w:val="00B56751"/>
    <w:rsid w:val="00B57755"/>
    <w:rsid w:val="00B578D0"/>
    <w:rsid w:val="00B57E48"/>
    <w:rsid w:val="00B60582"/>
    <w:rsid w:val="00B60824"/>
    <w:rsid w:val="00B60EC3"/>
    <w:rsid w:val="00B6121E"/>
    <w:rsid w:val="00B61C96"/>
    <w:rsid w:val="00B61D3C"/>
    <w:rsid w:val="00B62951"/>
    <w:rsid w:val="00B63A86"/>
    <w:rsid w:val="00B64584"/>
    <w:rsid w:val="00B64819"/>
    <w:rsid w:val="00B65064"/>
    <w:rsid w:val="00B65E7A"/>
    <w:rsid w:val="00B660E9"/>
    <w:rsid w:val="00B66D47"/>
    <w:rsid w:val="00B671CE"/>
    <w:rsid w:val="00B676D2"/>
    <w:rsid w:val="00B67830"/>
    <w:rsid w:val="00B67AB1"/>
    <w:rsid w:val="00B67B50"/>
    <w:rsid w:val="00B67D8B"/>
    <w:rsid w:val="00B705B8"/>
    <w:rsid w:val="00B718CB"/>
    <w:rsid w:val="00B71BE1"/>
    <w:rsid w:val="00B726F1"/>
    <w:rsid w:val="00B736F9"/>
    <w:rsid w:val="00B73A77"/>
    <w:rsid w:val="00B74045"/>
    <w:rsid w:val="00B7566F"/>
    <w:rsid w:val="00B75E87"/>
    <w:rsid w:val="00B76434"/>
    <w:rsid w:val="00B76B3C"/>
    <w:rsid w:val="00B76D10"/>
    <w:rsid w:val="00B77B98"/>
    <w:rsid w:val="00B8001F"/>
    <w:rsid w:val="00B807B3"/>
    <w:rsid w:val="00B80D0C"/>
    <w:rsid w:val="00B80E1F"/>
    <w:rsid w:val="00B81264"/>
    <w:rsid w:val="00B81885"/>
    <w:rsid w:val="00B81984"/>
    <w:rsid w:val="00B81C19"/>
    <w:rsid w:val="00B8200F"/>
    <w:rsid w:val="00B8239C"/>
    <w:rsid w:val="00B826AC"/>
    <w:rsid w:val="00B826FF"/>
    <w:rsid w:val="00B82793"/>
    <w:rsid w:val="00B82FA0"/>
    <w:rsid w:val="00B8364D"/>
    <w:rsid w:val="00B838EA"/>
    <w:rsid w:val="00B840CF"/>
    <w:rsid w:val="00B8411C"/>
    <w:rsid w:val="00B8432A"/>
    <w:rsid w:val="00B84717"/>
    <w:rsid w:val="00B84B16"/>
    <w:rsid w:val="00B85257"/>
    <w:rsid w:val="00B86032"/>
    <w:rsid w:val="00B86436"/>
    <w:rsid w:val="00B86454"/>
    <w:rsid w:val="00B86524"/>
    <w:rsid w:val="00B86592"/>
    <w:rsid w:val="00B86CFB"/>
    <w:rsid w:val="00B8704A"/>
    <w:rsid w:val="00B878EB"/>
    <w:rsid w:val="00B8799A"/>
    <w:rsid w:val="00B87BFF"/>
    <w:rsid w:val="00B87C31"/>
    <w:rsid w:val="00B9065B"/>
    <w:rsid w:val="00B90944"/>
    <w:rsid w:val="00B91159"/>
    <w:rsid w:val="00B92247"/>
    <w:rsid w:val="00B922CA"/>
    <w:rsid w:val="00B925AD"/>
    <w:rsid w:val="00B92E62"/>
    <w:rsid w:val="00B933CF"/>
    <w:rsid w:val="00B94A7F"/>
    <w:rsid w:val="00B95089"/>
    <w:rsid w:val="00B958FA"/>
    <w:rsid w:val="00B96782"/>
    <w:rsid w:val="00B96B4E"/>
    <w:rsid w:val="00B96E91"/>
    <w:rsid w:val="00B9725C"/>
    <w:rsid w:val="00B97EFD"/>
    <w:rsid w:val="00BA0A77"/>
    <w:rsid w:val="00BA0B32"/>
    <w:rsid w:val="00BA0FFA"/>
    <w:rsid w:val="00BA152B"/>
    <w:rsid w:val="00BA22D5"/>
    <w:rsid w:val="00BA2EC5"/>
    <w:rsid w:val="00BA2EDF"/>
    <w:rsid w:val="00BA3293"/>
    <w:rsid w:val="00BA36BD"/>
    <w:rsid w:val="00BA4205"/>
    <w:rsid w:val="00BA4D97"/>
    <w:rsid w:val="00BA4E3A"/>
    <w:rsid w:val="00BA57FF"/>
    <w:rsid w:val="00BA6080"/>
    <w:rsid w:val="00BA64C7"/>
    <w:rsid w:val="00BA64C9"/>
    <w:rsid w:val="00BA6D7C"/>
    <w:rsid w:val="00BA768E"/>
    <w:rsid w:val="00BA76C2"/>
    <w:rsid w:val="00BA7FEE"/>
    <w:rsid w:val="00BB00FE"/>
    <w:rsid w:val="00BB0316"/>
    <w:rsid w:val="00BB041E"/>
    <w:rsid w:val="00BB09A4"/>
    <w:rsid w:val="00BB1A52"/>
    <w:rsid w:val="00BB294F"/>
    <w:rsid w:val="00BB2BFB"/>
    <w:rsid w:val="00BB2D7B"/>
    <w:rsid w:val="00BB3733"/>
    <w:rsid w:val="00BB3C53"/>
    <w:rsid w:val="00BB43F2"/>
    <w:rsid w:val="00BB597E"/>
    <w:rsid w:val="00BB5A4E"/>
    <w:rsid w:val="00BB5D1C"/>
    <w:rsid w:val="00BB61DF"/>
    <w:rsid w:val="00BB6F71"/>
    <w:rsid w:val="00BB70B4"/>
    <w:rsid w:val="00BB73EE"/>
    <w:rsid w:val="00BC03E9"/>
    <w:rsid w:val="00BC1744"/>
    <w:rsid w:val="00BC196E"/>
    <w:rsid w:val="00BC1987"/>
    <w:rsid w:val="00BC3315"/>
    <w:rsid w:val="00BC38EB"/>
    <w:rsid w:val="00BC4069"/>
    <w:rsid w:val="00BC41D3"/>
    <w:rsid w:val="00BC4355"/>
    <w:rsid w:val="00BC44E8"/>
    <w:rsid w:val="00BC4683"/>
    <w:rsid w:val="00BC5A0B"/>
    <w:rsid w:val="00BC6040"/>
    <w:rsid w:val="00BC6076"/>
    <w:rsid w:val="00BC6126"/>
    <w:rsid w:val="00BC6242"/>
    <w:rsid w:val="00BC6D5A"/>
    <w:rsid w:val="00BC75AF"/>
    <w:rsid w:val="00BC7F97"/>
    <w:rsid w:val="00BD0D6A"/>
    <w:rsid w:val="00BD1828"/>
    <w:rsid w:val="00BD1BC7"/>
    <w:rsid w:val="00BD1F81"/>
    <w:rsid w:val="00BD1FF4"/>
    <w:rsid w:val="00BD315E"/>
    <w:rsid w:val="00BD3FD7"/>
    <w:rsid w:val="00BD40C7"/>
    <w:rsid w:val="00BD49A3"/>
    <w:rsid w:val="00BD4C96"/>
    <w:rsid w:val="00BD4FFC"/>
    <w:rsid w:val="00BD5AEC"/>
    <w:rsid w:val="00BD5D8F"/>
    <w:rsid w:val="00BD6F42"/>
    <w:rsid w:val="00BD77F5"/>
    <w:rsid w:val="00BD7A1A"/>
    <w:rsid w:val="00BE0A40"/>
    <w:rsid w:val="00BE10C0"/>
    <w:rsid w:val="00BE14C9"/>
    <w:rsid w:val="00BE1799"/>
    <w:rsid w:val="00BE18A0"/>
    <w:rsid w:val="00BE1C8A"/>
    <w:rsid w:val="00BE2FA5"/>
    <w:rsid w:val="00BE4867"/>
    <w:rsid w:val="00BE4B38"/>
    <w:rsid w:val="00BE4BE7"/>
    <w:rsid w:val="00BE5BD7"/>
    <w:rsid w:val="00BE5F10"/>
    <w:rsid w:val="00BE6751"/>
    <w:rsid w:val="00BE6818"/>
    <w:rsid w:val="00BE68F6"/>
    <w:rsid w:val="00BE699E"/>
    <w:rsid w:val="00BE6DBF"/>
    <w:rsid w:val="00BE7298"/>
    <w:rsid w:val="00BE7773"/>
    <w:rsid w:val="00BE7847"/>
    <w:rsid w:val="00BE79D3"/>
    <w:rsid w:val="00BF0334"/>
    <w:rsid w:val="00BF0AB9"/>
    <w:rsid w:val="00BF1188"/>
    <w:rsid w:val="00BF1C50"/>
    <w:rsid w:val="00BF2A89"/>
    <w:rsid w:val="00BF32D6"/>
    <w:rsid w:val="00BF4870"/>
    <w:rsid w:val="00BF55B9"/>
    <w:rsid w:val="00BF56ED"/>
    <w:rsid w:val="00BF58AE"/>
    <w:rsid w:val="00BF635B"/>
    <w:rsid w:val="00BF6816"/>
    <w:rsid w:val="00BF6D12"/>
    <w:rsid w:val="00BF6D22"/>
    <w:rsid w:val="00BF76E1"/>
    <w:rsid w:val="00BF78D2"/>
    <w:rsid w:val="00BF7A64"/>
    <w:rsid w:val="00BF7EBA"/>
    <w:rsid w:val="00C005CE"/>
    <w:rsid w:val="00C006E7"/>
    <w:rsid w:val="00C0139E"/>
    <w:rsid w:val="00C0162B"/>
    <w:rsid w:val="00C01A2D"/>
    <w:rsid w:val="00C01BF6"/>
    <w:rsid w:val="00C02175"/>
    <w:rsid w:val="00C02411"/>
    <w:rsid w:val="00C02786"/>
    <w:rsid w:val="00C034DD"/>
    <w:rsid w:val="00C0416E"/>
    <w:rsid w:val="00C04ECA"/>
    <w:rsid w:val="00C0582E"/>
    <w:rsid w:val="00C0646F"/>
    <w:rsid w:val="00C06AB0"/>
    <w:rsid w:val="00C06D72"/>
    <w:rsid w:val="00C06E78"/>
    <w:rsid w:val="00C06EC3"/>
    <w:rsid w:val="00C070FE"/>
    <w:rsid w:val="00C0713B"/>
    <w:rsid w:val="00C07163"/>
    <w:rsid w:val="00C07897"/>
    <w:rsid w:val="00C07B47"/>
    <w:rsid w:val="00C07F31"/>
    <w:rsid w:val="00C1086A"/>
    <w:rsid w:val="00C10FE0"/>
    <w:rsid w:val="00C1164D"/>
    <w:rsid w:val="00C11C17"/>
    <w:rsid w:val="00C1268F"/>
    <w:rsid w:val="00C12C64"/>
    <w:rsid w:val="00C12D07"/>
    <w:rsid w:val="00C141BF"/>
    <w:rsid w:val="00C143FE"/>
    <w:rsid w:val="00C14451"/>
    <w:rsid w:val="00C14D75"/>
    <w:rsid w:val="00C157F8"/>
    <w:rsid w:val="00C1582B"/>
    <w:rsid w:val="00C16A64"/>
    <w:rsid w:val="00C16B35"/>
    <w:rsid w:val="00C17197"/>
    <w:rsid w:val="00C173E3"/>
    <w:rsid w:val="00C17DF4"/>
    <w:rsid w:val="00C2051D"/>
    <w:rsid w:val="00C20ADE"/>
    <w:rsid w:val="00C20BB7"/>
    <w:rsid w:val="00C20BFF"/>
    <w:rsid w:val="00C21A8D"/>
    <w:rsid w:val="00C22612"/>
    <w:rsid w:val="00C2311B"/>
    <w:rsid w:val="00C23120"/>
    <w:rsid w:val="00C23D49"/>
    <w:rsid w:val="00C241AF"/>
    <w:rsid w:val="00C244FF"/>
    <w:rsid w:val="00C247D3"/>
    <w:rsid w:val="00C24E07"/>
    <w:rsid w:val="00C2551A"/>
    <w:rsid w:val="00C25B52"/>
    <w:rsid w:val="00C25BA6"/>
    <w:rsid w:val="00C2682E"/>
    <w:rsid w:val="00C275E7"/>
    <w:rsid w:val="00C27BD4"/>
    <w:rsid w:val="00C301EB"/>
    <w:rsid w:val="00C326F2"/>
    <w:rsid w:val="00C33EEC"/>
    <w:rsid w:val="00C33FEF"/>
    <w:rsid w:val="00C35679"/>
    <w:rsid w:val="00C35821"/>
    <w:rsid w:val="00C35DB5"/>
    <w:rsid w:val="00C36632"/>
    <w:rsid w:val="00C3689E"/>
    <w:rsid w:val="00C369E5"/>
    <w:rsid w:val="00C37E91"/>
    <w:rsid w:val="00C400A0"/>
    <w:rsid w:val="00C40177"/>
    <w:rsid w:val="00C4017F"/>
    <w:rsid w:val="00C403DD"/>
    <w:rsid w:val="00C404FE"/>
    <w:rsid w:val="00C418BF"/>
    <w:rsid w:val="00C418E4"/>
    <w:rsid w:val="00C419D2"/>
    <w:rsid w:val="00C427D1"/>
    <w:rsid w:val="00C4289C"/>
    <w:rsid w:val="00C4397B"/>
    <w:rsid w:val="00C44216"/>
    <w:rsid w:val="00C44316"/>
    <w:rsid w:val="00C44D92"/>
    <w:rsid w:val="00C44EDA"/>
    <w:rsid w:val="00C456C1"/>
    <w:rsid w:val="00C4596F"/>
    <w:rsid w:val="00C45B92"/>
    <w:rsid w:val="00C45E62"/>
    <w:rsid w:val="00C460AD"/>
    <w:rsid w:val="00C461CF"/>
    <w:rsid w:val="00C46C7A"/>
    <w:rsid w:val="00C46D5D"/>
    <w:rsid w:val="00C470A7"/>
    <w:rsid w:val="00C50256"/>
    <w:rsid w:val="00C502C1"/>
    <w:rsid w:val="00C503FC"/>
    <w:rsid w:val="00C50ED4"/>
    <w:rsid w:val="00C51154"/>
    <w:rsid w:val="00C529F5"/>
    <w:rsid w:val="00C52CB2"/>
    <w:rsid w:val="00C539BE"/>
    <w:rsid w:val="00C53AFB"/>
    <w:rsid w:val="00C53BE8"/>
    <w:rsid w:val="00C53F19"/>
    <w:rsid w:val="00C53F4B"/>
    <w:rsid w:val="00C54421"/>
    <w:rsid w:val="00C55752"/>
    <w:rsid w:val="00C570C3"/>
    <w:rsid w:val="00C574F0"/>
    <w:rsid w:val="00C5766B"/>
    <w:rsid w:val="00C57724"/>
    <w:rsid w:val="00C57B30"/>
    <w:rsid w:val="00C57DC9"/>
    <w:rsid w:val="00C60AF0"/>
    <w:rsid w:val="00C60F11"/>
    <w:rsid w:val="00C61438"/>
    <w:rsid w:val="00C61D06"/>
    <w:rsid w:val="00C62093"/>
    <w:rsid w:val="00C625D1"/>
    <w:rsid w:val="00C62898"/>
    <w:rsid w:val="00C629BF"/>
    <w:rsid w:val="00C62E47"/>
    <w:rsid w:val="00C62E8B"/>
    <w:rsid w:val="00C6343E"/>
    <w:rsid w:val="00C63524"/>
    <w:rsid w:val="00C636C8"/>
    <w:rsid w:val="00C6399E"/>
    <w:rsid w:val="00C63C80"/>
    <w:rsid w:val="00C64913"/>
    <w:rsid w:val="00C64E65"/>
    <w:rsid w:val="00C655DE"/>
    <w:rsid w:val="00C663A5"/>
    <w:rsid w:val="00C66807"/>
    <w:rsid w:val="00C66AF3"/>
    <w:rsid w:val="00C66C7A"/>
    <w:rsid w:val="00C66D6A"/>
    <w:rsid w:val="00C66DF4"/>
    <w:rsid w:val="00C6773A"/>
    <w:rsid w:val="00C67A12"/>
    <w:rsid w:val="00C67DCF"/>
    <w:rsid w:val="00C67E64"/>
    <w:rsid w:val="00C70068"/>
    <w:rsid w:val="00C70196"/>
    <w:rsid w:val="00C7077F"/>
    <w:rsid w:val="00C70F5C"/>
    <w:rsid w:val="00C718B9"/>
    <w:rsid w:val="00C72AF3"/>
    <w:rsid w:val="00C73155"/>
    <w:rsid w:val="00C7361F"/>
    <w:rsid w:val="00C743BE"/>
    <w:rsid w:val="00C759DE"/>
    <w:rsid w:val="00C76073"/>
    <w:rsid w:val="00C761D4"/>
    <w:rsid w:val="00C762A2"/>
    <w:rsid w:val="00C7635C"/>
    <w:rsid w:val="00C76603"/>
    <w:rsid w:val="00C76F96"/>
    <w:rsid w:val="00C77BF3"/>
    <w:rsid w:val="00C801DA"/>
    <w:rsid w:val="00C8030D"/>
    <w:rsid w:val="00C80E2F"/>
    <w:rsid w:val="00C80EEA"/>
    <w:rsid w:val="00C813BF"/>
    <w:rsid w:val="00C8148C"/>
    <w:rsid w:val="00C8160F"/>
    <w:rsid w:val="00C81BED"/>
    <w:rsid w:val="00C83533"/>
    <w:rsid w:val="00C83633"/>
    <w:rsid w:val="00C844C1"/>
    <w:rsid w:val="00C84B3B"/>
    <w:rsid w:val="00C860CD"/>
    <w:rsid w:val="00C8689E"/>
    <w:rsid w:val="00C870CA"/>
    <w:rsid w:val="00C8717F"/>
    <w:rsid w:val="00C87250"/>
    <w:rsid w:val="00C87402"/>
    <w:rsid w:val="00C87EF3"/>
    <w:rsid w:val="00C87F58"/>
    <w:rsid w:val="00C9026A"/>
    <w:rsid w:val="00C903CA"/>
    <w:rsid w:val="00C908CC"/>
    <w:rsid w:val="00C90D16"/>
    <w:rsid w:val="00C9101D"/>
    <w:rsid w:val="00C91D3D"/>
    <w:rsid w:val="00C91F70"/>
    <w:rsid w:val="00C946CE"/>
    <w:rsid w:val="00C95398"/>
    <w:rsid w:val="00C95680"/>
    <w:rsid w:val="00C95E06"/>
    <w:rsid w:val="00C96366"/>
    <w:rsid w:val="00C96660"/>
    <w:rsid w:val="00C9789D"/>
    <w:rsid w:val="00CA0ABC"/>
    <w:rsid w:val="00CA10D7"/>
    <w:rsid w:val="00CA2285"/>
    <w:rsid w:val="00CA2938"/>
    <w:rsid w:val="00CA300B"/>
    <w:rsid w:val="00CA3703"/>
    <w:rsid w:val="00CA3A8D"/>
    <w:rsid w:val="00CA3FD2"/>
    <w:rsid w:val="00CA44A2"/>
    <w:rsid w:val="00CA4538"/>
    <w:rsid w:val="00CA4C21"/>
    <w:rsid w:val="00CA596E"/>
    <w:rsid w:val="00CA5AB9"/>
    <w:rsid w:val="00CA60E6"/>
    <w:rsid w:val="00CA6378"/>
    <w:rsid w:val="00CA6670"/>
    <w:rsid w:val="00CA6ACB"/>
    <w:rsid w:val="00CA6C95"/>
    <w:rsid w:val="00CA727A"/>
    <w:rsid w:val="00CA748C"/>
    <w:rsid w:val="00CA76BE"/>
    <w:rsid w:val="00CA7B5E"/>
    <w:rsid w:val="00CB07EC"/>
    <w:rsid w:val="00CB0C0F"/>
    <w:rsid w:val="00CB1388"/>
    <w:rsid w:val="00CB1B39"/>
    <w:rsid w:val="00CB2002"/>
    <w:rsid w:val="00CB22AD"/>
    <w:rsid w:val="00CB250E"/>
    <w:rsid w:val="00CB31E6"/>
    <w:rsid w:val="00CB31F7"/>
    <w:rsid w:val="00CB357B"/>
    <w:rsid w:val="00CB3970"/>
    <w:rsid w:val="00CB4403"/>
    <w:rsid w:val="00CB5661"/>
    <w:rsid w:val="00CB5ECA"/>
    <w:rsid w:val="00CB67C3"/>
    <w:rsid w:val="00CB6D38"/>
    <w:rsid w:val="00CB7312"/>
    <w:rsid w:val="00CB78C4"/>
    <w:rsid w:val="00CB7E3A"/>
    <w:rsid w:val="00CC0307"/>
    <w:rsid w:val="00CC05A1"/>
    <w:rsid w:val="00CC1389"/>
    <w:rsid w:val="00CC2420"/>
    <w:rsid w:val="00CC3592"/>
    <w:rsid w:val="00CC38DB"/>
    <w:rsid w:val="00CC4876"/>
    <w:rsid w:val="00CC6BEE"/>
    <w:rsid w:val="00CC6F82"/>
    <w:rsid w:val="00CC6F9B"/>
    <w:rsid w:val="00CC7312"/>
    <w:rsid w:val="00CC7995"/>
    <w:rsid w:val="00CD0083"/>
    <w:rsid w:val="00CD1309"/>
    <w:rsid w:val="00CD130B"/>
    <w:rsid w:val="00CD1334"/>
    <w:rsid w:val="00CD1336"/>
    <w:rsid w:val="00CD1A07"/>
    <w:rsid w:val="00CD1DD9"/>
    <w:rsid w:val="00CD2ABF"/>
    <w:rsid w:val="00CD3298"/>
    <w:rsid w:val="00CD3304"/>
    <w:rsid w:val="00CD33A5"/>
    <w:rsid w:val="00CD346A"/>
    <w:rsid w:val="00CD3A2D"/>
    <w:rsid w:val="00CD3B1F"/>
    <w:rsid w:val="00CD4465"/>
    <w:rsid w:val="00CD447E"/>
    <w:rsid w:val="00CD4D87"/>
    <w:rsid w:val="00CD527D"/>
    <w:rsid w:val="00CD5346"/>
    <w:rsid w:val="00CD5F37"/>
    <w:rsid w:val="00CD634B"/>
    <w:rsid w:val="00CD6BFC"/>
    <w:rsid w:val="00CD7111"/>
    <w:rsid w:val="00CD76B9"/>
    <w:rsid w:val="00CD7B8E"/>
    <w:rsid w:val="00CE0800"/>
    <w:rsid w:val="00CE103F"/>
    <w:rsid w:val="00CE1943"/>
    <w:rsid w:val="00CE1ADA"/>
    <w:rsid w:val="00CE1F9A"/>
    <w:rsid w:val="00CE25E8"/>
    <w:rsid w:val="00CE39A6"/>
    <w:rsid w:val="00CE3A36"/>
    <w:rsid w:val="00CE40A4"/>
    <w:rsid w:val="00CE4693"/>
    <w:rsid w:val="00CE4BE4"/>
    <w:rsid w:val="00CE547A"/>
    <w:rsid w:val="00CE6011"/>
    <w:rsid w:val="00CE6844"/>
    <w:rsid w:val="00CE6CB4"/>
    <w:rsid w:val="00CE7F7D"/>
    <w:rsid w:val="00CF0873"/>
    <w:rsid w:val="00CF09B9"/>
    <w:rsid w:val="00CF0ABC"/>
    <w:rsid w:val="00CF0C9B"/>
    <w:rsid w:val="00CF1F60"/>
    <w:rsid w:val="00CF36CD"/>
    <w:rsid w:val="00CF39D2"/>
    <w:rsid w:val="00CF3A22"/>
    <w:rsid w:val="00CF3F98"/>
    <w:rsid w:val="00CF4266"/>
    <w:rsid w:val="00CF5496"/>
    <w:rsid w:val="00CF5C9E"/>
    <w:rsid w:val="00CF5D6E"/>
    <w:rsid w:val="00CF63C5"/>
    <w:rsid w:val="00CF6E45"/>
    <w:rsid w:val="00CF71DA"/>
    <w:rsid w:val="00CF7CC0"/>
    <w:rsid w:val="00CF7E17"/>
    <w:rsid w:val="00D00218"/>
    <w:rsid w:val="00D00911"/>
    <w:rsid w:val="00D015C9"/>
    <w:rsid w:val="00D01665"/>
    <w:rsid w:val="00D017F3"/>
    <w:rsid w:val="00D02363"/>
    <w:rsid w:val="00D026F3"/>
    <w:rsid w:val="00D02B17"/>
    <w:rsid w:val="00D03D09"/>
    <w:rsid w:val="00D04338"/>
    <w:rsid w:val="00D044B0"/>
    <w:rsid w:val="00D046ED"/>
    <w:rsid w:val="00D0483E"/>
    <w:rsid w:val="00D05021"/>
    <w:rsid w:val="00D05808"/>
    <w:rsid w:val="00D05C5F"/>
    <w:rsid w:val="00D0603D"/>
    <w:rsid w:val="00D0673C"/>
    <w:rsid w:val="00D06A9F"/>
    <w:rsid w:val="00D07B67"/>
    <w:rsid w:val="00D10053"/>
    <w:rsid w:val="00D100A3"/>
    <w:rsid w:val="00D101BF"/>
    <w:rsid w:val="00D10A47"/>
    <w:rsid w:val="00D10B4A"/>
    <w:rsid w:val="00D10EAB"/>
    <w:rsid w:val="00D11189"/>
    <w:rsid w:val="00D11878"/>
    <w:rsid w:val="00D122E9"/>
    <w:rsid w:val="00D12669"/>
    <w:rsid w:val="00D13565"/>
    <w:rsid w:val="00D13F2B"/>
    <w:rsid w:val="00D144B8"/>
    <w:rsid w:val="00D14893"/>
    <w:rsid w:val="00D14F8E"/>
    <w:rsid w:val="00D16014"/>
    <w:rsid w:val="00D16393"/>
    <w:rsid w:val="00D17B66"/>
    <w:rsid w:val="00D214C5"/>
    <w:rsid w:val="00D2162F"/>
    <w:rsid w:val="00D21EBD"/>
    <w:rsid w:val="00D21F6A"/>
    <w:rsid w:val="00D22869"/>
    <w:rsid w:val="00D22D0C"/>
    <w:rsid w:val="00D22E07"/>
    <w:rsid w:val="00D23140"/>
    <w:rsid w:val="00D24871"/>
    <w:rsid w:val="00D24A1E"/>
    <w:rsid w:val="00D24A99"/>
    <w:rsid w:val="00D24AA8"/>
    <w:rsid w:val="00D24CBF"/>
    <w:rsid w:val="00D24CC5"/>
    <w:rsid w:val="00D25475"/>
    <w:rsid w:val="00D256BD"/>
    <w:rsid w:val="00D25790"/>
    <w:rsid w:val="00D25A6D"/>
    <w:rsid w:val="00D26787"/>
    <w:rsid w:val="00D26C65"/>
    <w:rsid w:val="00D26EBF"/>
    <w:rsid w:val="00D26ED7"/>
    <w:rsid w:val="00D26EEA"/>
    <w:rsid w:val="00D26EF3"/>
    <w:rsid w:val="00D272DC"/>
    <w:rsid w:val="00D27434"/>
    <w:rsid w:val="00D27ABB"/>
    <w:rsid w:val="00D27E42"/>
    <w:rsid w:val="00D30036"/>
    <w:rsid w:val="00D303A0"/>
    <w:rsid w:val="00D319F4"/>
    <w:rsid w:val="00D31C93"/>
    <w:rsid w:val="00D32C1B"/>
    <w:rsid w:val="00D33686"/>
    <w:rsid w:val="00D338E1"/>
    <w:rsid w:val="00D33AA1"/>
    <w:rsid w:val="00D3440E"/>
    <w:rsid w:val="00D344F3"/>
    <w:rsid w:val="00D349A1"/>
    <w:rsid w:val="00D34DBD"/>
    <w:rsid w:val="00D352DA"/>
    <w:rsid w:val="00D35A17"/>
    <w:rsid w:val="00D35C84"/>
    <w:rsid w:val="00D36B35"/>
    <w:rsid w:val="00D36B6F"/>
    <w:rsid w:val="00D37398"/>
    <w:rsid w:val="00D41223"/>
    <w:rsid w:val="00D413BE"/>
    <w:rsid w:val="00D413CF"/>
    <w:rsid w:val="00D4160F"/>
    <w:rsid w:val="00D421FA"/>
    <w:rsid w:val="00D42D25"/>
    <w:rsid w:val="00D439F6"/>
    <w:rsid w:val="00D4482B"/>
    <w:rsid w:val="00D456A5"/>
    <w:rsid w:val="00D457E0"/>
    <w:rsid w:val="00D45DA3"/>
    <w:rsid w:val="00D45DA6"/>
    <w:rsid w:val="00D4659C"/>
    <w:rsid w:val="00D46A27"/>
    <w:rsid w:val="00D502D0"/>
    <w:rsid w:val="00D51D57"/>
    <w:rsid w:val="00D525E4"/>
    <w:rsid w:val="00D525E7"/>
    <w:rsid w:val="00D53681"/>
    <w:rsid w:val="00D53972"/>
    <w:rsid w:val="00D53BC9"/>
    <w:rsid w:val="00D53BDD"/>
    <w:rsid w:val="00D53EA6"/>
    <w:rsid w:val="00D540B9"/>
    <w:rsid w:val="00D5419C"/>
    <w:rsid w:val="00D54D0D"/>
    <w:rsid w:val="00D55AE2"/>
    <w:rsid w:val="00D55FA1"/>
    <w:rsid w:val="00D56546"/>
    <w:rsid w:val="00D56C45"/>
    <w:rsid w:val="00D56DBB"/>
    <w:rsid w:val="00D56EC1"/>
    <w:rsid w:val="00D57767"/>
    <w:rsid w:val="00D60401"/>
    <w:rsid w:val="00D6356F"/>
    <w:rsid w:val="00D63630"/>
    <w:rsid w:val="00D63850"/>
    <w:rsid w:val="00D6386B"/>
    <w:rsid w:val="00D640E8"/>
    <w:rsid w:val="00D64373"/>
    <w:rsid w:val="00D648C5"/>
    <w:rsid w:val="00D64915"/>
    <w:rsid w:val="00D65783"/>
    <w:rsid w:val="00D668BD"/>
    <w:rsid w:val="00D66B2E"/>
    <w:rsid w:val="00D66C92"/>
    <w:rsid w:val="00D67AFB"/>
    <w:rsid w:val="00D67D4A"/>
    <w:rsid w:val="00D70A09"/>
    <w:rsid w:val="00D712E6"/>
    <w:rsid w:val="00D71A2B"/>
    <w:rsid w:val="00D71E95"/>
    <w:rsid w:val="00D7216E"/>
    <w:rsid w:val="00D724BE"/>
    <w:rsid w:val="00D73028"/>
    <w:rsid w:val="00D73B2F"/>
    <w:rsid w:val="00D74048"/>
    <w:rsid w:val="00D741E6"/>
    <w:rsid w:val="00D7455C"/>
    <w:rsid w:val="00D752AD"/>
    <w:rsid w:val="00D75551"/>
    <w:rsid w:val="00D75A1E"/>
    <w:rsid w:val="00D76062"/>
    <w:rsid w:val="00D76896"/>
    <w:rsid w:val="00D7699D"/>
    <w:rsid w:val="00D76B08"/>
    <w:rsid w:val="00D76B72"/>
    <w:rsid w:val="00D7716C"/>
    <w:rsid w:val="00D77485"/>
    <w:rsid w:val="00D776CA"/>
    <w:rsid w:val="00D77981"/>
    <w:rsid w:val="00D77D8D"/>
    <w:rsid w:val="00D77F2F"/>
    <w:rsid w:val="00D77F76"/>
    <w:rsid w:val="00D801C9"/>
    <w:rsid w:val="00D80B64"/>
    <w:rsid w:val="00D80B73"/>
    <w:rsid w:val="00D8111D"/>
    <w:rsid w:val="00D81911"/>
    <w:rsid w:val="00D82017"/>
    <w:rsid w:val="00D82C2B"/>
    <w:rsid w:val="00D83815"/>
    <w:rsid w:val="00D83AF5"/>
    <w:rsid w:val="00D8407E"/>
    <w:rsid w:val="00D84259"/>
    <w:rsid w:val="00D861D3"/>
    <w:rsid w:val="00D865CC"/>
    <w:rsid w:val="00D87BCE"/>
    <w:rsid w:val="00D87F96"/>
    <w:rsid w:val="00D90D1C"/>
    <w:rsid w:val="00D91062"/>
    <w:rsid w:val="00D9251A"/>
    <w:rsid w:val="00D930F2"/>
    <w:rsid w:val="00D93144"/>
    <w:rsid w:val="00D93E7B"/>
    <w:rsid w:val="00D9428E"/>
    <w:rsid w:val="00D942A3"/>
    <w:rsid w:val="00D94F2A"/>
    <w:rsid w:val="00D96FCE"/>
    <w:rsid w:val="00D9764D"/>
    <w:rsid w:val="00DA00D5"/>
    <w:rsid w:val="00DA0A7F"/>
    <w:rsid w:val="00DA0CE4"/>
    <w:rsid w:val="00DA14B1"/>
    <w:rsid w:val="00DA1619"/>
    <w:rsid w:val="00DA187D"/>
    <w:rsid w:val="00DA3002"/>
    <w:rsid w:val="00DA302F"/>
    <w:rsid w:val="00DA308B"/>
    <w:rsid w:val="00DA3B7D"/>
    <w:rsid w:val="00DA3E6B"/>
    <w:rsid w:val="00DA3EDD"/>
    <w:rsid w:val="00DA4283"/>
    <w:rsid w:val="00DA42A2"/>
    <w:rsid w:val="00DA509C"/>
    <w:rsid w:val="00DA5231"/>
    <w:rsid w:val="00DA60AF"/>
    <w:rsid w:val="00DA61B9"/>
    <w:rsid w:val="00DA6458"/>
    <w:rsid w:val="00DA700B"/>
    <w:rsid w:val="00DA75F0"/>
    <w:rsid w:val="00DB0631"/>
    <w:rsid w:val="00DB0CEB"/>
    <w:rsid w:val="00DB1905"/>
    <w:rsid w:val="00DB1BE7"/>
    <w:rsid w:val="00DB1F8D"/>
    <w:rsid w:val="00DB2387"/>
    <w:rsid w:val="00DB2ED4"/>
    <w:rsid w:val="00DB30F2"/>
    <w:rsid w:val="00DB3587"/>
    <w:rsid w:val="00DB39DC"/>
    <w:rsid w:val="00DB3C3E"/>
    <w:rsid w:val="00DB408D"/>
    <w:rsid w:val="00DB45CB"/>
    <w:rsid w:val="00DB46DB"/>
    <w:rsid w:val="00DB49C2"/>
    <w:rsid w:val="00DB5364"/>
    <w:rsid w:val="00DB550A"/>
    <w:rsid w:val="00DB5FAB"/>
    <w:rsid w:val="00DB609C"/>
    <w:rsid w:val="00DB630D"/>
    <w:rsid w:val="00DB637E"/>
    <w:rsid w:val="00DB6D34"/>
    <w:rsid w:val="00DB71E4"/>
    <w:rsid w:val="00DB7256"/>
    <w:rsid w:val="00DB781B"/>
    <w:rsid w:val="00DB7FC2"/>
    <w:rsid w:val="00DC01A5"/>
    <w:rsid w:val="00DC1D3D"/>
    <w:rsid w:val="00DC1FAA"/>
    <w:rsid w:val="00DC2A1C"/>
    <w:rsid w:val="00DC2E82"/>
    <w:rsid w:val="00DC33D1"/>
    <w:rsid w:val="00DC3855"/>
    <w:rsid w:val="00DC38C2"/>
    <w:rsid w:val="00DC4FF3"/>
    <w:rsid w:val="00DC5AAB"/>
    <w:rsid w:val="00DC6710"/>
    <w:rsid w:val="00DC677D"/>
    <w:rsid w:val="00DC6D9C"/>
    <w:rsid w:val="00DC6DC8"/>
    <w:rsid w:val="00DC78C7"/>
    <w:rsid w:val="00DC7C56"/>
    <w:rsid w:val="00DD0404"/>
    <w:rsid w:val="00DD0860"/>
    <w:rsid w:val="00DD0896"/>
    <w:rsid w:val="00DD0C99"/>
    <w:rsid w:val="00DD12DC"/>
    <w:rsid w:val="00DD1563"/>
    <w:rsid w:val="00DD1E38"/>
    <w:rsid w:val="00DD2118"/>
    <w:rsid w:val="00DD2C6E"/>
    <w:rsid w:val="00DD3BAF"/>
    <w:rsid w:val="00DD3F97"/>
    <w:rsid w:val="00DD4C39"/>
    <w:rsid w:val="00DD4DFC"/>
    <w:rsid w:val="00DD4F06"/>
    <w:rsid w:val="00DD5587"/>
    <w:rsid w:val="00DD59B9"/>
    <w:rsid w:val="00DD6603"/>
    <w:rsid w:val="00DE0356"/>
    <w:rsid w:val="00DE093B"/>
    <w:rsid w:val="00DE0CFA"/>
    <w:rsid w:val="00DE116C"/>
    <w:rsid w:val="00DE11D1"/>
    <w:rsid w:val="00DE1AA5"/>
    <w:rsid w:val="00DE27F3"/>
    <w:rsid w:val="00DE2BF2"/>
    <w:rsid w:val="00DE31E9"/>
    <w:rsid w:val="00DE3382"/>
    <w:rsid w:val="00DE35BF"/>
    <w:rsid w:val="00DE46B4"/>
    <w:rsid w:val="00DE4C6E"/>
    <w:rsid w:val="00DE7914"/>
    <w:rsid w:val="00DE7C05"/>
    <w:rsid w:val="00DF002C"/>
    <w:rsid w:val="00DF0346"/>
    <w:rsid w:val="00DF0352"/>
    <w:rsid w:val="00DF076D"/>
    <w:rsid w:val="00DF0B41"/>
    <w:rsid w:val="00DF14F3"/>
    <w:rsid w:val="00DF1CF1"/>
    <w:rsid w:val="00DF1E2C"/>
    <w:rsid w:val="00DF2B83"/>
    <w:rsid w:val="00DF2B90"/>
    <w:rsid w:val="00DF3816"/>
    <w:rsid w:val="00DF3BC9"/>
    <w:rsid w:val="00DF3E55"/>
    <w:rsid w:val="00DF44CA"/>
    <w:rsid w:val="00DF45A3"/>
    <w:rsid w:val="00DF542E"/>
    <w:rsid w:val="00DF5E00"/>
    <w:rsid w:val="00DF6AC4"/>
    <w:rsid w:val="00DF714E"/>
    <w:rsid w:val="00DF73B4"/>
    <w:rsid w:val="00DF757A"/>
    <w:rsid w:val="00E0014C"/>
    <w:rsid w:val="00E006D6"/>
    <w:rsid w:val="00E008D7"/>
    <w:rsid w:val="00E00DCB"/>
    <w:rsid w:val="00E014DC"/>
    <w:rsid w:val="00E01E56"/>
    <w:rsid w:val="00E0249F"/>
    <w:rsid w:val="00E0274A"/>
    <w:rsid w:val="00E0280B"/>
    <w:rsid w:val="00E02969"/>
    <w:rsid w:val="00E03B02"/>
    <w:rsid w:val="00E044DF"/>
    <w:rsid w:val="00E0519A"/>
    <w:rsid w:val="00E0544F"/>
    <w:rsid w:val="00E060A5"/>
    <w:rsid w:val="00E07637"/>
    <w:rsid w:val="00E10832"/>
    <w:rsid w:val="00E11D05"/>
    <w:rsid w:val="00E11F48"/>
    <w:rsid w:val="00E12A42"/>
    <w:rsid w:val="00E12A71"/>
    <w:rsid w:val="00E12B9F"/>
    <w:rsid w:val="00E134CB"/>
    <w:rsid w:val="00E1398C"/>
    <w:rsid w:val="00E13F07"/>
    <w:rsid w:val="00E1411A"/>
    <w:rsid w:val="00E1413B"/>
    <w:rsid w:val="00E143E7"/>
    <w:rsid w:val="00E14A98"/>
    <w:rsid w:val="00E1552C"/>
    <w:rsid w:val="00E1557E"/>
    <w:rsid w:val="00E15B3C"/>
    <w:rsid w:val="00E15E39"/>
    <w:rsid w:val="00E16463"/>
    <w:rsid w:val="00E17A9B"/>
    <w:rsid w:val="00E20EA1"/>
    <w:rsid w:val="00E21685"/>
    <w:rsid w:val="00E22476"/>
    <w:rsid w:val="00E22AF1"/>
    <w:rsid w:val="00E22F8C"/>
    <w:rsid w:val="00E232FE"/>
    <w:rsid w:val="00E233FA"/>
    <w:rsid w:val="00E23400"/>
    <w:rsid w:val="00E23D4C"/>
    <w:rsid w:val="00E24AC5"/>
    <w:rsid w:val="00E24AE2"/>
    <w:rsid w:val="00E24DCF"/>
    <w:rsid w:val="00E24DE4"/>
    <w:rsid w:val="00E257F1"/>
    <w:rsid w:val="00E260AD"/>
    <w:rsid w:val="00E26600"/>
    <w:rsid w:val="00E26714"/>
    <w:rsid w:val="00E26ACC"/>
    <w:rsid w:val="00E26D07"/>
    <w:rsid w:val="00E276DC"/>
    <w:rsid w:val="00E27BF7"/>
    <w:rsid w:val="00E27EE3"/>
    <w:rsid w:val="00E3000A"/>
    <w:rsid w:val="00E30B41"/>
    <w:rsid w:val="00E3151B"/>
    <w:rsid w:val="00E336FF"/>
    <w:rsid w:val="00E340E8"/>
    <w:rsid w:val="00E3420F"/>
    <w:rsid w:val="00E3481B"/>
    <w:rsid w:val="00E35303"/>
    <w:rsid w:val="00E35344"/>
    <w:rsid w:val="00E355AF"/>
    <w:rsid w:val="00E36731"/>
    <w:rsid w:val="00E37501"/>
    <w:rsid w:val="00E37A3F"/>
    <w:rsid w:val="00E40488"/>
    <w:rsid w:val="00E4069F"/>
    <w:rsid w:val="00E408AC"/>
    <w:rsid w:val="00E40D47"/>
    <w:rsid w:val="00E40D97"/>
    <w:rsid w:val="00E40EDF"/>
    <w:rsid w:val="00E410A7"/>
    <w:rsid w:val="00E415DE"/>
    <w:rsid w:val="00E4166F"/>
    <w:rsid w:val="00E41B26"/>
    <w:rsid w:val="00E41FFF"/>
    <w:rsid w:val="00E422F8"/>
    <w:rsid w:val="00E42328"/>
    <w:rsid w:val="00E434DC"/>
    <w:rsid w:val="00E43BC1"/>
    <w:rsid w:val="00E43C54"/>
    <w:rsid w:val="00E43D7C"/>
    <w:rsid w:val="00E4430A"/>
    <w:rsid w:val="00E4440B"/>
    <w:rsid w:val="00E44B82"/>
    <w:rsid w:val="00E44C2F"/>
    <w:rsid w:val="00E45028"/>
    <w:rsid w:val="00E450BA"/>
    <w:rsid w:val="00E451D3"/>
    <w:rsid w:val="00E458DB"/>
    <w:rsid w:val="00E45D7A"/>
    <w:rsid w:val="00E45F58"/>
    <w:rsid w:val="00E45FDE"/>
    <w:rsid w:val="00E464A8"/>
    <w:rsid w:val="00E47115"/>
    <w:rsid w:val="00E4747D"/>
    <w:rsid w:val="00E47DF4"/>
    <w:rsid w:val="00E47F9E"/>
    <w:rsid w:val="00E51614"/>
    <w:rsid w:val="00E51702"/>
    <w:rsid w:val="00E518A4"/>
    <w:rsid w:val="00E51FB8"/>
    <w:rsid w:val="00E52027"/>
    <w:rsid w:val="00E5208A"/>
    <w:rsid w:val="00E520A3"/>
    <w:rsid w:val="00E520D6"/>
    <w:rsid w:val="00E537E6"/>
    <w:rsid w:val="00E5386B"/>
    <w:rsid w:val="00E53C99"/>
    <w:rsid w:val="00E543E0"/>
    <w:rsid w:val="00E547B1"/>
    <w:rsid w:val="00E54AA3"/>
    <w:rsid w:val="00E54EE7"/>
    <w:rsid w:val="00E55139"/>
    <w:rsid w:val="00E5524D"/>
    <w:rsid w:val="00E56907"/>
    <w:rsid w:val="00E5791A"/>
    <w:rsid w:val="00E613D8"/>
    <w:rsid w:val="00E61574"/>
    <w:rsid w:val="00E62B92"/>
    <w:rsid w:val="00E633BF"/>
    <w:rsid w:val="00E63C59"/>
    <w:rsid w:val="00E6453E"/>
    <w:rsid w:val="00E64A43"/>
    <w:rsid w:val="00E64D39"/>
    <w:rsid w:val="00E64D40"/>
    <w:rsid w:val="00E6577B"/>
    <w:rsid w:val="00E6581B"/>
    <w:rsid w:val="00E667AD"/>
    <w:rsid w:val="00E66C35"/>
    <w:rsid w:val="00E66FE8"/>
    <w:rsid w:val="00E670DE"/>
    <w:rsid w:val="00E67D0D"/>
    <w:rsid w:val="00E67E8F"/>
    <w:rsid w:val="00E70438"/>
    <w:rsid w:val="00E71618"/>
    <w:rsid w:val="00E71C80"/>
    <w:rsid w:val="00E71E47"/>
    <w:rsid w:val="00E7250A"/>
    <w:rsid w:val="00E72C87"/>
    <w:rsid w:val="00E72F2A"/>
    <w:rsid w:val="00E733B1"/>
    <w:rsid w:val="00E73940"/>
    <w:rsid w:val="00E73E65"/>
    <w:rsid w:val="00E73F98"/>
    <w:rsid w:val="00E74866"/>
    <w:rsid w:val="00E74E32"/>
    <w:rsid w:val="00E74EDA"/>
    <w:rsid w:val="00E7562F"/>
    <w:rsid w:val="00E75C4E"/>
    <w:rsid w:val="00E75F33"/>
    <w:rsid w:val="00E771E9"/>
    <w:rsid w:val="00E776F8"/>
    <w:rsid w:val="00E77F34"/>
    <w:rsid w:val="00E802A5"/>
    <w:rsid w:val="00E8086F"/>
    <w:rsid w:val="00E8129C"/>
    <w:rsid w:val="00E81637"/>
    <w:rsid w:val="00E816C9"/>
    <w:rsid w:val="00E8177D"/>
    <w:rsid w:val="00E81BF8"/>
    <w:rsid w:val="00E8213E"/>
    <w:rsid w:val="00E82328"/>
    <w:rsid w:val="00E8284E"/>
    <w:rsid w:val="00E82891"/>
    <w:rsid w:val="00E831B2"/>
    <w:rsid w:val="00E83D1D"/>
    <w:rsid w:val="00E83DBC"/>
    <w:rsid w:val="00E8482D"/>
    <w:rsid w:val="00E858AF"/>
    <w:rsid w:val="00E86054"/>
    <w:rsid w:val="00E869AC"/>
    <w:rsid w:val="00E86B27"/>
    <w:rsid w:val="00E87498"/>
    <w:rsid w:val="00E878C4"/>
    <w:rsid w:val="00E87D31"/>
    <w:rsid w:val="00E904B5"/>
    <w:rsid w:val="00E905C0"/>
    <w:rsid w:val="00E91545"/>
    <w:rsid w:val="00E919B1"/>
    <w:rsid w:val="00E919D3"/>
    <w:rsid w:val="00E91C15"/>
    <w:rsid w:val="00E924F2"/>
    <w:rsid w:val="00E9311B"/>
    <w:rsid w:val="00E9492D"/>
    <w:rsid w:val="00E94F95"/>
    <w:rsid w:val="00E9529C"/>
    <w:rsid w:val="00E95328"/>
    <w:rsid w:val="00E968A1"/>
    <w:rsid w:val="00E9748C"/>
    <w:rsid w:val="00E979B7"/>
    <w:rsid w:val="00EA0407"/>
    <w:rsid w:val="00EA066F"/>
    <w:rsid w:val="00EA1065"/>
    <w:rsid w:val="00EA1695"/>
    <w:rsid w:val="00EA16F3"/>
    <w:rsid w:val="00EA223A"/>
    <w:rsid w:val="00EA23C2"/>
    <w:rsid w:val="00EA2BC3"/>
    <w:rsid w:val="00EA3490"/>
    <w:rsid w:val="00EA3AE0"/>
    <w:rsid w:val="00EA530D"/>
    <w:rsid w:val="00EA5480"/>
    <w:rsid w:val="00EA5D34"/>
    <w:rsid w:val="00EA61CA"/>
    <w:rsid w:val="00EA6A4C"/>
    <w:rsid w:val="00EA6B0D"/>
    <w:rsid w:val="00EA6E4C"/>
    <w:rsid w:val="00EB0F61"/>
    <w:rsid w:val="00EB16DE"/>
    <w:rsid w:val="00EB1A03"/>
    <w:rsid w:val="00EB1C5F"/>
    <w:rsid w:val="00EB2022"/>
    <w:rsid w:val="00EB3298"/>
    <w:rsid w:val="00EB3382"/>
    <w:rsid w:val="00EB3D26"/>
    <w:rsid w:val="00EB3F47"/>
    <w:rsid w:val="00EB4177"/>
    <w:rsid w:val="00EB4359"/>
    <w:rsid w:val="00EB5425"/>
    <w:rsid w:val="00EB665A"/>
    <w:rsid w:val="00EB7543"/>
    <w:rsid w:val="00EB7941"/>
    <w:rsid w:val="00EB7CBF"/>
    <w:rsid w:val="00EC01C3"/>
    <w:rsid w:val="00EC0996"/>
    <w:rsid w:val="00EC0D7A"/>
    <w:rsid w:val="00EC0F3A"/>
    <w:rsid w:val="00EC112D"/>
    <w:rsid w:val="00EC2B2D"/>
    <w:rsid w:val="00EC2D70"/>
    <w:rsid w:val="00EC371D"/>
    <w:rsid w:val="00EC3727"/>
    <w:rsid w:val="00EC39F1"/>
    <w:rsid w:val="00EC471A"/>
    <w:rsid w:val="00EC4C08"/>
    <w:rsid w:val="00EC55D9"/>
    <w:rsid w:val="00EC5891"/>
    <w:rsid w:val="00EC6D97"/>
    <w:rsid w:val="00EC7166"/>
    <w:rsid w:val="00EC76CF"/>
    <w:rsid w:val="00EC7C71"/>
    <w:rsid w:val="00EC7FE9"/>
    <w:rsid w:val="00ED059A"/>
    <w:rsid w:val="00ED0A6E"/>
    <w:rsid w:val="00ED0DCA"/>
    <w:rsid w:val="00ED12D6"/>
    <w:rsid w:val="00ED1480"/>
    <w:rsid w:val="00ED14A3"/>
    <w:rsid w:val="00ED1D53"/>
    <w:rsid w:val="00ED2C66"/>
    <w:rsid w:val="00ED4870"/>
    <w:rsid w:val="00ED4B52"/>
    <w:rsid w:val="00ED4E1A"/>
    <w:rsid w:val="00ED55B5"/>
    <w:rsid w:val="00ED60FE"/>
    <w:rsid w:val="00ED62F3"/>
    <w:rsid w:val="00ED6529"/>
    <w:rsid w:val="00ED692A"/>
    <w:rsid w:val="00ED6CD0"/>
    <w:rsid w:val="00ED7175"/>
    <w:rsid w:val="00ED7B4F"/>
    <w:rsid w:val="00ED7D07"/>
    <w:rsid w:val="00EE1886"/>
    <w:rsid w:val="00EE1DB7"/>
    <w:rsid w:val="00EE28E8"/>
    <w:rsid w:val="00EE2995"/>
    <w:rsid w:val="00EE2E71"/>
    <w:rsid w:val="00EE3E62"/>
    <w:rsid w:val="00EE4557"/>
    <w:rsid w:val="00EE4EE1"/>
    <w:rsid w:val="00EE53F4"/>
    <w:rsid w:val="00EE6B07"/>
    <w:rsid w:val="00EE6B8D"/>
    <w:rsid w:val="00EE7407"/>
    <w:rsid w:val="00EE7EF0"/>
    <w:rsid w:val="00EF0025"/>
    <w:rsid w:val="00EF004B"/>
    <w:rsid w:val="00EF0358"/>
    <w:rsid w:val="00EF0C24"/>
    <w:rsid w:val="00EF10D7"/>
    <w:rsid w:val="00EF25E8"/>
    <w:rsid w:val="00EF2FAC"/>
    <w:rsid w:val="00EF4FE4"/>
    <w:rsid w:val="00EF57EE"/>
    <w:rsid w:val="00EF57FB"/>
    <w:rsid w:val="00EF630B"/>
    <w:rsid w:val="00EF6D8C"/>
    <w:rsid w:val="00EF7D18"/>
    <w:rsid w:val="00EF7FA3"/>
    <w:rsid w:val="00F00BC7"/>
    <w:rsid w:val="00F01881"/>
    <w:rsid w:val="00F019AF"/>
    <w:rsid w:val="00F01B3B"/>
    <w:rsid w:val="00F01F27"/>
    <w:rsid w:val="00F0207E"/>
    <w:rsid w:val="00F02144"/>
    <w:rsid w:val="00F02D9A"/>
    <w:rsid w:val="00F02DF0"/>
    <w:rsid w:val="00F044CF"/>
    <w:rsid w:val="00F0455B"/>
    <w:rsid w:val="00F048EC"/>
    <w:rsid w:val="00F04E5E"/>
    <w:rsid w:val="00F05638"/>
    <w:rsid w:val="00F05E87"/>
    <w:rsid w:val="00F060CE"/>
    <w:rsid w:val="00F06183"/>
    <w:rsid w:val="00F075C0"/>
    <w:rsid w:val="00F076F2"/>
    <w:rsid w:val="00F07BC9"/>
    <w:rsid w:val="00F07C95"/>
    <w:rsid w:val="00F102ED"/>
    <w:rsid w:val="00F10C7A"/>
    <w:rsid w:val="00F113F1"/>
    <w:rsid w:val="00F11EE4"/>
    <w:rsid w:val="00F122B1"/>
    <w:rsid w:val="00F12565"/>
    <w:rsid w:val="00F13865"/>
    <w:rsid w:val="00F1392B"/>
    <w:rsid w:val="00F139BB"/>
    <w:rsid w:val="00F14798"/>
    <w:rsid w:val="00F1482E"/>
    <w:rsid w:val="00F1579A"/>
    <w:rsid w:val="00F15B52"/>
    <w:rsid w:val="00F164C5"/>
    <w:rsid w:val="00F16791"/>
    <w:rsid w:val="00F176AB"/>
    <w:rsid w:val="00F1784B"/>
    <w:rsid w:val="00F17954"/>
    <w:rsid w:val="00F17D7F"/>
    <w:rsid w:val="00F20185"/>
    <w:rsid w:val="00F20873"/>
    <w:rsid w:val="00F20F9D"/>
    <w:rsid w:val="00F21115"/>
    <w:rsid w:val="00F21580"/>
    <w:rsid w:val="00F215D2"/>
    <w:rsid w:val="00F21737"/>
    <w:rsid w:val="00F21846"/>
    <w:rsid w:val="00F21D31"/>
    <w:rsid w:val="00F22D8D"/>
    <w:rsid w:val="00F235F3"/>
    <w:rsid w:val="00F238A0"/>
    <w:rsid w:val="00F23B8C"/>
    <w:rsid w:val="00F23B94"/>
    <w:rsid w:val="00F24653"/>
    <w:rsid w:val="00F247CF"/>
    <w:rsid w:val="00F248F7"/>
    <w:rsid w:val="00F24A4F"/>
    <w:rsid w:val="00F24DD2"/>
    <w:rsid w:val="00F2567A"/>
    <w:rsid w:val="00F259D9"/>
    <w:rsid w:val="00F25A9A"/>
    <w:rsid w:val="00F26A62"/>
    <w:rsid w:val="00F27C13"/>
    <w:rsid w:val="00F30343"/>
    <w:rsid w:val="00F304A8"/>
    <w:rsid w:val="00F30B9B"/>
    <w:rsid w:val="00F30BC9"/>
    <w:rsid w:val="00F30CB1"/>
    <w:rsid w:val="00F311BC"/>
    <w:rsid w:val="00F31839"/>
    <w:rsid w:val="00F31C42"/>
    <w:rsid w:val="00F31CDE"/>
    <w:rsid w:val="00F32264"/>
    <w:rsid w:val="00F32A99"/>
    <w:rsid w:val="00F336AE"/>
    <w:rsid w:val="00F341CC"/>
    <w:rsid w:val="00F34998"/>
    <w:rsid w:val="00F34B50"/>
    <w:rsid w:val="00F34D9C"/>
    <w:rsid w:val="00F351D0"/>
    <w:rsid w:val="00F35C57"/>
    <w:rsid w:val="00F35E5E"/>
    <w:rsid w:val="00F35EA7"/>
    <w:rsid w:val="00F36453"/>
    <w:rsid w:val="00F36575"/>
    <w:rsid w:val="00F36AA8"/>
    <w:rsid w:val="00F36F89"/>
    <w:rsid w:val="00F37AF9"/>
    <w:rsid w:val="00F404E4"/>
    <w:rsid w:val="00F4129E"/>
    <w:rsid w:val="00F41735"/>
    <w:rsid w:val="00F41A97"/>
    <w:rsid w:val="00F41EAA"/>
    <w:rsid w:val="00F4319D"/>
    <w:rsid w:val="00F431AF"/>
    <w:rsid w:val="00F433C3"/>
    <w:rsid w:val="00F440A5"/>
    <w:rsid w:val="00F44340"/>
    <w:rsid w:val="00F44BFB"/>
    <w:rsid w:val="00F44F12"/>
    <w:rsid w:val="00F45A1B"/>
    <w:rsid w:val="00F45B6F"/>
    <w:rsid w:val="00F462F9"/>
    <w:rsid w:val="00F466DF"/>
    <w:rsid w:val="00F46702"/>
    <w:rsid w:val="00F46788"/>
    <w:rsid w:val="00F469C7"/>
    <w:rsid w:val="00F47474"/>
    <w:rsid w:val="00F47A43"/>
    <w:rsid w:val="00F505A2"/>
    <w:rsid w:val="00F505D3"/>
    <w:rsid w:val="00F50C33"/>
    <w:rsid w:val="00F50F57"/>
    <w:rsid w:val="00F514DC"/>
    <w:rsid w:val="00F5185C"/>
    <w:rsid w:val="00F52828"/>
    <w:rsid w:val="00F52920"/>
    <w:rsid w:val="00F53178"/>
    <w:rsid w:val="00F53493"/>
    <w:rsid w:val="00F53639"/>
    <w:rsid w:val="00F541C8"/>
    <w:rsid w:val="00F54A9B"/>
    <w:rsid w:val="00F54D54"/>
    <w:rsid w:val="00F54FC8"/>
    <w:rsid w:val="00F551C5"/>
    <w:rsid w:val="00F55757"/>
    <w:rsid w:val="00F55F2B"/>
    <w:rsid w:val="00F562C7"/>
    <w:rsid w:val="00F565BB"/>
    <w:rsid w:val="00F57173"/>
    <w:rsid w:val="00F57ECC"/>
    <w:rsid w:val="00F57F2A"/>
    <w:rsid w:val="00F60070"/>
    <w:rsid w:val="00F61D26"/>
    <w:rsid w:val="00F63573"/>
    <w:rsid w:val="00F64AF3"/>
    <w:rsid w:val="00F64B4C"/>
    <w:rsid w:val="00F65218"/>
    <w:rsid w:val="00F66DF6"/>
    <w:rsid w:val="00F67BD8"/>
    <w:rsid w:val="00F702CA"/>
    <w:rsid w:val="00F7121D"/>
    <w:rsid w:val="00F71469"/>
    <w:rsid w:val="00F7161F"/>
    <w:rsid w:val="00F72311"/>
    <w:rsid w:val="00F723DA"/>
    <w:rsid w:val="00F729ED"/>
    <w:rsid w:val="00F7314E"/>
    <w:rsid w:val="00F73168"/>
    <w:rsid w:val="00F7326C"/>
    <w:rsid w:val="00F73463"/>
    <w:rsid w:val="00F73CE9"/>
    <w:rsid w:val="00F73DF8"/>
    <w:rsid w:val="00F75091"/>
    <w:rsid w:val="00F75F94"/>
    <w:rsid w:val="00F7608B"/>
    <w:rsid w:val="00F7627A"/>
    <w:rsid w:val="00F766DA"/>
    <w:rsid w:val="00F76EB5"/>
    <w:rsid w:val="00F773FC"/>
    <w:rsid w:val="00F7797A"/>
    <w:rsid w:val="00F77E6E"/>
    <w:rsid w:val="00F81147"/>
    <w:rsid w:val="00F814E9"/>
    <w:rsid w:val="00F81503"/>
    <w:rsid w:val="00F81D10"/>
    <w:rsid w:val="00F82262"/>
    <w:rsid w:val="00F8230A"/>
    <w:rsid w:val="00F8244F"/>
    <w:rsid w:val="00F82C03"/>
    <w:rsid w:val="00F82C21"/>
    <w:rsid w:val="00F82E0D"/>
    <w:rsid w:val="00F8303D"/>
    <w:rsid w:val="00F8669D"/>
    <w:rsid w:val="00F870B6"/>
    <w:rsid w:val="00F877A1"/>
    <w:rsid w:val="00F877DF"/>
    <w:rsid w:val="00F87F64"/>
    <w:rsid w:val="00F902AA"/>
    <w:rsid w:val="00F909DB"/>
    <w:rsid w:val="00F90F28"/>
    <w:rsid w:val="00F9140D"/>
    <w:rsid w:val="00F92652"/>
    <w:rsid w:val="00F92AEF"/>
    <w:rsid w:val="00F93100"/>
    <w:rsid w:val="00F9367C"/>
    <w:rsid w:val="00F93BBD"/>
    <w:rsid w:val="00F94158"/>
    <w:rsid w:val="00F94803"/>
    <w:rsid w:val="00F94A42"/>
    <w:rsid w:val="00F94C51"/>
    <w:rsid w:val="00F94C9F"/>
    <w:rsid w:val="00F94EEB"/>
    <w:rsid w:val="00F95133"/>
    <w:rsid w:val="00F95984"/>
    <w:rsid w:val="00F95E56"/>
    <w:rsid w:val="00F97115"/>
    <w:rsid w:val="00FA0791"/>
    <w:rsid w:val="00FA0977"/>
    <w:rsid w:val="00FA0C26"/>
    <w:rsid w:val="00FA1056"/>
    <w:rsid w:val="00FA14D1"/>
    <w:rsid w:val="00FA172F"/>
    <w:rsid w:val="00FA1F51"/>
    <w:rsid w:val="00FA24CF"/>
    <w:rsid w:val="00FA3975"/>
    <w:rsid w:val="00FA3B91"/>
    <w:rsid w:val="00FA3BAC"/>
    <w:rsid w:val="00FA3DED"/>
    <w:rsid w:val="00FA416B"/>
    <w:rsid w:val="00FA696F"/>
    <w:rsid w:val="00FA717B"/>
    <w:rsid w:val="00FA7188"/>
    <w:rsid w:val="00FA7362"/>
    <w:rsid w:val="00FA7581"/>
    <w:rsid w:val="00FA7B4D"/>
    <w:rsid w:val="00FB0A84"/>
    <w:rsid w:val="00FB0EFE"/>
    <w:rsid w:val="00FB1249"/>
    <w:rsid w:val="00FB143D"/>
    <w:rsid w:val="00FB1E7C"/>
    <w:rsid w:val="00FB2108"/>
    <w:rsid w:val="00FB2C06"/>
    <w:rsid w:val="00FB306F"/>
    <w:rsid w:val="00FB35D2"/>
    <w:rsid w:val="00FB3675"/>
    <w:rsid w:val="00FB39D3"/>
    <w:rsid w:val="00FB4013"/>
    <w:rsid w:val="00FB41A9"/>
    <w:rsid w:val="00FB431C"/>
    <w:rsid w:val="00FB43BE"/>
    <w:rsid w:val="00FB466B"/>
    <w:rsid w:val="00FB4F50"/>
    <w:rsid w:val="00FB561E"/>
    <w:rsid w:val="00FB6325"/>
    <w:rsid w:val="00FB64FF"/>
    <w:rsid w:val="00FB7196"/>
    <w:rsid w:val="00FB7295"/>
    <w:rsid w:val="00FB7EE7"/>
    <w:rsid w:val="00FC0578"/>
    <w:rsid w:val="00FC0D40"/>
    <w:rsid w:val="00FC207A"/>
    <w:rsid w:val="00FC2088"/>
    <w:rsid w:val="00FC20E3"/>
    <w:rsid w:val="00FC2557"/>
    <w:rsid w:val="00FC2724"/>
    <w:rsid w:val="00FC2764"/>
    <w:rsid w:val="00FC2885"/>
    <w:rsid w:val="00FC2C80"/>
    <w:rsid w:val="00FC2FE2"/>
    <w:rsid w:val="00FC3665"/>
    <w:rsid w:val="00FC436F"/>
    <w:rsid w:val="00FC4AEA"/>
    <w:rsid w:val="00FC4C33"/>
    <w:rsid w:val="00FC4DD2"/>
    <w:rsid w:val="00FC542C"/>
    <w:rsid w:val="00FC5745"/>
    <w:rsid w:val="00FC5A85"/>
    <w:rsid w:val="00FC5BF3"/>
    <w:rsid w:val="00FC651A"/>
    <w:rsid w:val="00FC657E"/>
    <w:rsid w:val="00FC65CA"/>
    <w:rsid w:val="00FC6DFB"/>
    <w:rsid w:val="00FC78F5"/>
    <w:rsid w:val="00FC7A69"/>
    <w:rsid w:val="00FC7F40"/>
    <w:rsid w:val="00FD0064"/>
    <w:rsid w:val="00FD12EB"/>
    <w:rsid w:val="00FD14F2"/>
    <w:rsid w:val="00FD437A"/>
    <w:rsid w:val="00FD5919"/>
    <w:rsid w:val="00FD60F6"/>
    <w:rsid w:val="00FD6935"/>
    <w:rsid w:val="00FD6B80"/>
    <w:rsid w:val="00FD7165"/>
    <w:rsid w:val="00FD7179"/>
    <w:rsid w:val="00FD7256"/>
    <w:rsid w:val="00FE03BA"/>
    <w:rsid w:val="00FE0594"/>
    <w:rsid w:val="00FE0D35"/>
    <w:rsid w:val="00FE0FDC"/>
    <w:rsid w:val="00FE1465"/>
    <w:rsid w:val="00FE19FF"/>
    <w:rsid w:val="00FE2C06"/>
    <w:rsid w:val="00FE2FCD"/>
    <w:rsid w:val="00FE2FFE"/>
    <w:rsid w:val="00FE304B"/>
    <w:rsid w:val="00FE34F6"/>
    <w:rsid w:val="00FE3E48"/>
    <w:rsid w:val="00FE4CAD"/>
    <w:rsid w:val="00FE57FB"/>
    <w:rsid w:val="00FE6068"/>
    <w:rsid w:val="00FE6C79"/>
    <w:rsid w:val="00FE70F2"/>
    <w:rsid w:val="00FE73B5"/>
    <w:rsid w:val="00FE7518"/>
    <w:rsid w:val="00FE7A95"/>
    <w:rsid w:val="00FF06D8"/>
    <w:rsid w:val="00FF093D"/>
    <w:rsid w:val="00FF0A30"/>
    <w:rsid w:val="00FF1986"/>
    <w:rsid w:val="00FF220C"/>
    <w:rsid w:val="00FF2884"/>
    <w:rsid w:val="00FF2C29"/>
    <w:rsid w:val="00FF2F5A"/>
    <w:rsid w:val="00FF30D1"/>
    <w:rsid w:val="00FF33F9"/>
    <w:rsid w:val="00FF34CA"/>
    <w:rsid w:val="00FF3CEE"/>
    <w:rsid w:val="00FF4027"/>
    <w:rsid w:val="00FF404D"/>
    <w:rsid w:val="00FF4936"/>
    <w:rsid w:val="00FF4B26"/>
    <w:rsid w:val="00FF6BB7"/>
    <w:rsid w:val="00FF6D99"/>
    <w:rsid w:val="00FF73B7"/>
    <w:rsid w:val="00FF73C0"/>
    <w:rsid w:val="00FF7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uiPriority="1" w:qFormat="1"/>
    <w:lsdException w:name="heading 2" w:uiPriority="1" w:qFormat="1"/>
    <w:lsdException w:name="heading 3" w:uiPriority="1" w:qFormat="1"/>
    <w:lsdException w:name="heading 4" w:uiPriority="1"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Body Text" w:qFormat="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8106C9"/>
    <w:pPr>
      <w:overflowPunct w:val="0"/>
      <w:autoSpaceDE w:val="0"/>
      <w:autoSpaceDN w:val="0"/>
      <w:adjustRightInd w:val="0"/>
      <w:spacing w:after="240"/>
      <w:jc w:val="both"/>
      <w:textAlignment w:val="baseline"/>
    </w:pPr>
    <w:rPr>
      <w:sz w:val="24"/>
      <w:lang w:eastAsia="en-US"/>
    </w:rPr>
  </w:style>
  <w:style w:type="paragraph" w:styleId="Heading1">
    <w:name w:val="heading 1"/>
    <w:basedOn w:val="BodyText"/>
    <w:next w:val="BodyText"/>
    <w:uiPriority w:val="1"/>
    <w:qFormat/>
    <w:rsid w:val="004F3280"/>
    <w:pPr>
      <w:keepNext/>
      <w:keepLines/>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80"/>
      <w:jc w:val="center"/>
      <w:outlineLvl w:val="0"/>
    </w:pPr>
    <w:rPr>
      <w:b/>
      <w:bCs/>
      <w:caps/>
      <w:sz w:val="28"/>
      <w:szCs w:val="28"/>
    </w:rPr>
  </w:style>
  <w:style w:type="paragraph" w:styleId="Heading2">
    <w:name w:val="heading 2"/>
    <w:basedOn w:val="BodyText"/>
    <w:next w:val="BodyText"/>
    <w:link w:val="Heading2Char"/>
    <w:uiPriority w:val="1"/>
    <w:qFormat/>
    <w:rsid w:val="002F6ABF"/>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480"/>
      <w:jc w:val="left"/>
      <w:outlineLvl w:val="1"/>
    </w:pPr>
    <w:rPr>
      <w:bCs/>
      <w:iCs/>
      <w:caps/>
      <w:szCs w:val="28"/>
    </w:rPr>
  </w:style>
  <w:style w:type="paragraph" w:styleId="Heading3">
    <w:name w:val="heading 3"/>
    <w:basedOn w:val="BodyText"/>
    <w:next w:val="BodyText"/>
    <w:uiPriority w:val="1"/>
    <w:qFormat/>
    <w:rsid w:val="00FB4F50"/>
    <w:pPr>
      <w:keepNext/>
      <w:keepLines/>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outlineLvl w:val="2"/>
    </w:pPr>
    <w:rPr>
      <w:b/>
      <w:bCs/>
      <w:szCs w:val="26"/>
    </w:rPr>
  </w:style>
  <w:style w:type="paragraph" w:styleId="Heading4">
    <w:name w:val="heading 4"/>
    <w:basedOn w:val="BodyText"/>
    <w:next w:val="BodyText"/>
    <w:link w:val="Heading4Char"/>
    <w:uiPriority w:val="1"/>
    <w:qFormat/>
    <w:rsid w:val="004136F6"/>
    <w:pPr>
      <w:numPr>
        <w:ilvl w:val="1"/>
        <w:numId w:val="1"/>
      </w:numPr>
      <w:tabs>
        <w:tab w:val="left" w:pos="851"/>
      </w:tabs>
      <w:outlineLvl w:val="3"/>
    </w:pPr>
    <w:rPr>
      <w:bCs/>
      <w:szCs w:val="28"/>
      <w:lang w:val="en-GB"/>
    </w:rPr>
  </w:style>
  <w:style w:type="paragraph" w:styleId="Heading5">
    <w:name w:val="heading 5"/>
    <w:basedOn w:val="Normal"/>
    <w:next w:val="Normal"/>
    <w:uiPriority w:val="1"/>
    <w:rsid w:val="00174817"/>
    <w:pPr>
      <w:spacing w:before="240" w:after="60"/>
      <w:outlineLvl w:val="4"/>
    </w:pPr>
    <w:rPr>
      <w:b/>
      <w:bCs/>
      <w:i/>
      <w:iCs/>
      <w:sz w:val="26"/>
      <w:szCs w:val="26"/>
    </w:rPr>
  </w:style>
  <w:style w:type="paragraph" w:styleId="Heading6">
    <w:name w:val="heading 6"/>
    <w:basedOn w:val="Normal"/>
    <w:next w:val="Normal"/>
    <w:uiPriority w:val="1"/>
    <w:rsid w:val="00174817"/>
    <w:pPr>
      <w:spacing w:before="240" w:after="60"/>
      <w:outlineLvl w:val="5"/>
    </w:pPr>
    <w:rPr>
      <w:b/>
      <w:bCs/>
      <w:szCs w:val="22"/>
    </w:rPr>
  </w:style>
  <w:style w:type="paragraph" w:styleId="Heading7">
    <w:name w:val="heading 7"/>
    <w:basedOn w:val="Normal"/>
    <w:next w:val="Normal"/>
    <w:uiPriority w:val="1"/>
    <w:rsid w:val="00174817"/>
    <w:pPr>
      <w:spacing w:before="240" w:after="60"/>
      <w:outlineLvl w:val="6"/>
    </w:pPr>
    <w:rPr>
      <w:szCs w:val="24"/>
    </w:rPr>
  </w:style>
  <w:style w:type="paragraph" w:styleId="Heading8">
    <w:name w:val="heading 8"/>
    <w:basedOn w:val="Normal"/>
    <w:next w:val="Normal"/>
    <w:uiPriority w:val="1"/>
    <w:rsid w:val="00174817"/>
    <w:pPr>
      <w:spacing w:before="240" w:after="60"/>
      <w:outlineLvl w:val="7"/>
    </w:pPr>
    <w:rPr>
      <w:i/>
      <w:iCs/>
      <w:szCs w:val="24"/>
    </w:rPr>
  </w:style>
  <w:style w:type="paragraph" w:styleId="Heading9">
    <w:name w:val="heading 9"/>
    <w:basedOn w:val="Normal"/>
    <w:next w:val="Normal"/>
    <w:uiPriority w:val="1"/>
    <w:rsid w:val="00174817"/>
    <w:pPr>
      <w:spacing w:before="240" w:after="60"/>
      <w:outlineLvl w:val="8"/>
    </w:pPr>
    <w:rPr>
      <w:rFonts w:ascii="Arial" w:hAnsi="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174817"/>
    <w:pPr>
      <w:spacing w:after="240"/>
      <w:jc w:val="both"/>
    </w:pPr>
    <w:rPr>
      <w:sz w:val="24"/>
      <w:lang w:val="en-US" w:eastAsia="en-US"/>
    </w:rPr>
  </w:style>
  <w:style w:type="paragraph" w:styleId="Footer">
    <w:name w:val="footer"/>
    <w:basedOn w:val="BodyText"/>
    <w:next w:val="BodyText"/>
    <w:rsid w:val="00174817"/>
    <w:rPr>
      <w:sz w:val="22"/>
    </w:rPr>
  </w:style>
  <w:style w:type="paragraph" w:styleId="Title">
    <w:name w:val="Title"/>
    <w:basedOn w:val="Normal"/>
    <w:next w:val="BodyText"/>
    <w:rsid w:val="00174817"/>
    <w:pPr>
      <w:jc w:val="right"/>
    </w:pPr>
    <w:rPr>
      <w:b/>
      <w:bCs/>
      <w:i/>
      <w:sz w:val="56"/>
      <w:szCs w:val="32"/>
    </w:rPr>
  </w:style>
  <w:style w:type="paragraph" w:customStyle="1" w:styleId="IAEAEquation">
    <w:name w:val="IAEA Equation"/>
    <w:basedOn w:val="BodyText"/>
    <w:next w:val="BodyText"/>
    <w:rsid w:val="00174817"/>
    <w:pPr>
      <w:jc w:val="right"/>
    </w:pPr>
    <w:rPr>
      <w:iCs/>
    </w:rPr>
  </w:style>
  <w:style w:type="paragraph" w:customStyle="1" w:styleId="IAEATableFootnote">
    <w:name w:val="IAEA Table Footnote"/>
    <w:basedOn w:val="BodyText"/>
    <w:next w:val="BodyText"/>
    <w:rsid w:val="00174817"/>
    <w:pPr>
      <w:spacing w:before="60" w:after="0"/>
      <w:jc w:val="left"/>
    </w:pPr>
    <w:rPr>
      <w:sz w:val="22"/>
    </w:rPr>
  </w:style>
  <w:style w:type="paragraph" w:customStyle="1" w:styleId="IAEAFigureCaption">
    <w:name w:val="IAEA Figure Caption"/>
    <w:basedOn w:val="BodyText"/>
    <w:next w:val="BodyText"/>
    <w:rsid w:val="00174817"/>
    <w:pPr>
      <w:keepNext/>
      <w:keepLines/>
      <w:jc w:val="center"/>
    </w:pPr>
    <w:rPr>
      <w:i/>
    </w:rPr>
  </w:style>
  <w:style w:type="paragraph" w:customStyle="1" w:styleId="IAEAReferenceText">
    <w:name w:val="IAEA Reference Text"/>
    <w:basedOn w:val="BodyText"/>
    <w:next w:val="BodyText"/>
    <w:rsid w:val="00174817"/>
    <w:pPr>
      <w:spacing w:after="0"/>
    </w:pPr>
  </w:style>
  <w:style w:type="paragraph" w:customStyle="1" w:styleId="AnnexHeading1">
    <w:name w:val="Annex Heading 1"/>
    <w:basedOn w:val="BodyText"/>
    <w:next w:val="BodyText"/>
    <w:uiPriority w:val="3"/>
    <w:qFormat/>
    <w:rsid w:val="00815D2E"/>
    <w:pPr>
      <w:keepNext/>
      <w:keepLines/>
      <w:pageBreakBefore/>
      <w:numPr>
        <w:numId w:val="3"/>
      </w:numPr>
      <w:tabs>
        <w:tab w:val="clear" w:pos="8321"/>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num" w:pos="7896"/>
        <w:tab w:val="left" w:pos="7938"/>
        <w:tab w:val="left" w:pos="8505"/>
      </w:tabs>
      <w:spacing w:after="480"/>
      <w:ind w:left="6096"/>
      <w:jc w:val="center"/>
    </w:pPr>
    <w:rPr>
      <w:b/>
      <w:caps/>
      <w:sz w:val="28"/>
    </w:rPr>
  </w:style>
  <w:style w:type="paragraph" w:customStyle="1" w:styleId="AnnexHeading2">
    <w:name w:val="Annex Heading 2"/>
    <w:basedOn w:val="BodyText"/>
    <w:next w:val="BodyText"/>
    <w:uiPriority w:val="3"/>
    <w:qFormat/>
    <w:rsid w:val="00815D2E"/>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480"/>
      <w:jc w:val="left"/>
    </w:pPr>
    <w:rPr>
      <w:caps/>
    </w:rPr>
  </w:style>
  <w:style w:type="paragraph" w:customStyle="1" w:styleId="AnnexHeading3">
    <w:name w:val="Annex Heading 3"/>
    <w:basedOn w:val="BodyText"/>
    <w:next w:val="BodyText"/>
    <w:uiPriority w:val="3"/>
    <w:qFormat/>
    <w:rsid w:val="0065152F"/>
    <w:pPr>
      <w:widowControl w:val="0"/>
      <w:numPr>
        <w:ilvl w:val="1"/>
        <w:numId w:val="3"/>
      </w:numPr>
      <w:tabs>
        <w:tab w:val="left" w:pos="851"/>
      </w:tabs>
    </w:pPr>
  </w:style>
  <w:style w:type="paragraph" w:customStyle="1" w:styleId="AnnexHeading4">
    <w:name w:val="Annex Heading 4"/>
    <w:basedOn w:val="BodyText"/>
    <w:next w:val="BodyText"/>
    <w:uiPriority w:val="3"/>
    <w:qFormat/>
    <w:rsid w:val="007F3C65"/>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pPr>
    <w:rPr>
      <w:b/>
    </w:rPr>
  </w:style>
  <w:style w:type="paragraph" w:styleId="Subtitle">
    <w:name w:val="Subtitle"/>
    <w:basedOn w:val="Normal"/>
    <w:next w:val="BodyText"/>
    <w:rsid w:val="00174817"/>
    <w:pPr>
      <w:jc w:val="right"/>
    </w:pPr>
    <w:rPr>
      <w:b/>
      <w:i/>
      <w:sz w:val="32"/>
      <w:szCs w:val="24"/>
    </w:rPr>
  </w:style>
  <w:style w:type="paragraph" w:customStyle="1" w:styleId="Contents">
    <w:name w:val="Contents"/>
    <w:basedOn w:val="BodyText"/>
    <w:next w:val="BodyText"/>
    <w:rsid w:val="00174817"/>
    <w:pPr>
      <w:pageBreakBefore/>
      <w:jc w:val="center"/>
    </w:pPr>
    <w:rPr>
      <w:b/>
      <w:caps/>
    </w:rPr>
  </w:style>
  <w:style w:type="paragraph" w:customStyle="1" w:styleId="Heading">
    <w:name w:val="Heading"/>
    <w:basedOn w:val="BodyText"/>
    <w:next w:val="BodyText"/>
    <w:uiPriority w:val="3"/>
    <w:qFormat/>
    <w:rsid w:val="00174817"/>
    <w:pPr>
      <w:keepNext/>
      <w:keepLines/>
      <w:pageBreakBefore/>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jc w:val="center"/>
    </w:pPr>
    <w:rPr>
      <w:b/>
      <w:caps/>
    </w:rPr>
  </w:style>
  <w:style w:type="paragraph" w:customStyle="1" w:styleId="ReferenceHeading">
    <w:name w:val="Reference Heading"/>
    <w:basedOn w:val="BodyText"/>
    <w:next w:val="BodyText"/>
    <w:rsid w:val="00174817"/>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pPr>
    <w:rPr>
      <w:b/>
      <w:caps/>
    </w:rPr>
  </w:style>
  <w:style w:type="paragraph" w:customStyle="1" w:styleId="Foreword">
    <w:name w:val="Foreword"/>
    <w:basedOn w:val="BodyText"/>
    <w:next w:val="BodyText"/>
    <w:rsid w:val="00174817"/>
    <w:pPr>
      <w:pageBreakBefore/>
      <w:jc w:val="center"/>
    </w:pPr>
    <w:rPr>
      <w:b/>
      <w:caps/>
    </w:rPr>
  </w:style>
  <w:style w:type="paragraph" w:customStyle="1" w:styleId="IAEATableHeading">
    <w:name w:val="IAEA Table Heading"/>
    <w:basedOn w:val="BodyText"/>
    <w:next w:val="BodyText"/>
    <w:rsid w:val="00174817"/>
    <w:pPr>
      <w:keepNext/>
      <w:keepLines/>
      <w:spacing w:after="120"/>
      <w:jc w:val="left"/>
    </w:pPr>
  </w:style>
  <w:style w:type="paragraph" w:styleId="TOC1">
    <w:name w:val="toc 1"/>
    <w:basedOn w:val="BodyText"/>
    <w:next w:val="Normal"/>
    <w:uiPriority w:val="39"/>
    <w:rsid w:val="00174817"/>
    <w:pPr>
      <w:tabs>
        <w:tab w:val="left" w:pos="567"/>
        <w:tab w:val="right" w:leader="dot" w:pos="9072"/>
      </w:tabs>
      <w:overflowPunct w:val="0"/>
      <w:autoSpaceDE w:val="0"/>
      <w:autoSpaceDN w:val="0"/>
      <w:adjustRightInd w:val="0"/>
      <w:spacing w:before="240" w:after="120"/>
      <w:ind w:left="567" w:right="567" w:hanging="567"/>
      <w:jc w:val="left"/>
      <w:textAlignment w:val="baseline"/>
    </w:pPr>
    <w:rPr>
      <w:bCs/>
      <w:iCs/>
      <w:caps/>
      <w:noProof/>
      <w:szCs w:val="28"/>
      <w:lang w:val="en-GB"/>
    </w:rPr>
  </w:style>
  <w:style w:type="paragraph" w:styleId="TOC2">
    <w:name w:val="toc 2"/>
    <w:basedOn w:val="BodyText"/>
    <w:next w:val="BodyText"/>
    <w:uiPriority w:val="39"/>
    <w:rsid w:val="00174817"/>
    <w:pPr>
      <w:tabs>
        <w:tab w:val="left" w:pos="1418"/>
        <w:tab w:val="right" w:leader="dot" w:pos="9072"/>
      </w:tabs>
      <w:overflowPunct w:val="0"/>
      <w:autoSpaceDE w:val="0"/>
      <w:autoSpaceDN w:val="0"/>
      <w:adjustRightInd w:val="0"/>
      <w:spacing w:after="0"/>
      <w:ind w:left="1418" w:right="567" w:hanging="851"/>
      <w:jc w:val="left"/>
      <w:textAlignment w:val="baseline"/>
    </w:pPr>
    <w:rPr>
      <w:bCs/>
      <w:noProof/>
      <w:szCs w:val="26"/>
      <w:lang w:val="en-GB"/>
    </w:rPr>
  </w:style>
  <w:style w:type="paragraph" w:styleId="TOC3">
    <w:name w:val="toc 3"/>
    <w:basedOn w:val="BodyText"/>
    <w:next w:val="BodyText"/>
    <w:uiPriority w:val="39"/>
    <w:rsid w:val="00174817"/>
    <w:pPr>
      <w:tabs>
        <w:tab w:val="left" w:pos="2126"/>
        <w:tab w:val="right" w:leader="dot" w:pos="9072"/>
      </w:tabs>
      <w:overflowPunct w:val="0"/>
      <w:autoSpaceDE w:val="0"/>
      <w:autoSpaceDN w:val="0"/>
      <w:adjustRightInd w:val="0"/>
      <w:spacing w:after="0"/>
      <w:ind w:left="2127" w:right="567" w:hanging="709"/>
      <w:jc w:val="left"/>
      <w:textAlignment w:val="baseline"/>
    </w:pPr>
    <w:rPr>
      <w:noProof/>
      <w:szCs w:val="24"/>
      <w:lang w:val="en-GB"/>
    </w:rPr>
  </w:style>
  <w:style w:type="paragraph" w:customStyle="1" w:styleId="BodyTextList">
    <w:name w:val="Body Text List"/>
    <w:basedOn w:val="BodyText"/>
    <w:rsid w:val="00A92371"/>
    <w:pPr>
      <w:overflowPunct w:val="0"/>
      <w:autoSpaceDE w:val="0"/>
      <w:autoSpaceDN w:val="0"/>
      <w:adjustRightInd w:val="0"/>
      <w:spacing w:after="0" w:line="280" w:lineRule="exact"/>
      <w:textAlignment w:val="baseline"/>
    </w:pPr>
    <w:rPr>
      <w:noProof/>
      <w:lang w:val="en-GB"/>
    </w:rPr>
  </w:style>
  <w:style w:type="paragraph" w:customStyle="1" w:styleId="AppendixHeading1">
    <w:name w:val="Appendix Heading 1"/>
    <w:basedOn w:val="BodyText"/>
    <w:next w:val="BodyText"/>
    <w:uiPriority w:val="2"/>
    <w:qFormat/>
    <w:rsid w:val="007B4F70"/>
    <w:pPr>
      <w:keepNext/>
      <w:keepLines/>
      <w:pageBreakBefore/>
      <w:numPr>
        <w:numId w:val="2"/>
      </w:numPr>
      <w:tabs>
        <w:tab w:val="clear" w:pos="2160"/>
      </w:tabs>
      <w:spacing w:after="480"/>
      <w:jc w:val="center"/>
    </w:pPr>
    <w:rPr>
      <w:b/>
      <w:caps/>
      <w:sz w:val="28"/>
      <w:szCs w:val="28"/>
    </w:rPr>
  </w:style>
  <w:style w:type="paragraph" w:customStyle="1" w:styleId="AppendixHeading2">
    <w:name w:val="Appendix Heading 2"/>
    <w:basedOn w:val="BodyText"/>
    <w:next w:val="BodyText"/>
    <w:uiPriority w:val="2"/>
    <w:qFormat/>
    <w:rsid w:val="0037506C"/>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480"/>
      <w:jc w:val="left"/>
    </w:pPr>
    <w:rPr>
      <w:caps/>
    </w:rPr>
  </w:style>
  <w:style w:type="paragraph" w:customStyle="1" w:styleId="AppendixHeading3">
    <w:name w:val="Appendix Heading 3"/>
    <w:basedOn w:val="BodyText"/>
    <w:next w:val="BodyText"/>
    <w:uiPriority w:val="2"/>
    <w:qFormat/>
    <w:rsid w:val="007B4F70"/>
    <w:pPr>
      <w:widowControl w:val="0"/>
      <w:numPr>
        <w:ilvl w:val="1"/>
        <w:numId w:val="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lang w:val="en-GB"/>
    </w:rPr>
  </w:style>
  <w:style w:type="paragraph" w:customStyle="1" w:styleId="AppendixHeading4">
    <w:name w:val="Appendix Heading 4"/>
    <w:basedOn w:val="BodyText"/>
    <w:next w:val="BodyText"/>
    <w:uiPriority w:val="2"/>
    <w:qFormat/>
    <w:rsid w:val="00174817"/>
    <w:pPr>
      <w:numPr>
        <w:ilvl w:val="3"/>
        <w:numId w:val="2"/>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1134"/>
      <w:jc w:val="left"/>
    </w:pPr>
    <w:rPr>
      <w:i/>
    </w:rPr>
  </w:style>
  <w:style w:type="paragraph" w:styleId="TOC4">
    <w:name w:val="toc 4"/>
    <w:basedOn w:val="BodyText"/>
    <w:next w:val="BodyText"/>
    <w:uiPriority w:val="39"/>
    <w:rsid w:val="00174817"/>
    <w:pPr>
      <w:tabs>
        <w:tab w:val="left" w:pos="1418"/>
        <w:tab w:val="right" w:leader="dot" w:pos="9072"/>
      </w:tabs>
      <w:spacing w:before="240" w:after="0"/>
      <w:ind w:left="1418" w:right="567" w:hanging="1418"/>
      <w:jc w:val="left"/>
    </w:pPr>
    <w:rPr>
      <w:caps/>
    </w:rPr>
  </w:style>
  <w:style w:type="paragraph" w:styleId="TOC5">
    <w:name w:val="toc 5"/>
    <w:basedOn w:val="BodyText"/>
    <w:next w:val="BodyText"/>
    <w:uiPriority w:val="39"/>
    <w:rsid w:val="00174817"/>
    <w:pPr>
      <w:tabs>
        <w:tab w:val="left" w:pos="1559"/>
        <w:tab w:val="right" w:leader="dot" w:pos="9072"/>
      </w:tabs>
      <w:spacing w:before="240" w:after="0"/>
      <w:ind w:left="1559" w:right="567" w:hanging="1559"/>
      <w:jc w:val="left"/>
    </w:pPr>
    <w:rPr>
      <w:caps/>
      <w:noProof/>
      <w:szCs w:val="24"/>
    </w:rPr>
  </w:style>
  <w:style w:type="paragraph" w:styleId="TOC6">
    <w:name w:val="toc 6"/>
    <w:basedOn w:val="Normal"/>
    <w:next w:val="Normal"/>
    <w:autoRedefine/>
    <w:uiPriority w:val="39"/>
    <w:rsid w:val="00174817"/>
    <w:pPr>
      <w:spacing w:before="240" w:after="0"/>
      <w:ind w:right="567"/>
      <w:jc w:val="left"/>
    </w:pPr>
    <w:rPr>
      <w:caps/>
    </w:rPr>
  </w:style>
  <w:style w:type="paragraph" w:styleId="TOC7">
    <w:name w:val="toc 7"/>
    <w:basedOn w:val="Normal"/>
    <w:next w:val="Normal"/>
    <w:autoRedefine/>
    <w:semiHidden/>
    <w:rsid w:val="00174817"/>
    <w:pPr>
      <w:ind w:left="1320"/>
    </w:pPr>
  </w:style>
  <w:style w:type="paragraph" w:styleId="TOC8">
    <w:name w:val="toc 8"/>
    <w:basedOn w:val="Normal"/>
    <w:next w:val="Normal"/>
    <w:autoRedefine/>
    <w:semiHidden/>
    <w:rsid w:val="00174817"/>
    <w:pPr>
      <w:ind w:left="1540"/>
    </w:pPr>
  </w:style>
  <w:style w:type="paragraph" w:styleId="TOC9">
    <w:name w:val="toc 9"/>
    <w:basedOn w:val="Normal"/>
    <w:next w:val="Normal"/>
    <w:autoRedefine/>
    <w:semiHidden/>
    <w:rsid w:val="00174817"/>
    <w:pPr>
      <w:ind w:left="1760"/>
    </w:pPr>
  </w:style>
  <w:style w:type="character" w:styleId="Hyperlink">
    <w:name w:val="Hyperlink"/>
    <w:basedOn w:val="DefaultParagraphFont"/>
    <w:uiPriority w:val="99"/>
    <w:rsid w:val="00174817"/>
    <w:rPr>
      <w:color w:val="0000FF"/>
      <w:u w:val="single"/>
    </w:rPr>
  </w:style>
  <w:style w:type="paragraph" w:styleId="DocumentMap">
    <w:name w:val="Document Map"/>
    <w:basedOn w:val="Normal"/>
    <w:semiHidden/>
    <w:rsid w:val="00174817"/>
    <w:pPr>
      <w:shd w:val="clear" w:color="auto" w:fill="000080"/>
    </w:pPr>
    <w:rPr>
      <w:rFonts w:ascii="Tahoma" w:hAnsi="Tahoma" w:cs="Tahoma"/>
    </w:rPr>
  </w:style>
  <w:style w:type="paragraph" w:styleId="BalloonText">
    <w:name w:val="Balloon Text"/>
    <w:basedOn w:val="Normal"/>
    <w:link w:val="BalloonTextChar"/>
    <w:rsid w:val="006E5633"/>
    <w:pPr>
      <w:spacing w:after="0"/>
    </w:pPr>
    <w:rPr>
      <w:rFonts w:ascii="Tahoma" w:hAnsi="Tahoma" w:cs="Tahoma"/>
      <w:sz w:val="16"/>
      <w:szCs w:val="16"/>
    </w:rPr>
  </w:style>
  <w:style w:type="character" w:customStyle="1" w:styleId="BalloonTextChar">
    <w:name w:val="Balloon Text Char"/>
    <w:basedOn w:val="DefaultParagraphFont"/>
    <w:link w:val="BalloonText"/>
    <w:rsid w:val="006E5633"/>
    <w:rPr>
      <w:rFonts w:ascii="Tahoma" w:hAnsi="Tahoma" w:cs="Tahoma"/>
      <w:sz w:val="16"/>
      <w:szCs w:val="16"/>
      <w:lang w:eastAsia="en-US"/>
    </w:rPr>
  </w:style>
  <w:style w:type="paragraph" w:customStyle="1" w:styleId="StyleBodyTextFirstline1cmAfter0pt">
    <w:name w:val="Style Body Text + First line:  1 cm After:  0 pt"/>
    <w:basedOn w:val="BodyText"/>
    <w:rsid w:val="004F3280"/>
    <w:pPr>
      <w:spacing w:after="0"/>
      <w:ind w:firstLine="567"/>
    </w:pPr>
  </w:style>
  <w:style w:type="paragraph" w:styleId="FootnoteText">
    <w:name w:val="footnote text"/>
    <w:basedOn w:val="Normal"/>
    <w:link w:val="FootnoteTextChar"/>
    <w:rsid w:val="002B1604"/>
    <w:pPr>
      <w:spacing w:after="0"/>
    </w:pPr>
    <w:rPr>
      <w:sz w:val="20"/>
    </w:rPr>
  </w:style>
  <w:style w:type="character" w:customStyle="1" w:styleId="FootnoteTextChar">
    <w:name w:val="Footnote Text Char"/>
    <w:basedOn w:val="DefaultParagraphFont"/>
    <w:link w:val="FootnoteText"/>
    <w:rsid w:val="002B1604"/>
    <w:rPr>
      <w:lang w:eastAsia="en-US"/>
    </w:rPr>
  </w:style>
  <w:style w:type="character" w:styleId="FootnoteReference">
    <w:name w:val="footnote reference"/>
    <w:basedOn w:val="DefaultParagraphFont"/>
    <w:rsid w:val="002B1604"/>
    <w:rPr>
      <w:vertAlign w:val="superscript"/>
    </w:rPr>
  </w:style>
  <w:style w:type="character" w:customStyle="1" w:styleId="FootnoteTextChar2">
    <w:name w:val="Footnote Text Char2"/>
    <w:locked/>
    <w:rsid w:val="002B1604"/>
    <w:rPr>
      <w:rFonts w:cs="Times New Roman"/>
      <w:sz w:val="20"/>
      <w:szCs w:val="20"/>
      <w:lang w:eastAsia="ar-SA" w:bidi="ar-SA"/>
    </w:rPr>
  </w:style>
  <w:style w:type="character" w:styleId="CommentReference">
    <w:name w:val="annotation reference"/>
    <w:basedOn w:val="DefaultParagraphFont"/>
    <w:rsid w:val="008E6409"/>
    <w:rPr>
      <w:sz w:val="16"/>
      <w:szCs w:val="16"/>
    </w:rPr>
  </w:style>
  <w:style w:type="paragraph" w:styleId="CommentText">
    <w:name w:val="annotation text"/>
    <w:basedOn w:val="Normal"/>
    <w:link w:val="CommentTextChar"/>
    <w:rsid w:val="008E6409"/>
    <w:rPr>
      <w:sz w:val="20"/>
    </w:rPr>
  </w:style>
  <w:style w:type="character" w:customStyle="1" w:styleId="CommentTextChar">
    <w:name w:val="Comment Text Char"/>
    <w:basedOn w:val="DefaultParagraphFont"/>
    <w:link w:val="CommentText"/>
    <w:rsid w:val="008E6409"/>
    <w:rPr>
      <w:lang w:eastAsia="en-US"/>
    </w:rPr>
  </w:style>
  <w:style w:type="paragraph" w:styleId="CommentSubject">
    <w:name w:val="annotation subject"/>
    <w:basedOn w:val="CommentText"/>
    <w:next w:val="CommentText"/>
    <w:link w:val="CommentSubjectChar"/>
    <w:rsid w:val="008E6409"/>
    <w:rPr>
      <w:b/>
      <w:bCs/>
    </w:rPr>
  </w:style>
  <w:style w:type="character" w:customStyle="1" w:styleId="CommentSubjectChar">
    <w:name w:val="Comment Subject Char"/>
    <w:basedOn w:val="CommentTextChar"/>
    <w:link w:val="CommentSubject"/>
    <w:rsid w:val="008E6409"/>
    <w:rPr>
      <w:b/>
      <w:bCs/>
      <w:lang w:eastAsia="en-US"/>
    </w:rPr>
  </w:style>
  <w:style w:type="character" w:customStyle="1" w:styleId="CommentTextChar1">
    <w:name w:val="Comment Text Char1"/>
    <w:locked/>
    <w:rsid w:val="008E6409"/>
    <w:rPr>
      <w:rFonts w:cs="Times New Roman"/>
      <w:sz w:val="20"/>
      <w:szCs w:val="20"/>
      <w:lang w:eastAsia="ar-SA" w:bidi="ar-SA"/>
    </w:rPr>
  </w:style>
  <w:style w:type="character" w:styleId="PageNumber">
    <w:name w:val="page number"/>
    <w:rsid w:val="00D100A3"/>
    <w:rPr>
      <w:rFonts w:cs="Times New Roman"/>
    </w:rPr>
  </w:style>
  <w:style w:type="table" w:customStyle="1" w:styleId="TableGrid1">
    <w:name w:val="Table Grid1"/>
    <w:basedOn w:val="TableNormal"/>
    <w:next w:val="TableGrid"/>
    <w:uiPriority w:val="59"/>
    <w:rsid w:val="007917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91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D2F21"/>
    <w:rPr>
      <w:b/>
      <w:bCs/>
    </w:rPr>
  </w:style>
  <w:style w:type="character" w:styleId="EndnoteReference">
    <w:name w:val="endnote reference"/>
    <w:rsid w:val="009D2F21"/>
    <w:rPr>
      <w:rFonts w:cs="Times New Roman"/>
    </w:rPr>
  </w:style>
  <w:style w:type="paragraph" w:styleId="EndnoteText">
    <w:name w:val="endnote text"/>
    <w:basedOn w:val="Normal"/>
    <w:link w:val="EndnoteTextChar"/>
    <w:rsid w:val="009D2F21"/>
    <w:pPr>
      <w:suppressAutoHyphens/>
      <w:overflowPunct/>
      <w:autoSpaceDE/>
      <w:autoSpaceDN/>
      <w:adjustRightInd/>
      <w:spacing w:after="120"/>
      <w:textAlignment w:val="auto"/>
    </w:pPr>
    <w:rPr>
      <w:lang w:eastAsia="ar-SA"/>
    </w:rPr>
  </w:style>
  <w:style w:type="character" w:customStyle="1" w:styleId="EndnoteTextChar">
    <w:name w:val="Endnote Text Char"/>
    <w:basedOn w:val="DefaultParagraphFont"/>
    <w:link w:val="EndnoteText"/>
    <w:rsid w:val="009D2F21"/>
    <w:rPr>
      <w:sz w:val="24"/>
      <w:lang w:eastAsia="ar-SA"/>
    </w:rPr>
  </w:style>
  <w:style w:type="paragraph" w:customStyle="1" w:styleId="Style3">
    <w:name w:val="Style3"/>
    <w:basedOn w:val="EndnoteText"/>
    <w:rsid w:val="009D2F21"/>
    <w:pPr>
      <w:numPr>
        <w:numId w:val="11"/>
      </w:numPr>
    </w:pPr>
  </w:style>
  <w:style w:type="character" w:styleId="PlaceholderText">
    <w:name w:val="Placeholder Text"/>
    <w:basedOn w:val="DefaultParagraphFont"/>
    <w:uiPriority w:val="99"/>
    <w:semiHidden/>
    <w:rsid w:val="006F0225"/>
    <w:rPr>
      <w:color w:val="808080"/>
    </w:rPr>
  </w:style>
  <w:style w:type="paragraph" w:customStyle="1" w:styleId="SP3274463">
    <w:name w:val="SP.3.274463"/>
    <w:basedOn w:val="Normal"/>
    <w:next w:val="Normal"/>
    <w:uiPriority w:val="99"/>
    <w:rsid w:val="000F24F5"/>
    <w:pPr>
      <w:overflowPunct/>
      <w:spacing w:after="0"/>
      <w:jc w:val="left"/>
      <w:textAlignment w:val="auto"/>
    </w:pPr>
    <w:rPr>
      <w:rFonts w:ascii="Times Ten" w:hAnsi="Times Ten"/>
      <w:szCs w:val="24"/>
      <w:lang w:eastAsia="en-GB"/>
    </w:rPr>
  </w:style>
  <w:style w:type="character" w:customStyle="1" w:styleId="SC3241730">
    <w:name w:val="SC.3.241730"/>
    <w:uiPriority w:val="99"/>
    <w:rsid w:val="000F24F5"/>
    <w:rPr>
      <w:rFonts w:cs="Times Ten"/>
      <w:color w:val="000000"/>
      <w:sz w:val="20"/>
      <w:szCs w:val="20"/>
    </w:rPr>
  </w:style>
  <w:style w:type="paragraph" w:styleId="Revision">
    <w:name w:val="Revision"/>
    <w:hidden/>
    <w:uiPriority w:val="99"/>
    <w:semiHidden/>
    <w:rsid w:val="00686582"/>
    <w:rPr>
      <w:sz w:val="24"/>
      <w:lang w:eastAsia="en-US"/>
    </w:rPr>
  </w:style>
  <w:style w:type="paragraph" w:styleId="Header">
    <w:name w:val="header"/>
    <w:basedOn w:val="Normal"/>
    <w:link w:val="HeaderChar"/>
    <w:rsid w:val="00E12A71"/>
    <w:pPr>
      <w:tabs>
        <w:tab w:val="center" w:pos="4513"/>
        <w:tab w:val="right" w:pos="9026"/>
      </w:tabs>
      <w:spacing w:after="0"/>
    </w:pPr>
  </w:style>
  <w:style w:type="character" w:customStyle="1" w:styleId="HeaderChar">
    <w:name w:val="Header Char"/>
    <w:basedOn w:val="DefaultParagraphFont"/>
    <w:link w:val="Header"/>
    <w:rsid w:val="00E12A71"/>
    <w:rPr>
      <w:sz w:val="24"/>
      <w:lang w:eastAsia="en-US"/>
    </w:rPr>
  </w:style>
  <w:style w:type="character" w:customStyle="1" w:styleId="Heading4Char">
    <w:name w:val="Heading 4 Char"/>
    <w:basedOn w:val="DefaultParagraphFont"/>
    <w:link w:val="Heading4"/>
    <w:uiPriority w:val="1"/>
    <w:rsid w:val="004136F6"/>
    <w:rPr>
      <w:bCs/>
      <w:sz w:val="24"/>
      <w:szCs w:val="28"/>
      <w:lang w:eastAsia="en-US"/>
    </w:rPr>
  </w:style>
  <w:style w:type="paragraph" w:customStyle="1" w:styleId="Default">
    <w:name w:val="Default"/>
    <w:rsid w:val="004506E6"/>
    <w:pPr>
      <w:autoSpaceDE w:val="0"/>
      <w:autoSpaceDN w:val="0"/>
      <w:adjustRightInd w:val="0"/>
    </w:pPr>
    <w:rPr>
      <w:color w:val="000000"/>
      <w:sz w:val="24"/>
      <w:szCs w:val="24"/>
    </w:rPr>
  </w:style>
  <w:style w:type="character" w:styleId="FollowedHyperlink">
    <w:name w:val="FollowedHyperlink"/>
    <w:basedOn w:val="DefaultParagraphFont"/>
    <w:rsid w:val="005A14AD"/>
    <w:rPr>
      <w:color w:val="800080" w:themeColor="followedHyperlink"/>
      <w:u w:val="single"/>
    </w:rPr>
  </w:style>
  <w:style w:type="paragraph" w:styleId="NormalWeb">
    <w:name w:val="Normal (Web)"/>
    <w:basedOn w:val="Normal"/>
    <w:uiPriority w:val="99"/>
    <w:unhideWhenUsed/>
    <w:rsid w:val="00481985"/>
    <w:pPr>
      <w:overflowPunct/>
      <w:autoSpaceDE/>
      <w:autoSpaceDN/>
      <w:adjustRightInd/>
      <w:spacing w:before="100" w:beforeAutospacing="1" w:after="100" w:afterAutospacing="1"/>
      <w:jc w:val="left"/>
      <w:textAlignment w:val="auto"/>
    </w:pPr>
    <w:rPr>
      <w:rFonts w:eastAsiaTheme="minorEastAsia"/>
      <w:szCs w:val="24"/>
      <w:lang w:eastAsia="en-GB"/>
    </w:rPr>
  </w:style>
  <w:style w:type="character" w:customStyle="1" w:styleId="BodyTextChar">
    <w:name w:val="Body Text Char"/>
    <w:basedOn w:val="DefaultParagraphFont"/>
    <w:link w:val="BodyText"/>
    <w:rsid w:val="00431D61"/>
    <w:rPr>
      <w:sz w:val="24"/>
      <w:lang w:val="en-US" w:eastAsia="en-US"/>
    </w:rPr>
  </w:style>
  <w:style w:type="paragraph" w:styleId="ListParagraph">
    <w:name w:val="List Paragraph"/>
    <w:basedOn w:val="Normal"/>
    <w:uiPriority w:val="34"/>
    <w:qFormat/>
    <w:rsid w:val="00647F8A"/>
    <w:pPr>
      <w:overflowPunct/>
      <w:autoSpaceDE/>
      <w:autoSpaceDN/>
      <w:adjustRightInd/>
      <w:spacing w:after="200" w:line="276" w:lineRule="auto"/>
      <w:ind w:left="720"/>
      <w:contextualSpacing/>
      <w:jc w:val="left"/>
      <w:textAlignment w:val="auto"/>
    </w:pPr>
    <w:rPr>
      <w:rFonts w:ascii="Calibri" w:eastAsia="Malgun Gothic" w:hAnsi="Calibri"/>
      <w:sz w:val="22"/>
      <w:szCs w:val="22"/>
    </w:rPr>
  </w:style>
  <w:style w:type="paragraph" w:customStyle="1" w:styleId="StyleHeading2NotItalic">
    <w:name w:val="Style Heading 2 + Not Italic"/>
    <w:basedOn w:val="Heading2"/>
    <w:uiPriority w:val="99"/>
    <w:rsid w:val="004F40F3"/>
    <w:pPr>
      <w:keepLines w:val="0"/>
      <w:numPr>
        <w:ilvl w:val="1"/>
        <w:numId w:val="16"/>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240" w:after="120"/>
    </w:pPr>
    <w:rPr>
      <w:rFonts w:ascii="Calibri" w:hAnsi="Calibri" w:cs="Calibri"/>
      <w:iCs w:val="0"/>
      <w:caps w:val="0"/>
      <w:lang w:val="fr-FR" w:eastAsia="fr-FR"/>
    </w:rPr>
  </w:style>
  <w:style w:type="paragraph" w:customStyle="1" w:styleId="CM1">
    <w:name w:val="CM1"/>
    <w:basedOn w:val="Default"/>
    <w:next w:val="Default"/>
    <w:uiPriority w:val="99"/>
    <w:rsid w:val="007F6474"/>
    <w:rPr>
      <w:rFonts w:ascii="EUAlbertina" w:hAnsi="EUAlbertina"/>
      <w:color w:val="auto"/>
    </w:rPr>
  </w:style>
  <w:style w:type="paragraph" w:customStyle="1" w:styleId="CM3">
    <w:name w:val="CM3"/>
    <w:basedOn w:val="Default"/>
    <w:next w:val="Default"/>
    <w:uiPriority w:val="99"/>
    <w:rsid w:val="007F6474"/>
    <w:rPr>
      <w:rFonts w:ascii="EUAlbertina" w:hAnsi="EUAlbertina"/>
      <w:color w:val="auto"/>
    </w:rPr>
  </w:style>
  <w:style w:type="table" w:customStyle="1" w:styleId="TableGrid2">
    <w:name w:val="Table Grid2"/>
    <w:basedOn w:val="TableNormal"/>
    <w:next w:val="TableGrid"/>
    <w:uiPriority w:val="59"/>
    <w:rsid w:val="0001441C"/>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140153"/>
    <w:rPr>
      <w:bCs/>
      <w:iCs/>
      <w:caps/>
      <w:sz w:val="24"/>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uiPriority="1" w:qFormat="1"/>
    <w:lsdException w:name="heading 2" w:uiPriority="1" w:qFormat="1"/>
    <w:lsdException w:name="heading 3" w:uiPriority="1" w:qFormat="1"/>
    <w:lsdException w:name="heading 4" w:uiPriority="1"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Body Text" w:qFormat="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8106C9"/>
    <w:pPr>
      <w:overflowPunct w:val="0"/>
      <w:autoSpaceDE w:val="0"/>
      <w:autoSpaceDN w:val="0"/>
      <w:adjustRightInd w:val="0"/>
      <w:spacing w:after="240"/>
      <w:jc w:val="both"/>
      <w:textAlignment w:val="baseline"/>
    </w:pPr>
    <w:rPr>
      <w:sz w:val="24"/>
      <w:lang w:eastAsia="en-US"/>
    </w:rPr>
  </w:style>
  <w:style w:type="paragraph" w:styleId="Heading1">
    <w:name w:val="heading 1"/>
    <w:basedOn w:val="BodyText"/>
    <w:next w:val="BodyText"/>
    <w:uiPriority w:val="1"/>
    <w:qFormat/>
    <w:rsid w:val="004F3280"/>
    <w:pPr>
      <w:keepNext/>
      <w:keepLines/>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80"/>
      <w:jc w:val="center"/>
      <w:outlineLvl w:val="0"/>
    </w:pPr>
    <w:rPr>
      <w:b/>
      <w:bCs/>
      <w:caps/>
      <w:sz w:val="28"/>
      <w:szCs w:val="28"/>
    </w:rPr>
  </w:style>
  <w:style w:type="paragraph" w:styleId="Heading2">
    <w:name w:val="heading 2"/>
    <w:basedOn w:val="BodyText"/>
    <w:next w:val="BodyText"/>
    <w:link w:val="Heading2Char"/>
    <w:uiPriority w:val="1"/>
    <w:qFormat/>
    <w:rsid w:val="002F6ABF"/>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480"/>
      <w:jc w:val="left"/>
      <w:outlineLvl w:val="1"/>
    </w:pPr>
    <w:rPr>
      <w:bCs/>
      <w:iCs/>
      <w:caps/>
      <w:szCs w:val="28"/>
    </w:rPr>
  </w:style>
  <w:style w:type="paragraph" w:styleId="Heading3">
    <w:name w:val="heading 3"/>
    <w:basedOn w:val="BodyText"/>
    <w:next w:val="BodyText"/>
    <w:uiPriority w:val="1"/>
    <w:qFormat/>
    <w:rsid w:val="00FB4F50"/>
    <w:pPr>
      <w:keepNext/>
      <w:keepLines/>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outlineLvl w:val="2"/>
    </w:pPr>
    <w:rPr>
      <w:b/>
      <w:bCs/>
      <w:szCs w:val="26"/>
    </w:rPr>
  </w:style>
  <w:style w:type="paragraph" w:styleId="Heading4">
    <w:name w:val="heading 4"/>
    <w:basedOn w:val="BodyText"/>
    <w:next w:val="BodyText"/>
    <w:link w:val="Heading4Char"/>
    <w:uiPriority w:val="1"/>
    <w:qFormat/>
    <w:rsid w:val="004136F6"/>
    <w:pPr>
      <w:numPr>
        <w:ilvl w:val="1"/>
        <w:numId w:val="1"/>
      </w:numPr>
      <w:tabs>
        <w:tab w:val="left" w:pos="851"/>
      </w:tabs>
      <w:outlineLvl w:val="3"/>
    </w:pPr>
    <w:rPr>
      <w:bCs/>
      <w:szCs w:val="28"/>
      <w:lang w:val="en-GB"/>
    </w:rPr>
  </w:style>
  <w:style w:type="paragraph" w:styleId="Heading5">
    <w:name w:val="heading 5"/>
    <w:basedOn w:val="Normal"/>
    <w:next w:val="Normal"/>
    <w:uiPriority w:val="1"/>
    <w:rsid w:val="00174817"/>
    <w:pPr>
      <w:spacing w:before="240" w:after="60"/>
      <w:outlineLvl w:val="4"/>
    </w:pPr>
    <w:rPr>
      <w:b/>
      <w:bCs/>
      <w:i/>
      <w:iCs/>
      <w:sz w:val="26"/>
      <w:szCs w:val="26"/>
    </w:rPr>
  </w:style>
  <w:style w:type="paragraph" w:styleId="Heading6">
    <w:name w:val="heading 6"/>
    <w:basedOn w:val="Normal"/>
    <w:next w:val="Normal"/>
    <w:uiPriority w:val="1"/>
    <w:rsid w:val="00174817"/>
    <w:pPr>
      <w:spacing w:before="240" w:after="60"/>
      <w:outlineLvl w:val="5"/>
    </w:pPr>
    <w:rPr>
      <w:b/>
      <w:bCs/>
      <w:szCs w:val="22"/>
    </w:rPr>
  </w:style>
  <w:style w:type="paragraph" w:styleId="Heading7">
    <w:name w:val="heading 7"/>
    <w:basedOn w:val="Normal"/>
    <w:next w:val="Normal"/>
    <w:uiPriority w:val="1"/>
    <w:rsid w:val="00174817"/>
    <w:pPr>
      <w:spacing w:before="240" w:after="60"/>
      <w:outlineLvl w:val="6"/>
    </w:pPr>
    <w:rPr>
      <w:szCs w:val="24"/>
    </w:rPr>
  </w:style>
  <w:style w:type="paragraph" w:styleId="Heading8">
    <w:name w:val="heading 8"/>
    <w:basedOn w:val="Normal"/>
    <w:next w:val="Normal"/>
    <w:uiPriority w:val="1"/>
    <w:rsid w:val="00174817"/>
    <w:pPr>
      <w:spacing w:before="240" w:after="60"/>
      <w:outlineLvl w:val="7"/>
    </w:pPr>
    <w:rPr>
      <w:i/>
      <w:iCs/>
      <w:szCs w:val="24"/>
    </w:rPr>
  </w:style>
  <w:style w:type="paragraph" w:styleId="Heading9">
    <w:name w:val="heading 9"/>
    <w:basedOn w:val="Normal"/>
    <w:next w:val="Normal"/>
    <w:uiPriority w:val="1"/>
    <w:rsid w:val="00174817"/>
    <w:pPr>
      <w:spacing w:before="240" w:after="60"/>
      <w:outlineLvl w:val="8"/>
    </w:pPr>
    <w:rPr>
      <w:rFonts w:ascii="Arial" w:hAnsi="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174817"/>
    <w:pPr>
      <w:spacing w:after="240"/>
      <w:jc w:val="both"/>
    </w:pPr>
    <w:rPr>
      <w:sz w:val="24"/>
      <w:lang w:val="en-US" w:eastAsia="en-US"/>
    </w:rPr>
  </w:style>
  <w:style w:type="paragraph" w:styleId="Footer">
    <w:name w:val="footer"/>
    <w:basedOn w:val="BodyText"/>
    <w:next w:val="BodyText"/>
    <w:rsid w:val="00174817"/>
    <w:rPr>
      <w:sz w:val="22"/>
    </w:rPr>
  </w:style>
  <w:style w:type="paragraph" w:styleId="Title">
    <w:name w:val="Title"/>
    <w:basedOn w:val="Normal"/>
    <w:next w:val="BodyText"/>
    <w:rsid w:val="00174817"/>
    <w:pPr>
      <w:jc w:val="right"/>
    </w:pPr>
    <w:rPr>
      <w:b/>
      <w:bCs/>
      <w:i/>
      <w:sz w:val="56"/>
      <w:szCs w:val="32"/>
    </w:rPr>
  </w:style>
  <w:style w:type="paragraph" w:customStyle="1" w:styleId="IAEAEquation">
    <w:name w:val="IAEA Equation"/>
    <w:basedOn w:val="BodyText"/>
    <w:next w:val="BodyText"/>
    <w:rsid w:val="00174817"/>
    <w:pPr>
      <w:jc w:val="right"/>
    </w:pPr>
    <w:rPr>
      <w:iCs/>
    </w:rPr>
  </w:style>
  <w:style w:type="paragraph" w:customStyle="1" w:styleId="IAEATableFootnote">
    <w:name w:val="IAEA Table Footnote"/>
    <w:basedOn w:val="BodyText"/>
    <w:next w:val="BodyText"/>
    <w:rsid w:val="00174817"/>
    <w:pPr>
      <w:spacing w:before="60" w:after="0"/>
      <w:jc w:val="left"/>
    </w:pPr>
    <w:rPr>
      <w:sz w:val="22"/>
    </w:rPr>
  </w:style>
  <w:style w:type="paragraph" w:customStyle="1" w:styleId="IAEAFigureCaption">
    <w:name w:val="IAEA Figure Caption"/>
    <w:basedOn w:val="BodyText"/>
    <w:next w:val="BodyText"/>
    <w:rsid w:val="00174817"/>
    <w:pPr>
      <w:keepNext/>
      <w:keepLines/>
      <w:jc w:val="center"/>
    </w:pPr>
    <w:rPr>
      <w:i/>
    </w:rPr>
  </w:style>
  <w:style w:type="paragraph" w:customStyle="1" w:styleId="IAEAReferenceText">
    <w:name w:val="IAEA Reference Text"/>
    <w:basedOn w:val="BodyText"/>
    <w:next w:val="BodyText"/>
    <w:rsid w:val="00174817"/>
    <w:pPr>
      <w:spacing w:after="0"/>
    </w:pPr>
  </w:style>
  <w:style w:type="paragraph" w:customStyle="1" w:styleId="AnnexHeading1">
    <w:name w:val="Annex Heading 1"/>
    <w:basedOn w:val="BodyText"/>
    <w:next w:val="BodyText"/>
    <w:uiPriority w:val="3"/>
    <w:qFormat/>
    <w:rsid w:val="00815D2E"/>
    <w:pPr>
      <w:keepNext/>
      <w:keepLines/>
      <w:pageBreakBefore/>
      <w:numPr>
        <w:numId w:val="3"/>
      </w:numPr>
      <w:tabs>
        <w:tab w:val="clear" w:pos="8321"/>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num" w:pos="7896"/>
        <w:tab w:val="left" w:pos="7938"/>
        <w:tab w:val="left" w:pos="8505"/>
      </w:tabs>
      <w:spacing w:after="480"/>
      <w:ind w:left="6096"/>
      <w:jc w:val="center"/>
    </w:pPr>
    <w:rPr>
      <w:b/>
      <w:caps/>
      <w:sz w:val="28"/>
    </w:rPr>
  </w:style>
  <w:style w:type="paragraph" w:customStyle="1" w:styleId="AnnexHeading2">
    <w:name w:val="Annex Heading 2"/>
    <w:basedOn w:val="BodyText"/>
    <w:next w:val="BodyText"/>
    <w:uiPriority w:val="3"/>
    <w:qFormat/>
    <w:rsid w:val="00815D2E"/>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480"/>
      <w:jc w:val="left"/>
    </w:pPr>
    <w:rPr>
      <w:caps/>
    </w:rPr>
  </w:style>
  <w:style w:type="paragraph" w:customStyle="1" w:styleId="AnnexHeading3">
    <w:name w:val="Annex Heading 3"/>
    <w:basedOn w:val="BodyText"/>
    <w:next w:val="BodyText"/>
    <w:uiPriority w:val="3"/>
    <w:qFormat/>
    <w:rsid w:val="0065152F"/>
    <w:pPr>
      <w:widowControl w:val="0"/>
      <w:numPr>
        <w:ilvl w:val="1"/>
        <w:numId w:val="3"/>
      </w:numPr>
      <w:tabs>
        <w:tab w:val="left" w:pos="851"/>
      </w:tabs>
    </w:pPr>
  </w:style>
  <w:style w:type="paragraph" w:customStyle="1" w:styleId="AnnexHeading4">
    <w:name w:val="Annex Heading 4"/>
    <w:basedOn w:val="BodyText"/>
    <w:next w:val="BodyText"/>
    <w:uiPriority w:val="3"/>
    <w:qFormat/>
    <w:rsid w:val="007F3C65"/>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pPr>
    <w:rPr>
      <w:b/>
    </w:rPr>
  </w:style>
  <w:style w:type="paragraph" w:styleId="Subtitle">
    <w:name w:val="Subtitle"/>
    <w:basedOn w:val="Normal"/>
    <w:next w:val="BodyText"/>
    <w:rsid w:val="00174817"/>
    <w:pPr>
      <w:jc w:val="right"/>
    </w:pPr>
    <w:rPr>
      <w:b/>
      <w:i/>
      <w:sz w:val="32"/>
      <w:szCs w:val="24"/>
    </w:rPr>
  </w:style>
  <w:style w:type="paragraph" w:customStyle="1" w:styleId="Contents">
    <w:name w:val="Contents"/>
    <w:basedOn w:val="BodyText"/>
    <w:next w:val="BodyText"/>
    <w:rsid w:val="00174817"/>
    <w:pPr>
      <w:pageBreakBefore/>
      <w:jc w:val="center"/>
    </w:pPr>
    <w:rPr>
      <w:b/>
      <w:caps/>
    </w:rPr>
  </w:style>
  <w:style w:type="paragraph" w:customStyle="1" w:styleId="Heading">
    <w:name w:val="Heading"/>
    <w:basedOn w:val="BodyText"/>
    <w:next w:val="BodyText"/>
    <w:uiPriority w:val="3"/>
    <w:qFormat/>
    <w:rsid w:val="00174817"/>
    <w:pPr>
      <w:keepNext/>
      <w:keepLines/>
      <w:pageBreakBefore/>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jc w:val="center"/>
    </w:pPr>
    <w:rPr>
      <w:b/>
      <w:caps/>
    </w:rPr>
  </w:style>
  <w:style w:type="paragraph" w:customStyle="1" w:styleId="ReferenceHeading">
    <w:name w:val="Reference Heading"/>
    <w:basedOn w:val="BodyText"/>
    <w:next w:val="BodyText"/>
    <w:rsid w:val="00174817"/>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pPr>
    <w:rPr>
      <w:b/>
      <w:caps/>
    </w:rPr>
  </w:style>
  <w:style w:type="paragraph" w:customStyle="1" w:styleId="Foreword">
    <w:name w:val="Foreword"/>
    <w:basedOn w:val="BodyText"/>
    <w:next w:val="BodyText"/>
    <w:rsid w:val="00174817"/>
    <w:pPr>
      <w:pageBreakBefore/>
      <w:jc w:val="center"/>
    </w:pPr>
    <w:rPr>
      <w:b/>
      <w:caps/>
    </w:rPr>
  </w:style>
  <w:style w:type="paragraph" w:customStyle="1" w:styleId="IAEATableHeading">
    <w:name w:val="IAEA Table Heading"/>
    <w:basedOn w:val="BodyText"/>
    <w:next w:val="BodyText"/>
    <w:rsid w:val="00174817"/>
    <w:pPr>
      <w:keepNext/>
      <w:keepLines/>
      <w:spacing w:after="120"/>
      <w:jc w:val="left"/>
    </w:pPr>
  </w:style>
  <w:style w:type="paragraph" w:styleId="TOC1">
    <w:name w:val="toc 1"/>
    <w:basedOn w:val="BodyText"/>
    <w:next w:val="Normal"/>
    <w:uiPriority w:val="39"/>
    <w:rsid w:val="00174817"/>
    <w:pPr>
      <w:tabs>
        <w:tab w:val="left" w:pos="567"/>
        <w:tab w:val="right" w:leader="dot" w:pos="9072"/>
      </w:tabs>
      <w:overflowPunct w:val="0"/>
      <w:autoSpaceDE w:val="0"/>
      <w:autoSpaceDN w:val="0"/>
      <w:adjustRightInd w:val="0"/>
      <w:spacing w:before="240" w:after="120"/>
      <w:ind w:left="567" w:right="567" w:hanging="567"/>
      <w:jc w:val="left"/>
      <w:textAlignment w:val="baseline"/>
    </w:pPr>
    <w:rPr>
      <w:bCs/>
      <w:iCs/>
      <w:caps/>
      <w:noProof/>
      <w:szCs w:val="28"/>
      <w:lang w:val="en-GB"/>
    </w:rPr>
  </w:style>
  <w:style w:type="paragraph" w:styleId="TOC2">
    <w:name w:val="toc 2"/>
    <w:basedOn w:val="BodyText"/>
    <w:next w:val="BodyText"/>
    <w:uiPriority w:val="39"/>
    <w:rsid w:val="00174817"/>
    <w:pPr>
      <w:tabs>
        <w:tab w:val="left" w:pos="1418"/>
        <w:tab w:val="right" w:leader="dot" w:pos="9072"/>
      </w:tabs>
      <w:overflowPunct w:val="0"/>
      <w:autoSpaceDE w:val="0"/>
      <w:autoSpaceDN w:val="0"/>
      <w:adjustRightInd w:val="0"/>
      <w:spacing w:after="0"/>
      <w:ind w:left="1418" w:right="567" w:hanging="851"/>
      <w:jc w:val="left"/>
      <w:textAlignment w:val="baseline"/>
    </w:pPr>
    <w:rPr>
      <w:bCs/>
      <w:noProof/>
      <w:szCs w:val="26"/>
      <w:lang w:val="en-GB"/>
    </w:rPr>
  </w:style>
  <w:style w:type="paragraph" w:styleId="TOC3">
    <w:name w:val="toc 3"/>
    <w:basedOn w:val="BodyText"/>
    <w:next w:val="BodyText"/>
    <w:uiPriority w:val="39"/>
    <w:rsid w:val="00174817"/>
    <w:pPr>
      <w:tabs>
        <w:tab w:val="left" w:pos="2126"/>
        <w:tab w:val="right" w:leader="dot" w:pos="9072"/>
      </w:tabs>
      <w:overflowPunct w:val="0"/>
      <w:autoSpaceDE w:val="0"/>
      <w:autoSpaceDN w:val="0"/>
      <w:adjustRightInd w:val="0"/>
      <w:spacing w:after="0"/>
      <w:ind w:left="2127" w:right="567" w:hanging="709"/>
      <w:jc w:val="left"/>
      <w:textAlignment w:val="baseline"/>
    </w:pPr>
    <w:rPr>
      <w:noProof/>
      <w:szCs w:val="24"/>
      <w:lang w:val="en-GB"/>
    </w:rPr>
  </w:style>
  <w:style w:type="paragraph" w:customStyle="1" w:styleId="BodyTextList">
    <w:name w:val="Body Text List"/>
    <w:basedOn w:val="BodyText"/>
    <w:rsid w:val="00A92371"/>
    <w:pPr>
      <w:overflowPunct w:val="0"/>
      <w:autoSpaceDE w:val="0"/>
      <w:autoSpaceDN w:val="0"/>
      <w:adjustRightInd w:val="0"/>
      <w:spacing w:after="0" w:line="280" w:lineRule="exact"/>
      <w:textAlignment w:val="baseline"/>
    </w:pPr>
    <w:rPr>
      <w:noProof/>
      <w:lang w:val="en-GB"/>
    </w:rPr>
  </w:style>
  <w:style w:type="paragraph" w:customStyle="1" w:styleId="AppendixHeading1">
    <w:name w:val="Appendix Heading 1"/>
    <w:basedOn w:val="BodyText"/>
    <w:next w:val="BodyText"/>
    <w:uiPriority w:val="2"/>
    <w:qFormat/>
    <w:rsid w:val="007B4F70"/>
    <w:pPr>
      <w:keepNext/>
      <w:keepLines/>
      <w:pageBreakBefore/>
      <w:numPr>
        <w:numId w:val="2"/>
      </w:numPr>
      <w:tabs>
        <w:tab w:val="clear" w:pos="2160"/>
      </w:tabs>
      <w:spacing w:after="480"/>
      <w:jc w:val="center"/>
    </w:pPr>
    <w:rPr>
      <w:b/>
      <w:caps/>
      <w:sz w:val="28"/>
      <w:szCs w:val="28"/>
    </w:rPr>
  </w:style>
  <w:style w:type="paragraph" w:customStyle="1" w:styleId="AppendixHeading2">
    <w:name w:val="Appendix Heading 2"/>
    <w:basedOn w:val="BodyText"/>
    <w:next w:val="BodyText"/>
    <w:uiPriority w:val="2"/>
    <w:qFormat/>
    <w:rsid w:val="0037506C"/>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480"/>
      <w:jc w:val="left"/>
    </w:pPr>
    <w:rPr>
      <w:caps/>
    </w:rPr>
  </w:style>
  <w:style w:type="paragraph" w:customStyle="1" w:styleId="AppendixHeading3">
    <w:name w:val="Appendix Heading 3"/>
    <w:basedOn w:val="BodyText"/>
    <w:next w:val="BodyText"/>
    <w:uiPriority w:val="2"/>
    <w:qFormat/>
    <w:rsid w:val="007B4F70"/>
    <w:pPr>
      <w:widowControl w:val="0"/>
      <w:numPr>
        <w:ilvl w:val="1"/>
        <w:numId w:val="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lang w:val="en-GB"/>
    </w:rPr>
  </w:style>
  <w:style w:type="paragraph" w:customStyle="1" w:styleId="AppendixHeading4">
    <w:name w:val="Appendix Heading 4"/>
    <w:basedOn w:val="BodyText"/>
    <w:next w:val="BodyText"/>
    <w:uiPriority w:val="2"/>
    <w:qFormat/>
    <w:rsid w:val="00174817"/>
    <w:pPr>
      <w:numPr>
        <w:ilvl w:val="3"/>
        <w:numId w:val="2"/>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1134"/>
      <w:jc w:val="left"/>
    </w:pPr>
    <w:rPr>
      <w:i/>
    </w:rPr>
  </w:style>
  <w:style w:type="paragraph" w:styleId="TOC4">
    <w:name w:val="toc 4"/>
    <w:basedOn w:val="BodyText"/>
    <w:next w:val="BodyText"/>
    <w:uiPriority w:val="39"/>
    <w:rsid w:val="00174817"/>
    <w:pPr>
      <w:tabs>
        <w:tab w:val="left" w:pos="1418"/>
        <w:tab w:val="right" w:leader="dot" w:pos="9072"/>
      </w:tabs>
      <w:spacing w:before="240" w:after="0"/>
      <w:ind w:left="1418" w:right="567" w:hanging="1418"/>
      <w:jc w:val="left"/>
    </w:pPr>
    <w:rPr>
      <w:caps/>
    </w:rPr>
  </w:style>
  <w:style w:type="paragraph" w:styleId="TOC5">
    <w:name w:val="toc 5"/>
    <w:basedOn w:val="BodyText"/>
    <w:next w:val="BodyText"/>
    <w:uiPriority w:val="39"/>
    <w:rsid w:val="00174817"/>
    <w:pPr>
      <w:tabs>
        <w:tab w:val="left" w:pos="1559"/>
        <w:tab w:val="right" w:leader="dot" w:pos="9072"/>
      </w:tabs>
      <w:spacing w:before="240" w:after="0"/>
      <w:ind w:left="1559" w:right="567" w:hanging="1559"/>
      <w:jc w:val="left"/>
    </w:pPr>
    <w:rPr>
      <w:caps/>
      <w:noProof/>
      <w:szCs w:val="24"/>
    </w:rPr>
  </w:style>
  <w:style w:type="paragraph" w:styleId="TOC6">
    <w:name w:val="toc 6"/>
    <w:basedOn w:val="Normal"/>
    <w:next w:val="Normal"/>
    <w:autoRedefine/>
    <w:uiPriority w:val="39"/>
    <w:rsid w:val="00174817"/>
    <w:pPr>
      <w:spacing w:before="240" w:after="0"/>
      <w:ind w:right="567"/>
      <w:jc w:val="left"/>
    </w:pPr>
    <w:rPr>
      <w:caps/>
    </w:rPr>
  </w:style>
  <w:style w:type="paragraph" w:styleId="TOC7">
    <w:name w:val="toc 7"/>
    <w:basedOn w:val="Normal"/>
    <w:next w:val="Normal"/>
    <w:autoRedefine/>
    <w:semiHidden/>
    <w:rsid w:val="00174817"/>
    <w:pPr>
      <w:ind w:left="1320"/>
    </w:pPr>
  </w:style>
  <w:style w:type="paragraph" w:styleId="TOC8">
    <w:name w:val="toc 8"/>
    <w:basedOn w:val="Normal"/>
    <w:next w:val="Normal"/>
    <w:autoRedefine/>
    <w:semiHidden/>
    <w:rsid w:val="00174817"/>
    <w:pPr>
      <w:ind w:left="1540"/>
    </w:pPr>
  </w:style>
  <w:style w:type="paragraph" w:styleId="TOC9">
    <w:name w:val="toc 9"/>
    <w:basedOn w:val="Normal"/>
    <w:next w:val="Normal"/>
    <w:autoRedefine/>
    <w:semiHidden/>
    <w:rsid w:val="00174817"/>
    <w:pPr>
      <w:ind w:left="1760"/>
    </w:pPr>
  </w:style>
  <w:style w:type="character" w:styleId="Hyperlink">
    <w:name w:val="Hyperlink"/>
    <w:basedOn w:val="DefaultParagraphFont"/>
    <w:uiPriority w:val="99"/>
    <w:rsid w:val="00174817"/>
    <w:rPr>
      <w:color w:val="0000FF"/>
      <w:u w:val="single"/>
    </w:rPr>
  </w:style>
  <w:style w:type="paragraph" w:styleId="DocumentMap">
    <w:name w:val="Document Map"/>
    <w:basedOn w:val="Normal"/>
    <w:semiHidden/>
    <w:rsid w:val="00174817"/>
    <w:pPr>
      <w:shd w:val="clear" w:color="auto" w:fill="000080"/>
    </w:pPr>
    <w:rPr>
      <w:rFonts w:ascii="Tahoma" w:hAnsi="Tahoma" w:cs="Tahoma"/>
    </w:rPr>
  </w:style>
  <w:style w:type="paragraph" w:styleId="BalloonText">
    <w:name w:val="Balloon Text"/>
    <w:basedOn w:val="Normal"/>
    <w:link w:val="BalloonTextChar"/>
    <w:rsid w:val="006E5633"/>
    <w:pPr>
      <w:spacing w:after="0"/>
    </w:pPr>
    <w:rPr>
      <w:rFonts w:ascii="Tahoma" w:hAnsi="Tahoma" w:cs="Tahoma"/>
      <w:sz w:val="16"/>
      <w:szCs w:val="16"/>
    </w:rPr>
  </w:style>
  <w:style w:type="character" w:customStyle="1" w:styleId="BalloonTextChar">
    <w:name w:val="Balloon Text Char"/>
    <w:basedOn w:val="DefaultParagraphFont"/>
    <w:link w:val="BalloonText"/>
    <w:rsid w:val="006E5633"/>
    <w:rPr>
      <w:rFonts w:ascii="Tahoma" w:hAnsi="Tahoma" w:cs="Tahoma"/>
      <w:sz w:val="16"/>
      <w:szCs w:val="16"/>
      <w:lang w:eastAsia="en-US"/>
    </w:rPr>
  </w:style>
  <w:style w:type="paragraph" w:customStyle="1" w:styleId="StyleBodyTextFirstline1cmAfter0pt">
    <w:name w:val="Style Body Text + First line:  1 cm After:  0 pt"/>
    <w:basedOn w:val="BodyText"/>
    <w:rsid w:val="004F3280"/>
    <w:pPr>
      <w:spacing w:after="0"/>
      <w:ind w:firstLine="567"/>
    </w:pPr>
  </w:style>
  <w:style w:type="paragraph" w:styleId="FootnoteText">
    <w:name w:val="footnote text"/>
    <w:basedOn w:val="Normal"/>
    <w:link w:val="FootnoteTextChar"/>
    <w:rsid w:val="002B1604"/>
    <w:pPr>
      <w:spacing w:after="0"/>
    </w:pPr>
    <w:rPr>
      <w:sz w:val="20"/>
    </w:rPr>
  </w:style>
  <w:style w:type="character" w:customStyle="1" w:styleId="FootnoteTextChar">
    <w:name w:val="Footnote Text Char"/>
    <w:basedOn w:val="DefaultParagraphFont"/>
    <w:link w:val="FootnoteText"/>
    <w:rsid w:val="002B1604"/>
    <w:rPr>
      <w:lang w:eastAsia="en-US"/>
    </w:rPr>
  </w:style>
  <w:style w:type="character" w:styleId="FootnoteReference">
    <w:name w:val="footnote reference"/>
    <w:basedOn w:val="DefaultParagraphFont"/>
    <w:rsid w:val="002B1604"/>
    <w:rPr>
      <w:vertAlign w:val="superscript"/>
    </w:rPr>
  </w:style>
  <w:style w:type="character" w:customStyle="1" w:styleId="FootnoteTextChar2">
    <w:name w:val="Footnote Text Char2"/>
    <w:locked/>
    <w:rsid w:val="002B1604"/>
    <w:rPr>
      <w:rFonts w:cs="Times New Roman"/>
      <w:sz w:val="20"/>
      <w:szCs w:val="20"/>
      <w:lang w:eastAsia="ar-SA" w:bidi="ar-SA"/>
    </w:rPr>
  </w:style>
  <w:style w:type="character" w:styleId="CommentReference">
    <w:name w:val="annotation reference"/>
    <w:basedOn w:val="DefaultParagraphFont"/>
    <w:rsid w:val="008E6409"/>
    <w:rPr>
      <w:sz w:val="16"/>
      <w:szCs w:val="16"/>
    </w:rPr>
  </w:style>
  <w:style w:type="paragraph" w:styleId="CommentText">
    <w:name w:val="annotation text"/>
    <w:basedOn w:val="Normal"/>
    <w:link w:val="CommentTextChar"/>
    <w:rsid w:val="008E6409"/>
    <w:rPr>
      <w:sz w:val="20"/>
    </w:rPr>
  </w:style>
  <w:style w:type="character" w:customStyle="1" w:styleId="CommentTextChar">
    <w:name w:val="Comment Text Char"/>
    <w:basedOn w:val="DefaultParagraphFont"/>
    <w:link w:val="CommentText"/>
    <w:rsid w:val="008E6409"/>
    <w:rPr>
      <w:lang w:eastAsia="en-US"/>
    </w:rPr>
  </w:style>
  <w:style w:type="paragraph" w:styleId="CommentSubject">
    <w:name w:val="annotation subject"/>
    <w:basedOn w:val="CommentText"/>
    <w:next w:val="CommentText"/>
    <w:link w:val="CommentSubjectChar"/>
    <w:rsid w:val="008E6409"/>
    <w:rPr>
      <w:b/>
      <w:bCs/>
    </w:rPr>
  </w:style>
  <w:style w:type="character" w:customStyle="1" w:styleId="CommentSubjectChar">
    <w:name w:val="Comment Subject Char"/>
    <w:basedOn w:val="CommentTextChar"/>
    <w:link w:val="CommentSubject"/>
    <w:rsid w:val="008E6409"/>
    <w:rPr>
      <w:b/>
      <w:bCs/>
      <w:lang w:eastAsia="en-US"/>
    </w:rPr>
  </w:style>
  <w:style w:type="character" w:customStyle="1" w:styleId="CommentTextChar1">
    <w:name w:val="Comment Text Char1"/>
    <w:locked/>
    <w:rsid w:val="008E6409"/>
    <w:rPr>
      <w:rFonts w:cs="Times New Roman"/>
      <w:sz w:val="20"/>
      <w:szCs w:val="20"/>
      <w:lang w:eastAsia="ar-SA" w:bidi="ar-SA"/>
    </w:rPr>
  </w:style>
  <w:style w:type="character" w:styleId="PageNumber">
    <w:name w:val="page number"/>
    <w:rsid w:val="00D100A3"/>
    <w:rPr>
      <w:rFonts w:cs="Times New Roman"/>
    </w:rPr>
  </w:style>
  <w:style w:type="table" w:customStyle="1" w:styleId="TableGrid1">
    <w:name w:val="Table Grid1"/>
    <w:basedOn w:val="TableNormal"/>
    <w:next w:val="TableGrid"/>
    <w:uiPriority w:val="59"/>
    <w:rsid w:val="007917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91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D2F21"/>
    <w:rPr>
      <w:b/>
      <w:bCs/>
    </w:rPr>
  </w:style>
  <w:style w:type="character" w:styleId="EndnoteReference">
    <w:name w:val="endnote reference"/>
    <w:rsid w:val="009D2F21"/>
    <w:rPr>
      <w:rFonts w:cs="Times New Roman"/>
    </w:rPr>
  </w:style>
  <w:style w:type="paragraph" w:styleId="EndnoteText">
    <w:name w:val="endnote text"/>
    <w:basedOn w:val="Normal"/>
    <w:link w:val="EndnoteTextChar"/>
    <w:rsid w:val="009D2F21"/>
    <w:pPr>
      <w:suppressAutoHyphens/>
      <w:overflowPunct/>
      <w:autoSpaceDE/>
      <w:autoSpaceDN/>
      <w:adjustRightInd/>
      <w:spacing w:after="120"/>
      <w:textAlignment w:val="auto"/>
    </w:pPr>
    <w:rPr>
      <w:lang w:eastAsia="ar-SA"/>
    </w:rPr>
  </w:style>
  <w:style w:type="character" w:customStyle="1" w:styleId="EndnoteTextChar">
    <w:name w:val="Endnote Text Char"/>
    <w:basedOn w:val="DefaultParagraphFont"/>
    <w:link w:val="EndnoteText"/>
    <w:rsid w:val="009D2F21"/>
    <w:rPr>
      <w:sz w:val="24"/>
      <w:lang w:eastAsia="ar-SA"/>
    </w:rPr>
  </w:style>
  <w:style w:type="paragraph" w:customStyle="1" w:styleId="Style3">
    <w:name w:val="Style3"/>
    <w:basedOn w:val="EndnoteText"/>
    <w:rsid w:val="009D2F21"/>
    <w:pPr>
      <w:numPr>
        <w:numId w:val="11"/>
      </w:numPr>
    </w:pPr>
  </w:style>
  <w:style w:type="character" w:styleId="PlaceholderText">
    <w:name w:val="Placeholder Text"/>
    <w:basedOn w:val="DefaultParagraphFont"/>
    <w:uiPriority w:val="99"/>
    <w:semiHidden/>
    <w:rsid w:val="006F0225"/>
    <w:rPr>
      <w:color w:val="808080"/>
    </w:rPr>
  </w:style>
  <w:style w:type="paragraph" w:customStyle="1" w:styleId="SP3274463">
    <w:name w:val="SP.3.274463"/>
    <w:basedOn w:val="Normal"/>
    <w:next w:val="Normal"/>
    <w:uiPriority w:val="99"/>
    <w:rsid w:val="000F24F5"/>
    <w:pPr>
      <w:overflowPunct/>
      <w:spacing w:after="0"/>
      <w:jc w:val="left"/>
      <w:textAlignment w:val="auto"/>
    </w:pPr>
    <w:rPr>
      <w:rFonts w:ascii="Times Ten" w:hAnsi="Times Ten"/>
      <w:szCs w:val="24"/>
      <w:lang w:eastAsia="en-GB"/>
    </w:rPr>
  </w:style>
  <w:style w:type="character" w:customStyle="1" w:styleId="SC3241730">
    <w:name w:val="SC.3.241730"/>
    <w:uiPriority w:val="99"/>
    <w:rsid w:val="000F24F5"/>
    <w:rPr>
      <w:rFonts w:cs="Times Ten"/>
      <w:color w:val="000000"/>
      <w:sz w:val="20"/>
      <w:szCs w:val="20"/>
    </w:rPr>
  </w:style>
  <w:style w:type="paragraph" w:styleId="Revision">
    <w:name w:val="Revision"/>
    <w:hidden/>
    <w:uiPriority w:val="99"/>
    <w:semiHidden/>
    <w:rsid w:val="00686582"/>
    <w:rPr>
      <w:sz w:val="24"/>
      <w:lang w:eastAsia="en-US"/>
    </w:rPr>
  </w:style>
  <w:style w:type="paragraph" w:styleId="Header">
    <w:name w:val="header"/>
    <w:basedOn w:val="Normal"/>
    <w:link w:val="HeaderChar"/>
    <w:rsid w:val="00E12A71"/>
    <w:pPr>
      <w:tabs>
        <w:tab w:val="center" w:pos="4513"/>
        <w:tab w:val="right" w:pos="9026"/>
      </w:tabs>
      <w:spacing w:after="0"/>
    </w:pPr>
  </w:style>
  <w:style w:type="character" w:customStyle="1" w:styleId="HeaderChar">
    <w:name w:val="Header Char"/>
    <w:basedOn w:val="DefaultParagraphFont"/>
    <w:link w:val="Header"/>
    <w:rsid w:val="00E12A71"/>
    <w:rPr>
      <w:sz w:val="24"/>
      <w:lang w:eastAsia="en-US"/>
    </w:rPr>
  </w:style>
  <w:style w:type="character" w:customStyle="1" w:styleId="Heading4Char">
    <w:name w:val="Heading 4 Char"/>
    <w:basedOn w:val="DefaultParagraphFont"/>
    <w:link w:val="Heading4"/>
    <w:uiPriority w:val="1"/>
    <w:rsid w:val="004136F6"/>
    <w:rPr>
      <w:bCs/>
      <w:sz w:val="24"/>
      <w:szCs w:val="28"/>
      <w:lang w:eastAsia="en-US"/>
    </w:rPr>
  </w:style>
  <w:style w:type="paragraph" w:customStyle="1" w:styleId="Default">
    <w:name w:val="Default"/>
    <w:rsid w:val="004506E6"/>
    <w:pPr>
      <w:autoSpaceDE w:val="0"/>
      <w:autoSpaceDN w:val="0"/>
      <w:adjustRightInd w:val="0"/>
    </w:pPr>
    <w:rPr>
      <w:color w:val="000000"/>
      <w:sz w:val="24"/>
      <w:szCs w:val="24"/>
    </w:rPr>
  </w:style>
  <w:style w:type="character" w:styleId="FollowedHyperlink">
    <w:name w:val="FollowedHyperlink"/>
    <w:basedOn w:val="DefaultParagraphFont"/>
    <w:rsid w:val="005A14AD"/>
    <w:rPr>
      <w:color w:val="800080" w:themeColor="followedHyperlink"/>
      <w:u w:val="single"/>
    </w:rPr>
  </w:style>
  <w:style w:type="paragraph" w:styleId="NormalWeb">
    <w:name w:val="Normal (Web)"/>
    <w:basedOn w:val="Normal"/>
    <w:uiPriority w:val="99"/>
    <w:unhideWhenUsed/>
    <w:rsid w:val="00481985"/>
    <w:pPr>
      <w:overflowPunct/>
      <w:autoSpaceDE/>
      <w:autoSpaceDN/>
      <w:adjustRightInd/>
      <w:spacing w:before="100" w:beforeAutospacing="1" w:after="100" w:afterAutospacing="1"/>
      <w:jc w:val="left"/>
      <w:textAlignment w:val="auto"/>
    </w:pPr>
    <w:rPr>
      <w:rFonts w:eastAsiaTheme="minorEastAsia"/>
      <w:szCs w:val="24"/>
      <w:lang w:eastAsia="en-GB"/>
    </w:rPr>
  </w:style>
  <w:style w:type="character" w:customStyle="1" w:styleId="BodyTextChar">
    <w:name w:val="Body Text Char"/>
    <w:basedOn w:val="DefaultParagraphFont"/>
    <w:link w:val="BodyText"/>
    <w:rsid w:val="00431D61"/>
    <w:rPr>
      <w:sz w:val="24"/>
      <w:lang w:val="en-US" w:eastAsia="en-US"/>
    </w:rPr>
  </w:style>
  <w:style w:type="paragraph" w:styleId="ListParagraph">
    <w:name w:val="List Paragraph"/>
    <w:basedOn w:val="Normal"/>
    <w:uiPriority w:val="34"/>
    <w:qFormat/>
    <w:rsid w:val="00647F8A"/>
    <w:pPr>
      <w:overflowPunct/>
      <w:autoSpaceDE/>
      <w:autoSpaceDN/>
      <w:adjustRightInd/>
      <w:spacing w:after="200" w:line="276" w:lineRule="auto"/>
      <w:ind w:left="720"/>
      <w:contextualSpacing/>
      <w:jc w:val="left"/>
      <w:textAlignment w:val="auto"/>
    </w:pPr>
    <w:rPr>
      <w:rFonts w:ascii="Calibri" w:eastAsia="Malgun Gothic" w:hAnsi="Calibri"/>
      <w:sz w:val="22"/>
      <w:szCs w:val="22"/>
    </w:rPr>
  </w:style>
  <w:style w:type="paragraph" w:customStyle="1" w:styleId="StyleHeading2NotItalic">
    <w:name w:val="Style Heading 2 + Not Italic"/>
    <w:basedOn w:val="Heading2"/>
    <w:uiPriority w:val="99"/>
    <w:rsid w:val="004F40F3"/>
    <w:pPr>
      <w:keepLines w:val="0"/>
      <w:numPr>
        <w:ilvl w:val="1"/>
        <w:numId w:val="16"/>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240" w:after="120"/>
    </w:pPr>
    <w:rPr>
      <w:rFonts w:ascii="Calibri" w:hAnsi="Calibri" w:cs="Calibri"/>
      <w:iCs w:val="0"/>
      <w:caps w:val="0"/>
      <w:lang w:val="fr-FR" w:eastAsia="fr-FR"/>
    </w:rPr>
  </w:style>
  <w:style w:type="paragraph" w:customStyle="1" w:styleId="CM1">
    <w:name w:val="CM1"/>
    <w:basedOn w:val="Default"/>
    <w:next w:val="Default"/>
    <w:uiPriority w:val="99"/>
    <w:rsid w:val="007F6474"/>
    <w:rPr>
      <w:rFonts w:ascii="EUAlbertina" w:hAnsi="EUAlbertina"/>
      <w:color w:val="auto"/>
    </w:rPr>
  </w:style>
  <w:style w:type="paragraph" w:customStyle="1" w:styleId="CM3">
    <w:name w:val="CM3"/>
    <w:basedOn w:val="Default"/>
    <w:next w:val="Default"/>
    <w:uiPriority w:val="99"/>
    <w:rsid w:val="007F6474"/>
    <w:rPr>
      <w:rFonts w:ascii="EUAlbertina" w:hAnsi="EUAlbertina"/>
      <w:color w:val="auto"/>
    </w:rPr>
  </w:style>
  <w:style w:type="table" w:customStyle="1" w:styleId="TableGrid2">
    <w:name w:val="Table Grid2"/>
    <w:basedOn w:val="TableNormal"/>
    <w:next w:val="TableGrid"/>
    <w:uiPriority w:val="59"/>
    <w:rsid w:val="0001441C"/>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140153"/>
    <w:rPr>
      <w:bCs/>
      <w:iCs/>
      <w:caps/>
      <w:sz w:val="24"/>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713">
      <w:bodyDiv w:val="1"/>
      <w:marLeft w:val="0"/>
      <w:marRight w:val="0"/>
      <w:marTop w:val="0"/>
      <w:marBottom w:val="0"/>
      <w:divBdr>
        <w:top w:val="none" w:sz="0" w:space="0" w:color="auto"/>
        <w:left w:val="none" w:sz="0" w:space="0" w:color="auto"/>
        <w:bottom w:val="none" w:sz="0" w:space="0" w:color="auto"/>
        <w:right w:val="none" w:sz="0" w:space="0" w:color="auto"/>
      </w:divBdr>
    </w:div>
    <w:div w:id="243075203">
      <w:bodyDiv w:val="1"/>
      <w:marLeft w:val="0"/>
      <w:marRight w:val="0"/>
      <w:marTop w:val="0"/>
      <w:marBottom w:val="0"/>
      <w:divBdr>
        <w:top w:val="none" w:sz="0" w:space="0" w:color="auto"/>
        <w:left w:val="none" w:sz="0" w:space="0" w:color="auto"/>
        <w:bottom w:val="none" w:sz="0" w:space="0" w:color="auto"/>
        <w:right w:val="none" w:sz="0" w:space="0" w:color="auto"/>
      </w:divBdr>
    </w:div>
    <w:div w:id="576674873">
      <w:bodyDiv w:val="1"/>
      <w:marLeft w:val="0"/>
      <w:marRight w:val="0"/>
      <w:marTop w:val="0"/>
      <w:marBottom w:val="0"/>
      <w:divBdr>
        <w:top w:val="none" w:sz="0" w:space="0" w:color="auto"/>
        <w:left w:val="none" w:sz="0" w:space="0" w:color="auto"/>
        <w:bottom w:val="none" w:sz="0" w:space="0" w:color="auto"/>
        <w:right w:val="none" w:sz="0" w:space="0" w:color="auto"/>
      </w:divBdr>
    </w:div>
    <w:div w:id="698314766">
      <w:bodyDiv w:val="1"/>
      <w:marLeft w:val="0"/>
      <w:marRight w:val="0"/>
      <w:marTop w:val="0"/>
      <w:marBottom w:val="0"/>
      <w:divBdr>
        <w:top w:val="none" w:sz="0" w:space="0" w:color="auto"/>
        <w:left w:val="none" w:sz="0" w:space="0" w:color="auto"/>
        <w:bottom w:val="none" w:sz="0" w:space="0" w:color="auto"/>
        <w:right w:val="none" w:sz="0" w:space="0" w:color="auto"/>
      </w:divBdr>
    </w:div>
    <w:div w:id="1185830206">
      <w:bodyDiv w:val="1"/>
      <w:marLeft w:val="0"/>
      <w:marRight w:val="0"/>
      <w:marTop w:val="0"/>
      <w:marBottom w:val="0"/>
      <w:divBdr>
        <w:top w:val="none" w:sz="0" w:space="0" w:color="auto"/>
        <w:left w:val="none" w:sz="0" w:space="0" w:color="auto"/>
        <w:bottom w:val="none" w:sz="0" w:space="0" w:color="auto"/>
        <w:right w:val="none" w:sz="0" w:space="0" w:color="auto"/>
      </w:divBdr>
    </w:div>
    <w:div w:id="1726222940">
      <w:bodyDiv w:val="1"/>
      <w:marLeft w:val="0"/>
      <w:marRight w:val="0"/>
      <w:marTop w:val="0"/>
      <w:marBottom w:val="0"/>
      <w:divBdr>
        <w:top w:val="none" w:sz="0" w:space="0" w:color="auto"/>
        <w:left w:val="none" w:sz="0" w:space="0" w:color="auto"/>
        <w:bottom w:val="none" w:sz="0" w:space="0" w:color="auto"/>
        <w:right w:val="none" w:sz="0" w:space="0" w:color="auto"/>
      </w:divBdr>
      <w:divsChild>
        <w:div w:id="93286138">
          <w:marLeft w:val="547"/>
          <w:marRight w:val="0"/>
          <w:marTop w:val="115"/>
          <w:marBottom w:val="0"/>
          <w:divBdr>
            <w:top w:val="none" w:sz="0" w:space="0" w:color="auto"/>
            <w:left w:val="none" w:sz="0" w:space="0" w:color="auto"/>
            <w:bottom w:val="none" w:sz="0" w:space="0" w:color="auto"/>
            <w:right w:val="none" w:sz="0" w:space="0" w:color="auto"/>
          </w:divBdr>
        </w:div>
        <w:div w:id="152721900">
          <w:marLeft w:val="547"/>
          <w:marRight w:val="0"/>
          <w:marTop w:val="115"/>
          <w:marBottom w:val="0"/>
          <w:divBdr>
            <w:top w:val="none" w:sz="0" w:space="0" w:color="auto"/>
            <w:left w:val="none" w:sz="0" w:space="0" w:color="auto"/>
            <w:bottom w:val="none" w:sz="0" w:space="0" w:color="auto"/>
            <w:right w:val="none" w:sz="0" w:space="0" w:color="auto"/>
          </w:divBdr>
        </w:div>
      </w:divsChild>
    </w:div>
    <w:div w:id="18778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orebe.org.ar/NORMATIVA/ley_general_del_ambient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5.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www.imo.org/OurWork/Environment/LCLP/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lleriad\AppData\Roaming\Microsoft\Templates\IAEA%20Publication-Simp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3497D-4ED0-4ACA-8B12-93108E89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Publication-Simple.dotm</Template>
  <TotalTime>0</TotalTime>
  <Pages>72</Pages>
  <Words>24917</Words>
  <Characters>144715</Characters>
  <Application>Microsoft Office Word</Application>
  <DocSecurity>0</DocSecurity>
  <Lines>1205</Lines>
  <Paragraphs>338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IAEA Report DOC</vt:lpstr>
      <vt:lpstr>IAEA Report DOC</vt:lpstr>
    </vt:vector>
  </TitlesOfParts>
  <Company>IAEA</Company>
  <LinksUpToDate>false</LinksUpToDate>
  <CharactersWithSpaces>169294</CharactersWithSpaces>
  <SharedDoc>false</SharedDoc>
  <HLinks>
    <vt:vector size="6" baseType="variant">
      <vt:variant>
        <vt:i4>1900601</vt:i4>
      </vt:variant>
      <vt:variant>
        <vt:i4>8</vt:i4>
      </vt:variant>
      <vt:variant>
        <vt:i4>0</vt:i4>
      </vt:variant>
      <vt:variant>
        <vt:i4>5</vt:i4>
      </vt:variant>
      <vt:variant>
        <vt:lpwstr/>
      </vt:variant>
      <vt:variant>
        <vt:lpwstr>_Toc37498662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 Report DOC</dc:title>
  <dc:creator>D.M.Telleria@iaea.org</dc:creator>
  <dc:description>All comments from GP accepted
Comments from EIC and DD considered and included after discussion with Tamara.
Tamara did a further editorial review, and considered matters of compatibility with BSS and ICRP103.
Pending matter of effective dose vs dose to be used under PE situations (for compatibility with ICRP103) - In addition suggestion of EIC to delete APPENDIX II
Claire did a final editorial modiification to allow 5.55 to be correctly placed.
This is the version sent to SSC for comment
GS</dc:description>
  <cp:lastModifiedBy>TELLERIA, Diego M.</cp:lastModifiedBy>
  <cp:revision>3</cp:revision>
  <cp:lastPrinted>2016-05-05T07:34:00Z</cp:lastPrinted>
  <dcterms:created xsi:type="dcterms:W3CDTF">2016-08-10T12:39:00Z</dcterms:created>
  <dcterms:modified xsi:type="dcterms:W3CDTF">2016-08-10T12:46:00Z</dcterms:modified>
</cp:coreProperties>
</file>